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F33" w:rsidRDefault="00432F33" w:rsidP="00432F33">
      <w:pPr>
        <w:snapToGrid w:val="0"/>
        <w:rPr>
          <w:rFonts w:ascii="宋体" w:hAnsi="宋体" w:cs="宋体"/>
          <w:sz w:val="28"/>
          <w:szCs w:val="28"/>
        </w:rPr>
      </w:pPr>
    </w:p>
    <w:p w:rsidR="00432F33" w:rsidRDefault="00432F33" w:rsidP="00432F33">
      <w:pPr>
        <w:snapToGrid w:val="0"/>
        <w:jc w:val="center"/>
        <w:rPr>
          <w:rFonts w:ascii="宋体" w:hAnsi="宋体" w:cs="宋体" w:hint="eastAsia"/>
          <w:sz w:val="28"/>
          <w:szCs w:val="28"/>
        </w:rPr>
      </w:pPr>
    </w:p>
    <w:p w:rsidR="00432F33" w:rsidRDefault="00432F33" w:rsidP="00432F33">
      <w:pPr>
        <w:snapToGrid w:val="0"/>
        <w:jc w:val="center"/>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pacing w:line="360" w:lineRule="auto"/>
        <w:jc w:val="center"/>
        <w:outlineLvl w:val="0"/>
        <w:rPr>
          <w:rFonts w:ascii="黑体" w:eastAsia="黑体" w:hAnsi="黑体" w:cs="Times New Roman" w:hint="eastAsia"/>
          <w:b/>
          <w:bCs/>
          <w:kern w:val="44"/>
          <w:sz w:val="44"/>
          <w:szCs w:val="44"/>
        </w:rPr>
      </w:pPr>
      <w:r>
        <w:rPr>
          <w:rFonts w:ascii="黑体" w:eastAsia="黑体" w:hAnsi="黑体" w:hint="eastAsia"/>
          <w:b/>
          <w:bCs/>
          <w:kern w:val="44"/>
          <w:sz w:val="44"/>
          <w:szCs w:val="44"/>
        </w:rPr>
        <w:t>1-6号门机电源线更换改造项目</w:t>
      </w:r>
    </w:p>
    <w:p w:rsidR="00432F33" w:rsidRDefault="00432F33" w:rsidP="00432F33">
      <w:pPr>
        <w:spacing w:line="360" w:lineRule="auto"/>
        <w:jc w:val="center"/>
        <w:outlineLvl w:val="0"/>
        <w:rPr>
          <w:rFonts w:ascii="黑体" w:eastAsia="黑体" w:hAnsi="黑体" w:hint="eastAsia"/>
          <w:b/>
          <w:bCs/>
          <w:kern w:val="44"/>
          <w:sz w:val="44"/>
          <w:szCs w:val="44"/>
        </w:rPr>
      </w:pPr>
      <w:r>
        <w:rPr>
          <w:rFonts w:ascii="黑体" w:eastAsia="黑体" w:hAnsi="黑体" w:hint="eastAsia"/>
          <w:b/>
          <w:bCs/>
          <w:kern w:val="44"/>
          <w:sz w:val="44"/>
          <w:szCs w:val="44"/>
        </w:rPr>
        <w:t>技术规格书</w:t>
      </w:r>
    </w:p>
    <w:p w:rsidR="00432F33" w:rsidRDefault="00432F33" w:rsidP="00432F33">
      <w:pPr>
        <w:snapToGrid w:val="0"/>
        <w:rPr>
          <w:rFonts w:ascii="宋体" w:eastAsia="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napToGrid w:val="0"/>
        <w:rPr>
          <w:rFonts w:ascii="宋体" w:hAnsi="宋体" w:cs="宋体" w:hint="eastAsia"/>
          <w:sz w:val="28"/>
          <w:szCs w:val="28"/>
        </w:rPr>
      </w:pPr>
    </w:p>
    <w:p w:rsidR="00432F33" w:rsidRDefault="00432F33" w:rsidP="00432F33">
      <w:pPr>
        <w:spacing w:line="360" w:lineRule="auto"/>
        <w:jc w:val="center"/>
        <w:rPr>
          <w:rFonts w:ascii="黑体" w:eastAsia="黑体" w:hAnsi="Times New Roman" w:cs="Times New Roman" w:hint="eastAsia"/>
          <w:b/>
          <w:sz w:val="32"/>
          <w:szCs w:val="32"/>
        </w:rPr>
      </w:pPr>
      <w:r>
        <w:rPr>
          <w:rFonts w:ascii="黑体" w:eastAsia="黑体" w:hint="eastAsia"/>
          <w:b/>
          <w:sz w:val="32"/>
          <w:szCs w:val="32"/>
        </w:rPr>
        <w:t>神华黄骅港务有限责任公司</w:t>
      </w:r>
    </w:p>
    <w:p w:rsidR="00432F33" w:rsidRDefault="00432F33" w:rsidP="00432F33">
      <w:pPr>
        <w:spacing w:line="360" w:lineRule="auto"/>
        <w:jc w:val="center"/>
        <w:rPr>
          <w:rFonts w:ascii="黑体" w:eastAsia="黑体" w:hint="eastAsia"/>
          <w:b/>
          <w:sz w:val="32"/>
          <w:szCs w:val="32"/>
        </w:rPr>
      </w:pPr>
      <w:r>
        <w:rPr>
          <w:rFonts w:ascii="黑体" w:eastAsia="黑体" w:hint="eastAsia"/>
          <w:b/>
          <w:sz w:val="32"/>
          <w:szCs w:val="32"/>
        </w:rPr>
        <w:t>2016-10-29</w:t>
      </w:r>
    </w:p>
    <w:p w:rsidR="00432F33" w:rsidRDefault="00432F33" w:rsidP="00432F33">
      <w:pPr>
        <w:spacing w:line="560" w:lineRule="exact"/>
        <w:outlineLvl w:val="0"/>
        <w:rPr>
          <w:rFonts w:ascii="宋体" w:eastAsia="宋体" w:hint="eastAsia"/>
          <w:b/>
          <w:bCs/>
          <w:sz w:val="28"/>
          <w:szCs w:val="24"/>
        </w:rPr>
      </w:pPr>
      <w:r>
        <w:rPr>
          <w:kern w:val="0"/>
        </w:rPr>
        <w:br w:type="page"/>
      </w:r>
      <w:bookmarkStart w:id="0" w:name="_Toc376968404"/>
      <w:r>
        <w:rPr>
          <w:rFonts w:ascii="宋体" w:hint="eastAsia"/>
          <w:b/>
          <w:bCs/>
          <w:sz w:val="28"/>
          <w:szCs w:val="24"/>
        </w:rPr>
        <w:lastRenderedPageBreak/>
        <w:t>1.总则</w:t>
      </w:r>
      <w:bookmarkEnd w:id="0"/>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1.1本规格书适用于神华黄骅港务有限责任公司1-6号门机电源线更换项目的基本技术要求和主要技术参数的有关条款，并非该项目的所有细节。投标方应仔细阅读，如发现有疑问、不详和矛盾之处，请立即与神华黄骅港务有限公司(以下简称采购方)联系。</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上述项目施工于神华黄骅港务有限公司物流中心杂货码头。</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1.2本规格书所使用的标准如与施工方所执行的标准发生矛盾时，按较高标准执行。</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1.3在签订合同后，采购方有权提出因标准、规范和规程发生变化而产生的一些修订要求，具体事项宜由双方共同协商确定。</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1.4 如果施工方没有以书面形式对本规格书的条文提出异议，则意味着施工方提供的设备完全符合本规格书的要求。</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1.5本规格书经双方确认后作为订货合同的技术附件，与合同正文具有同等效力。</w:t>
      </w:r>
      <w:bookmarkStart w:id="1" w:name="_Toc376968405"/>
    </w:p>
    <w:p w:rsidR="00432F33" w:rsidRDefault="00432F33" w:rsidP="00432F33">
      <w:pPr>
        <w:spacing w:line="560" w:lineRule="exact"/>
        <w:outlineLvl w:val="0"/>
        <w:rPr>
          <w:rFonts w:ascii="宋体" w:hint="eastAsia"/>
          <w:b/>
          <w:bCs/>
          <w:sz w:val="28"/>
          <w:szCs w:val="24"/>
        </w:rPr>
      </w:pPr>
      <w:r>
        <w:rPr>
          <w:rFonts w:ascii="宋体" w:hint="eastAsia"/>
          <w:b/>
          <w:bCs/>
          <w:sz w:val="28"/>
          <w:szCs w:val="24"/>
        </w:rPr>
        <w:t>2.工程概况</w:t>
      </w:r>
      <w:bookmarkEnd w:id="1"/>
    </w:p>
    <w:p w:rsidR="00432F33" w:rsidRDefault="00432F33" w:rsidP="00432F33">
      <w:pPr>
        <w:spacing w:line="560" w:lineRule="exact"/>
        <w:ind w:firstLineChars="200" w:firstLine="560"/>
        <w:outlineLvl w:val="0"/>
        <w:rPr>
          <w:rFonts w:ascii="宋体" w:hint="eastAsia"/>
          <w:bCs/>
          <w:sz w:val="28"/>
          <w:szCs w:val="24"/>
        </w:rPr>
      </w:pPr>
      <w:bookmarkStart w:id="2" w:name="_Toc284159228"/>
      <w:bookmarkStart w:id="3" w:name="_Toc290443629"/>
      <w:bookmarkStart w:id="4" w:name="_Toc290444219"/>
      <w:bookmarkStart w:id="5" w:name="_Toc290444440"/>
      <w:bookmarkStart w:id="6" w:name="_Toc290445206"/>
      <w:bookmarkStart w:id="7" w:name="_Toc290454067"/>
      <w:bookmarkStart w:id="8" w:name="_Toc290534514"/>
      <w:bookmarkStart w:id="9" w:name="_Toc290534997"/>
      <w:bookmarkStart w:id="10" w:name="_Toc290535684"/>
      <w:bookmarkStart w:id="11" w:name="_Toc290555574"/>
      <w:r>
        <w:rPr>
          <w:rFonts w:ascii="宋体" w:hint="eastAsia"/>
          <w:bCs/>
          <w:sz w:val="28"/>
          <w:szCs w:val="24"/>
        </w:rPr>
        <w:t>2.1承揽范围</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施工方负责神华黄骅港务公司1-6号门机更换电缆的设计、制造、运输、安装、调试、售后服务工作。</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本项目包括以下内容：1-6号门机电缆更换为阻燃电缆，电缆截面和线芯数与原使用规格相同，需更换电缆以电缆卷筒为界，电缆卷筒以上为所需更换电缆。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负责1-6号门机控制电缆与动力电缆应隔离敷设,采用防火隔离板固定隔离，需要隔离敷设的电缆长度估算为120m（6台门机合计）,详细数据以现场勘查为准。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2.2供货范围</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更换1-6号门机电缆，更换为阻燃电缆，选用与门机现用电缆相同规格尺寸阻燃电缆。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 xml:space="preserve">所需电缆估算数量为（6台门机合计）: </w:t>
      </w:r>
    </w:p>
    <w:tbl>
      <w:tblPr>
        <w:tblW w:w="85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090"/>
        <w:gridCol w:w="1766"/>
        <w:gridCol w:w="1743"/>
        <w:gridCol w:w="847"/>
        <w:gridCol w:w="1136"/>
        <w:gridCol w:w="1983"/>
      </w:tblGrid>
      <w:tr w:rsidR="00432F33" w:rsidTr="00432F33">
        <w:trPr>
          <w:cantSplit/>
          <w:trHeight w:hRule="exact" w:val="521"/>
          <w:jc w:val="center"/>
        </w:trPr>
        <w:tc>
          <w:tcPr>
            <w:tcW w:w="1091" w:type="dxa"/>
            <w:tcBorders>
              <w:top w:val="single" w:sz="12" w:space="0" w:color="auto"/>
              <w:left w:val="single" w:sz="12" w:space="0" w:color="auto"/>
              <w:bottom w:val="single" w:sz="12"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序号</w:t>
            </w:r>
          </w:p>
        </w:tc>
        <w:tc>
          <w:tcPr>
            <w:tcW w:w="1767" w:type="dxa"/>
            <w:tcBorders>
              <w:top w:val="single" w:sz="12" w:space="0" w:color="auto"/>
              <w:left w:val="single" w:sz="6" w:space="0" w:color="auto"/>
              <w:bottom w:val="single" w:sz="12"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材料名称</w:t>
            </w:r>
          </w:p>
        </w:tc>
        <w:tc>
          <w:tcPr>
            <w:tcW w:w="1744" w:type="dxa"/>
            <w:tcBorders>
              <w:top w:val="single" w:sz="12" w:space="0" w:color="auto"/>
              <w:left w:val="single" w:sz="6" w:space="0" w:color="auto"/>
              <w:bottom w:val="single" w:sz="12"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材料规格</w:t>
            </w:r>
          </w:p>
        </w:tc>
        <w:tc>
          <w:tcPr>
            <w:tcW w:w="848" w:type="dxa"/>
            <w:tcBorders>
              <w:top w:val="single" w:sz="12" w:space="0" w:color="auto"/>
              <w:left w:val="single" w:sz="6" w:space="0" w:color="auto"/>
              <w:bottom w:val="single" w:sz="12"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单位</w:t>
            </w:r>
          </w:p>
        </w:tc>
        <w:tc>
          <w:tcPr>
            <w:tcW w:w="1137" w:type="dxa"/>
            <w:tcBorders>
              <w:top w:val="single" w:sz="12" w:space="0" w:color="auto"/>
              <w:left w:val="single" w:sz="6" w:space="0" w:color="auto"/>
              <w:bottom w:val="single" w:sz="12" w:space="0" w:color="auto"/>
              <w:right w:val="single" w:sz="4"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数量</w:t>
            </w:r>
          </w:p>
        </w:tc>
        <w:tc>
          <w:tcPr>
            <w:tcW w:w="1985" w:type="dxa"/>
            <w:tcBorders>
              <w:top w:val="single" w:sz="12" w:space="0" w:color="auto"/>
              <w:left w:val="single" w:sz="4" w:space="0" w:color="auto"/>
              <w:bottom w:val="single" w:sz="12" w:space="0" w:color="auto"/>
              <w:right w:val="single" w:sz="12"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备    注</w:t>
            </w: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橡胶电缆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3X150+1X50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200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2</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橡胶电缆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3X185+1X70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tabs>
                <w:tab w:val="left" w:pos="6660"/>
              </w:tabs>
              <w:spacing w:line="360" w:lineRule="auto"/>
              <w:ind w:left="720" w:hangingChars="300" w:hanging="720"/>
              <w:jc w:val="center"/>
              <w:rPr>
                <w:rFonts w:ascii="宋体" w:hAnsi="宋体"/>
                <w:sz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3</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3X150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150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4</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3X50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600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5</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2X120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150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6</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3X35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7</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3X25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8</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3X16</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9</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3X10</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10</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3X6</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11</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3X4</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12</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3X2.5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700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13</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7X1.5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17</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5X1.5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18</w:t>
            </w:r>
          </w:p>
        </w:tc>
        <w:tc>
          <w:tcPr>
            <w:tcW w:w="1767" w:type="dxa"/>
            <w:tcBorders>
              <w:top w:val="single" w:sz="6" w:space="0" w:color="auto"/>
              <w:left w:val="single" w:sz="6" w:space="0" w:color="auto"/>
              <w:bottom w:val="single" w:sz="6" w:space="0" w:color="auto"/>
              <w:right w:val="single" w:sz="4"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3X1.5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4"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1200</w:t>
            </w:r>
          </w:p>
        </w:tc>
        <w:tc>
          <w:tcPr>
            <w:tcW w:w="1985" w:type="dxa"/>
            <w:tcBorders>
              <w:top w:val="single" w:sz="6" w:space="0" w:color="auto"/>
              <w:left w:val="single" w:sz="4"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19</w:t>
            </w:r>
          </w:p>
        </w:tc>
        <w:tc>
          <w:tcPr>
            <w:tcW w:w="1767" w:type="dxa"/>
            <w:tcBorders>
              <w:top w:val="single" w:sz="6" w:space="0" w:color="auto"/>
              <w:left w:val="single" w:sz="6" w:space="0" w:color="auto"/>
              <w:bottom w:val="single" w:sz="6" w:space="0" w:color="auto"/>
              <w:right w:val="single" w:sz="4"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阻燃电缆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2X1.5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4"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4500</w:t>
            </w:r>
          </w:p>
        </w:tc>
        <w:tc>
          <w:tcPr>
            <w:tcW w:w="1985" w:type="dxa"/>
            <w:tcBorders>
              <w:top w:val="single" w:sz="6" w:space="0" w:color="auto"/>
              <w:left w:val="single" w:sz="4"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20</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屏蔽电缆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7X0.75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150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21</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屏蔽电缆</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5X0.75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22</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地线</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1X16</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300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r w:rsidR="00432F33" w:rsidTr="00432F33">
        <w:trPr>
          <w:cantSplit/>
          <w:trHeight w:hRule="exact" w:val="521"/>
          <w:jc w:val="center"/>
        </w:trPr>
        <w:tc>
          <w:tcPr>
            <w:tcW w:w="1091" w:type="dxa"/>
            <w:tcBorders>
              <w:top w:val="single" w:sz="6" w:space="0" w:color="auto"/>
              <w:left w:val="single" w:sz="12" w:space="0" w:color="auto"/>
              <w:bottom w:val="single" w:sz="6" w:space="0" w:color="auto"/>
              <w:right w:val="single" w:sz="6" w:space="0" w:color="auto"/>
            </w:tcBorders>
            <w:vAlign w:val="center"/>
            <w:hideMark/>
          </w:tcPr>
          <w:p w:rsidR="00432F33" w:rsidRDefault="00432F33">
            <w:pPr>
              <w:spacing w:line="560" w:lineRule="exact"/>
              <w:ind w:firstLineChars="8" w:firstLine="22"/>
              <w:jc w:val="center"/>
              <w:outlineLvl w:val="0"/>
              <w:rPr>
                <w:rFonts w:ascii="宋体"/>
                <w:bCs/>
                <w:sz w:val="28"/>
                <w:szCs w:val="24"/>
              </w:rPr>
            </w:pPr>
            <w:r>
              <w:rPr>
                <w:rFonts w:ascii="宋体" w:hint="eastAsia"/>
                <w:bCs/>
                <w:sz w:val="28"/>
                <w:szCs w:val="24"/>
              </w:rPr>
              <w:t>23</w:t>
            </w:r>
          </w:p>
        </w:tc>
        <w:tc>
          <w:tcPr>
            <w:tcW w:w="176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导线</w:t>
            </w:r>
          </w:p>
        </w:tc>
        <w:tc>
          <w:tcPr>
            <w:tcW w:w="1744"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1X1.5</w:t>
            </w:r>
          </w:p>
        </w:tc>
        <w:tc>
          <w:tcPr>
            <w:tcW w:w="848"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m</w:t>
            </w:r>
          </w:p>
        </w:tc>
        <w:tc>
          <w:tcPr>
            <w:tcW w:w="1137" w:type="dxa"/>
            <w:tcBorders>
              <w:top w:val="single" w:sz="6" w:space="0" w:color="auto"/>
              <w:left w:val="single" w:sz="6" w:space="0" w:color="auto"/>
              <w:bottom w:val="single" w:sz="6" w:space="0" w:color="auto"/>
              <w:right w:val="single" w:sz="6" w:space="0" w:color="auto"/>
            </w:tcBorders>
            <w:vAlign w:val="center"/>
            <w:hideMark/>
          </w:tcPr>
          <w:p w:rsidR="00432F33" w:rsidRDefault="00432F33">
            <w:pPr>
              <w:spacing w:line="560" w:lineRule="exact"/>
              <w:jc w:val="center"/>
              <w:outlineLvl w:val="0"/>
              <w:rPr>
                <w:rFonts w:ascii="宋体"/>
                <w:bCs/>
                <w:sz w:val="28"/>
                <w:szCs w:val="24"/>
              </w:rPr>
            </w:pPr>
            <w:r>
              <w:rPr>
                <w:rFonts w:ascii="宋体" w:hint="eastAsia"/>
                <w:bCs/>
                <w:sz w:val="28"/>
                <w:szCs w:val="24"/>
              </w:rPr>
              <w:t>2000</w:t>
            </w:r>
          </w:p>
        </w:tc>
        <w:tc>
          <w:tcPr>
            <w:tcW w:w="1985" w:type="dxa"/>
            <w:tcBorders>
              <w:top w:val="single" w:sz="6" w:space="0" w:color="auto"/>
              <w:left w:val="single" w:sz="6" w:space="0" w:color="auto"/>
              <w:bottom w:val="single" w:sz="6" w:space="0" w:color="auto"/>
              <w:right w:val="single" w:sz="12" w:space="0" w:color="auto"/>
            </w:tcBorders>
            <w:vAlign w:val="center"/>
          </w:tcPr>
          <w:p w:rsidR="00432F33" w:rsidRDefault="00432F33">
            <w:pPr>
              <w:spacing w:line="560" w:lineRule="exact"/>
              <w:jc w:val="center"/>
              <w:outlineLvl w:val="0"/>
              <w:rPr>
                <w:rFonts w:ascii="宋体"/>
                <w:bCs/>
                <w:sz w:val="28"/>
                <w:szCs w:val="24"/>
              </w:rPr>
            </w:pPr>
          </w:p>
        </w:tc>
      </w:tr>
    </w:tbl>
    <w:p w:rsidR="00432F33" w:rsidRDefault="00432F33" w:rsidP="00432F33">
      <w:pPr>
        <w:spacing w:line="560" w:lineRule="exact"/>
        <w:outlineLvl w:val="0"/>
        <w:rPr>
          <w:rFonts w:ascii="宋体" w:hAnsi="Times New Roman" w:cs="Times New Roman" w:hint="eastAsia"/>
          <w:bCs/>
          <w:sz w:val="28"/>
          <w:szCs w:val="24"/>
        </w:rPr>
      </w:pP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具体数量及型号以现场勘查为准，以上均为估算值，项目执行中所涉及的，但协议中未能考虑到的附属材料，需要在投标书中给出具体清单。</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2.3合同包括设备的选型、采购、运输（包括二次倒运）、接卸、交货、现场保管、安装、试运转、考核、验收、保险、风险、操作人员培训及其他必要的技术服务等。</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2.4现场条件</w:t>
      </w:r>
      <w:bookmarkEnd w:id="2"/>
      <w:bookmarkEnd w:id="3"/>
      <w:bookmarkEnd w:id="4"/>
      <w:bookmarkEnd w:id="5"/>
      <w:bookmarkEnd w:id="6"/>
      <w:bookmarkEnd w:id="7"/>
      <w:bookmarkEnd w:id="8"/>
      <w:bookmarkEnd w:id="9"/>
      <w:bookmarkEnd w:id="10"/>
      <w:bookmarkEnd w:id="11"/>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2.4.1港口地理位置</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黄骅港位于中国河北省沧州市区以东约90km的渤海之滨，地处环渤海经济区的中部。漳卫新河与宣惠河交汇的大口河在此处入海。海上北距天津112km，东距龙口约280km；陆上西距黄骅市45km，朔（州）黄（骅）铁路直通港内。</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2.4.2自然条件</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1、气象条件</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（1）风况</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常风向：南南西（SSW），出现频率为11.1%。</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强风向：东北东（ENE），出现频率为0.4%。</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瞬时极大风速：＞40m/s</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（2）降水</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年平均降水量：</w:t>
      </w:r>
      <w:r>
        <w:rPr>
          <w:rFonts w:ascii="宋体" w:hint="eastAsia"/>
          <w:bCs/>
          <w:sz w:val="28"/>
          <w:szCs w:val="24"/>
        </w:rPr>
        <w:tab/>
      </w:r>
      <w:r>
        <w:rPr>
          <w:rFonts w:ascii="宋体" w:hint="eastAsia"/>
          <w:bCs/>
          <w:sz w:val="28"/>
          <w:szCs w:val="24"/>
        </w:rPr>
        <w:tab/>
        <w:t>501mm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历年最大年降水量：</w:t>
      </w:r>
      <w:r>
        <w:rPr>
          <w:rFonts w:ascii="宋体" w:hint="eastAsia"/>
          <w:bCs/>
          <w:sz w:val="28"/>
          <w:szCs w:val="24"/>
        </w:rPr>
        <w:tab/>
        <w:t>719.4mm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历年最小年降水量：</w:t>
      </w:r>
      <w:r>
        <w:rPr>
          <w:rFonts w:ascii="宋体" w:hint="eastAsia"/>
          <w:bCs/>
          <w:sz w:val="28"/>
          <w:szCs w:val="24"/>
        </w:rPr>
        <w:tab/>
        <w:t>336.8mm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历年最大日降水量：</w:t>
      </w:r>
      <w:r>
        <w:rPr>
          <w:rFonts w:ascii="宋体" w:hint="eastAsia"/>
          <w:bCs/>
          <w:sz w:val="28"/>
          <w:szCs w:val="24"/>
        </w:rPr>
        <w:tab/>
        <w:t>136.8mm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降水量主要集中在6、7、8三个月，占全年降水量的70%以上。</w:t>
      </w:r>
      <w:r>
        <w:rPr>
          <w:rFonts w:ascii="宋体" w:hint="eastAsia"/>
          <w:bCs/>
          <w:sz w:val="28"/>
          <w:szCs w:val="24"/>
        </w:rPr>
        <w:lastRenderedPageBreak/>
        <w:t>年内日降水量大于25.0mm的天数平均5天，最多7天。</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最大积雪深度：</w:t>
      </w:r>
      <w:r>
        <w:rPr>
          <w:rFonts w:ascii="宋体" w:hint="eastAsia"/>
          <w:bCs/>
          <w:sz w:val="28"/>
          <w:szCs w:val="24"/>
        </w:rPr>
        <w:tab/>
        <w:t>21cm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（3）气温</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多年平均气温：</w:t>
      </w:r>
      <w:r>
        <w:rPr>
          <w:rFonts w:ascii="宋体" w:hint="eastAsia"/>
          <w:bCs/>
          <w:sz w:val="28"/>
          <w:szCs w:val="24"/>
        </w:rPr>
        <w:tab/>
      </w:r>
      <w:r>
        <w:rPr>
          <w:rFonts w:ascii="宋体" w:hint="eastAsia"/>
          <w:bCs/>
          <w:sz w:val="28"/>
          <w:szCs w:val="24"/>
        </w:rPr>
        <w:tab/>
        <w:t>12.2℃</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多年平均最高气温：</w:t>
      </w:r>
      <w:r>
        <w:rPr>
          <w:rFonts w:ascii="宋体" w:hint="eastAsia"/>
          <w:bCs/>
          <w:sz w:val="28"/>
          <w:szCs w:val="24"/>
        </w:rPr>
        <w:tab/>
        <w:t>17.3℃</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多年平均最低气温：</w:t>
      </w:r>
      <w:r>
        <w:rPr>
          <w:rFonts w:ascii="宋体" w:hint="eastAsia"/>
          <w:bCs/>
          <w:sz w:val="28"/>
          <w:szCs w:val="24"/>
        </w:rPr>
        <w:tab/>
        <w:t>7.8℃</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历年极端最高气温：</w:t>
      </w:r>
      <w:r>
        <w:rPr>
          <w:rFonts w:ascii="宋体" w:hint="eastAsia"/>
          <w:bCs/>
          <w:sz w:val="28"/>
          <w:szCs w:val="24"/>
        </w:rPr>
        <w:tab/>
        <w:t>40.0℃</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历年极端最低气温：</w:t>
      </w:r>
      <w:r>
        <w:rPr>
          <w:rFonts w:ascii="宋体" w:hint="eastAsia"/>
          <w:bCs/>
          <w:sz w:val="28"/>
          <w:szCs w:val="24"/>
        </w:rPr>
        <w:tab/>
        <w:t>-19.5℃</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年日平均气温低于-5℃的天数为71天，低于-10℃的天数为23.8天。</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（4）雾</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雾日多发生在秋、冬两季。年平均雾日数为12.2天，最多20天。</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（5）相对湿度</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最热月室外计算相对湿度：78%</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（6）冬季日照率：66%</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2、水文条件</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（1）潮位（高程系统以黄骅港理论最低潮面为基准，下同）</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A.潮型：不规则的半日潮</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B.潮位特征</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最高高潮位：5.71m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最低低潮位：0.26m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平均高潮位：3.58m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平均低潮位：1.28m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最大潮差：4.14m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平均潮差：2.30m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（2）设计水位</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设计高水位：4.05m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设计低水位：0.62m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校核高水位：5.61m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校核低水位：—1.22m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3、土壤特性</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（1）最大冰冻深度：地表下0.69m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（2）土壤电阻率： 400</w:t>
      </w:r>
      <w:r>
        <w:rPr>
          <w:rFonts w:ascii="宋体"/>
          <w:bCs/>
          <w:sz w:val="28"/>
          <w:szCs w:val="24"/>
        </w:rPr>
        <w:t>Ω</w:t>
      </w:r>
      <w:r>
        <w:rPr>
          <w:rFonts w:ascii="宋体" w:hint="eastAsia"/>
          <w:bCs/>
          <w:sz w:val="28"/>
          <w:szCs w:val="24"/>
        </w:rPr>
        <w:t>m</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4、地震:基本地震烈度为6度。</w:t>
      </w:r>
    </w:p>
    <w:p w:rsidR="00432F33" w:rsidRDefault="00432F33" w:rsidP="00432F33">
      <w:pPr>
        <w:spacing w:line="560" w:lineRule="exact"/>
        <w:outlineLvl w:val="0"/>
        <w:rPr>
          <w:rFonts w:ascii="宋体" w:hint="eastAsia"/>
          <w:b/>
          <w:bCs/>
          <w:sz w:val="28"/>
          <w:szCs w:val="24"/>
        </w:rPr>
      </w:pPr>
      <w:bookmarkStart w:id="12" w:name="_Toc376968406"/>
      <w:r>
        <w:rPr>
          <w:rFonts w:ascii="宋体" w:hint="eastAsia"/>
          <w:b/>
          <w:bCs/>
          <w:sz w:val="28"/>
          <w:szCs w:val="24"/>
        </w:rPr>
        <w:t>3.适用的标准、规范</w:t>
      </w:r>
      <w:bookmarkEnd w:id="12"/>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3.1本项目的设计、制造、技术参数、验收符合下列有关标准及其它有关国家标准和规范：</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《电气装置安装工程电缆线路施工及验收规范》GB50168-92</w:t>
      </w:r>
    </w:p>
    <w:p w:rsidR="00432F33" w:rsidRDefault="00432F33" w:rsidP="00432F33">
      <w:pPr>
        <w:spacing w:line="560" w:lineRule="exact"/>
        <w:ind w:firstLineChars="200" w:firstLine="560"/>
        <w:outlineLvl w:val="0"/>
        <w:rPr>
          <w:rFonts w:ascii="宋体" w:hint="eastAsia"/>
          <w:bCs/>
          <w:sz w:val="28"/>
          <w:szCs w:val="24"/>
        </w:rPr>
      </w:pPr>
      <w:r>
        <w:rPr>
          <w:rFonts w:ascii="宋体"/>
          <w:bCs/>
          <w:sz w:val="28"/>
          <w:szCs w:val="24"/>
        </w:rPr>
        <w:t> </w:t>
      </w:r>
      <w:r>
        <w:rPr>
          <w:rFonts w:ascii="宋体" w:hint="eastAsia"/>
          <w:bCs/>
          <w:sz w:val="28"/>
          <w:szCs w:val="24"/>
        </w:rPr>
        <w:t>《电气装置安装工程电气设备交接试验标准》GB50150-91</w:t>
      </w:r>
    </w:p>
    <w:p w:rsidR="00432F33" w:rsidRDefault="00432F33" w:rsidP="00432F33">
      <w:pPr>
        <w:spacing w:line="560" w:lineRule="exact"/>
        <w:ind w:firstLineChars="200" w:firstLine="560"/>
        <w:outlineLvl w:val="0"/>
        <w:rPr>
          <w:rFonts w:ascii="宋体" w:hint="eastAsia"/>
          <w:bCs/>
          <w:sz w:val="28"/>
          <w:szCs w:val="24"/>
        </w:rPr>
      </w:pPr>
      <w:bookmarkStart w:id="13" w:name="_Toc276126633"/>
      <w:r>
        <w:rPr>
          <w:rFonts w:ascii="宋体" w:hint="eastAsia"/>
          <w:bCs/>
          <w:sz w:val="28"/>
          <w:szCs w:val="24"/>
        </w:rPr>
        <w:t>《GB中国国家标准</w:t>
      </w:r>
      <w:bookmarkEnd w:id="13"/>
      <w:r>
        <w:rPr>
          <w:rFonts w:ascii="宋体" w:hint="eastAsia"/>
          <w:bCs/>
          <w:sz w:val="28"/>
          <w:szCs w:val="24"/>
        </w:rPr>
        <w:t>》</w:t>
      </w:r>
    </w:p>
    <w:p w:rsidR="00432F33" w:rsidRDefault="00432F33" w:rsidP="00432F33">
      <w:pPr>
        <w:spacing w:line="560" w:lineRule="exact"/>
        <w:ind w:firstLineChars="200" w:firstLine="560"/>
        <w:outlineLvl w:val="0"/>
        <w:rPr>
          <w:rFonts w:ascii="宋体" w:hint="eastAsia"/>
          <w:bCs/>
          <w:sz w:val="28"/>
          <w:szCs w:val="24"/>
        </w:rPr>
      </w:pPr>
      <w:bookmarkStart w:id="14" w:name="_Toc276126634"/>
      <w:r>
        <w:rPr>
          <w:rFonts w:ascii="宋体" w:hint="eastAsia"/>
          <w:bCs/>
          <w:sz w:val="28"/>
          <w:szCs w:val="24"/>
        </w:rPr>
        <w:t>《ISO国际标准化组织标准</w:t>
      </w:r>
      <w:bookmarkEnd w:id="14"/>
      <w:r>
        <w:rPr>
          <w:rFonts w:ascii="宋体" w:hint="eastAsia"/>
          <w:bCs/>
          <w:sz w:val="28"/>
          <w:szCs w:val="24"/>
        </w:rPr>
        <w:t>》</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《JTJ221-98港口工程质量检验评定标准》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《JTJ297-2001港口，码头附属设施技术规范》</w:t>
      </w:r>
    </w:p>
    <w:p w:rsidR="00432F33" w:rsidRDefault="00432F33" w:rsidP="00432F33">
      <w:pPr>
        <w:spacing w:line="560" w:lineRule="exact"/>
        <w:ind w:firstLineChars="200" w:firstLine="560"/>
        <w:outlineLvl w:val="0"/>
        <w:rPr>
          <w:rFonts w:ascii="宋体" w:hint="eastAsia"/>
          <w:bCs/>
          <w:sz w:val="28"/>
          <w:szCs w:val="24"/>
        </w:rPr>
      </w:pPr>
      <w:bookmarkStart w:id="15" w:name="_Toc276126645"/>
      <w:r>
        <w:rPr>
          <w:rFonts w:ascii="宋体" w:hint="eastAsia"/>
          <w:bCs/>
          <w:sz w:val="28"/>
          <w:szCs w:val="24"/>
        </w:rPr>
        <w:t>3.2若施工方要采用其它国家标准补充或替代上述标准，须经采购方认可后方可采用。对于施工方制造厂标准，若高于经采购方认可的标准或其他标准的，施工方可以直接采用；对没有规定的标准，须征得采购方同意后方能采用。</w:t>
      </w:r>
      <w:bookmarkEnd w:id="15"/>
    </w:p>
    <w:p w:rsidR="00432F33" w:rsidRDefault="00432F33" w:rsidP="00432F33">
      <w:pPr>
        <w:spacing w:line="560" w:lineRule="exact"/>
        <w:ind w:firstLineChars="200" w:firstLine="560"/>
        <w:outlineLvl w:val="0"/>
        <w:rPr>
          <w:rFonts w:ascii="宋体" w:hint="eastAsia"/>
          <w:bCs/>
          <w:sz w:val="28"/>
          <w:szCs w:val="24"/>
        </w:rPr>
      </w:pPr>
      <w:bookmarkStart w:id="16" w:name="_Toc276126646"/>
      <w:r>
        <w:rPr>
          <w:rFonts w:ascii="宋体" w:hint="eastAsia"/>
          <w:bCs/>
          <w:sz w:val="28"/>
          <w:szCs w:val="24"/>
        </w:rPr>
        <w:t>3.3设计和制造所遵循的标准和规范，施工方需具体提供该标准</w:t>
      </w:r>
      <w:r>
        <w:rPr>
          <w:rFonts w:ascii="宋体" w:hint="eastAsia"/>
          <w:bCs/>
          <w:sz w:val="28"/>
          <w:szCs w:val="24"/>
        </w:rPr>
        <w:lastRenderedPageBreak/>
        <w:t>和规范。</w:t>
      </w:r>
      <w:bookmarkEnd w:id="16"/>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3.4上述标准均为截止日时的最新有效版。</w:t>
      </w:r>
    </w:p>
    <w:p w:rsidR="00432F33" w:rsidRDefault="00432F33" w:rsidP="00432F33">
      <w:pPr>
        <w:spacing w:line="560" w:lineRule="exact"/>
        <w:outlineLvl w:val="0"/>
        <w:rPr>
          <w:rFonts w:ascii="宋体" w:hint="eastAsia"/>
          <w:b/>
          <w:bCs/>
          <w:sz w:val="28"/>
          <w:szCs w:val="24"/>
        </w:rPr>
      </w:pPr>
      <w:bookmarkStart w:id="17" w:name="_Toc276126647"/>
      <w:bookmarkStart w:id="18" w:name="_Toc276630600"/>
      <w:bookmarkStart w:id="19" w:name="_Toc376968407"/>
      <w:r>
        <w:rPr>
          <w:rFonts w:ascii="宋体" w:hint="eastAsia"/>
          <w:b/>
          <w:bCs/>
          <w:sz w:val="28"/>
          <w:szCs w:val="24"/>
        </w:rPr>
        <w:t>4.详细技术要求</w:t>
      </w:r>
      <w:bookmarkStart w:id="20" w:name="_Toc376968408"/>
      <w:bookmarkEnd w:id="17"/>
      <w:bookmarkEnd w:id="18"/>
      <w:bookmarkEnd w:id="19"/>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4.1所更换电缆不得出现中间接头，两端必须吻合门机图纸和原标注线号，采用与电缆相符合的线号管打印后安装。</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4.2所有控制电缆经过部分须将动力电缆与控制电缆隔离区分，采用防火阻燃材料制作隔离板固定。</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4.3阻燃电缆技术要求：</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阻燃电缆采用交联聚氯乙烯绝缘阻燃电力电缆。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额定电压0.6/1KV。</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导体最高工作温度140℃。</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短路温度（持续最长5s）≤180℃。</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敷设时允许弯曲半径不小于电缆外径10倍。</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阻燃特性符合GB12666.5 A或B(IEC332-3)。</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4.4电缆在运输装卸过程中，不应使电缆及电缆盘受到损伤。严禁将电缆盘直接由车上推下；</w:t>
      </w:r>
      <w:r>
        <w:rPr>
          <w:rFonts w:ascii="宋体"/>
          <w:bCs/>
          <w:sz w:val="28"/>
          <w:szCs w:val="24"/>
        </w:rPr>
        <w:t> </w:t>
      </w:r>
      <w:r>
        <w:rPr>
          <w:rFonts w:ascii="宋体" w:hint="eastAsia"/>
          <w:bCs/>
          <w:sz w:val="28"/>
          <w:szCs w:val="24"/>
        </w:rPr>
        <w:t>滚动电缆盘时必须顺着电缆盘上的箭头指示或电缆的缠紧方向。</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4.5电缆敷设前应做检查，外观无损伤、绝缘良好。</w:t>
      </w:r>
      <w:r>
        <w:rPr>
          <w:rFonts w:ascii="宋体"/>
          <w:bCs/>
          <w:sz w:val="28"/>
          <w:szCs w:val="24"/>
        </w:rPr>
        <w:t> </w:t>
      </w:r>
      <w:r>
        <w:rPr>
          <w:rFonts w:ascii="宋体" w:hint="eastAsia"/>
          <w:bCs/>
          <w:sz w:val="28"/>
          <w:szCs w:val="24"/>
        </w:rPr>
        <w:t>在起始点及桥架转弯处放置滑轮，防止损伤电缆。电缆敷设位置选择在总配后侧桥架转弯处。</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4.6电缆敷设时电缆应从电缆盘上端引出，防止电缆在支架上及地面摩檫拖拉。</w:t>
      </w:r>
      <w:r>
        <w:rPr>
          <w:rFonts w:ascii="宋体"/>
          <w:bCs/>
          <w:sz w:val="28"/>
          <w:szCs w:val="24"/>
        </w:rPr>
        <w:t> </w:t>
      </w:r>
      <w:r>
        <w:rPr>
          <w:rFonts w:ascii="宋体" w:hint="eastAsia"/>
          <w:bCs/>
          <w:sz w:val="28"/>
          <w:szCs w:val="24"/>
        </w:rPr>
        <w:t>电缆敷设时应排列整齐、不宜交叉，及时加以固定，并装设标志牌。</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4.7电缆最大牵引强度不应超过70N/㎡。速度不宜超过15m/min。</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4.8电缆最小弯曲半径不得小于15D（D为电缆直径）。</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4.9水平敷设的电缆，在电缆首末两端及转弯、电缆接头的两端处，当对电缆间距有要求时，每隔5～10m处进行固定。</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4.10电缆敷设完毕后，及时清除杂物，盖好盖板。必要时，应将盖板缝隙密封。</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4.11电缆终端头制作前应对电缆进行检查，电缆绝缘状况良好；无受潮；电缆内不得进水。</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4.12附件规格应与电缆一致；零部件应齐全无损伤；绝缘材料不得受潮。</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4.13施工用机具齐全，便于操作，状况清洁，消耗材料齐备。</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4.14电缆终端头制作时，严格遵守制作工艺规程，空气相对湿度宜为70%以下，温度宜为10～35℃，严禁尘埃、杂物落入绝缘内。</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4.15制作电缆终端头，从剥切电缆开始应连续操作直至完成，缩短绝缘暴露时间。剥切电缆时不应损伤线芯和保留的绝缘层。附加绝缘的包绕、装配、热缩等应清洁。</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4.16电缆终端头应有改善电缆屏蔽端部电场集中的有效措施，并应确保外绝缘相间和对地距离。</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4.17电缆在剥切线芯绝缘、屏蔽、金属护套时，线芯沿绝缘表面至最近接地点（屏蔽或金属护套端部）的最小距离为50mm。剥除半导电屏蔽层时不得损伤绝缘表面。</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4.18电缆终端处的金属护层必须接地良好。电缆穿过零序电流互感器时，电缆金属护层和接地线应对地绝缘，电缆接地点在互感器以下时，接地线应直接接地；接地点在互感器以上时，接地线应绕过互感器接地。</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4.19拆除做好标记的旧电缆时，轻拿轻放已送电运行的电缆。拆除分段进行，每隔20～30m锯断，用绳索拴住后送到地面，严禁从高处抛掷。</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4.20其他技术要求：</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所有外置电缆不能出现明线，外置电缆使用普利卡穿线管进行处理，超过1m须采用金属镀锌穿线管走线，进出线口需进行防火密封处理。</w:t>
      </w:r>
    </w:p>
    <w:p w:rsidR="00432F33" w:rsidRDefault="00432F33" w:rsidP="00432F33">
      <w:pPr>
        <w:spacing w:line="560" w:lineRule="exact"/>
        <w:outlineLvl w:val="0"/>
        <w:rPr>
          <w:rFonts w:ascii="宋体" w:hint="eastAsia"/>
          <w:b/>
          <w:bCs/>
          <w:sz w:val="28"/>
          <w:szCs w:val="24"/>
        </w:rPr>
      </w:pPr>
      <w:r>
        <w:rPr>
          <w:rFonts w:ascii="宋体" w:hint="eastAsia"/>
          <w:b/>
          <w:bCs/>
          <w:sz w:val="28"/>
          <w:szCs w:val="24"/>
        </w:rPr>
        <w:t>5.图纸和技术文件</w:t>
      </w:r>
      <w:bookmarkEnd w:id="20"/>
    </w:p>
    <w:p w:rsidR="00432F33" w:rsidRDefault="00432F33" w:rsidP="00432F33">
      <w:pPr>
        <w:spacing w:line="560" w:lineRule="exact"/>
        <w:ind w:firstLineChars="200" w:firstLine="560"/>
        <w:outlineLvl w:val="0"/>
        <w:rPr>
          <w:rFonts w:ascii="宋体" w:hint="eastAsia"/>
          <w:bCs/>
          <w:sz w:val="28"/>
          <w:szCs w:val="24"/>
        </w:rPr>
      </w:pPr>
      <w:bookmarkStart w:id="21" w:name="_Toc376968409"/>
      <w:r>
        <w:rPr>
          <w:rFonts w:ascii="宋体" w:hint="eastAsia"/>
          <w:bCs/>
          <w:sz w:val="28"/>
          <w:szCs w:val="24"/>
        </w:rPr>
        <w:t>5.1结构和功能描述。</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5.2数据表（施工方的图纸资料交付表清单）。</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5.3设备主要部件材质及关键外购件的合格证明。</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5.4计划的文件、图纸交付安排，与技术联络安排。</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5.5技术资料包括图纸、安装使用说明书及其他技术资料，质量检验证书、产品合格证书、交货清单、电缆检测试验报告等。</w:t>
      </w:r>
      <w:bookmarkStart w:id="22" w:name="_Toc282520387"/>
      <w:bookmarkStart w:id="23" w:name="_Toc285541759"/>
      <w:bookmarkStart w:id="24" w:name="_Toc290563986"/>
      <w:bookmarkStart w:id="25" w:name="_Toc290627882"/>
      <w:bookmarkEnd w:id="22"/>
      <w:bookmarkEnd w:id="23"/>
      <w:bookmarkEnd w:id="24"/>
      <w:bookmarkEnd w:id="25"/>
    </w:p>
    <w:p w:rsidR="00432F33" w:rsidRDefault="00432F33" w:rsidP="00432F33">
      <w:pPr>
        <w:spacing w:line="560" w:lineRule="exact"/>
        <w:outlineLvl w:val="0"/>
        <w:rPr>
          <w:rFonts w:ascii="宋体" w:hint="eastAsia"/>
          <w:b/>
          <w:bCs/>
          <w:sz w:val="28"/>
          <w:szCs w:val="24"/>
        </w:rPr>
      </w:pPr>
      <w:r>
        <w:rPr>
          <w:rFonts w:ascii="宋体" w:hint="eastAsia"/>
          <w:b/>
          <w:bCs/>
          <w:sz w:val="28"/>
          <w:szCs w:val="24"/>
        </w:rPr>
        <w:t>6.施工方案及过程控制</w:t>
      </w:r>
      <w:bookmarkEnd w:id="21"/>
    </w:p>
    <w:p w:rsidR="00432F33" w:rsidRDefault="00432F33" w:rsidP="00432F33">
      <w:pPr>
        <w:spacing w:line="560" w:lineRule="exact"/>
        <w:ind w:firstLineChars="200" w:firstLine="560"/>
        <w:outlineLvl w:val="0"/>
        <w:rPr>
          <w:rFonts w:ascii="宋体" w:hint="eastAsia"/>
          <w:bCs/>
          <w:sz w:val="28"/>
          <w:szCs w:val="24"/>
        </w:rPr>
      </w:pPr>
      <w:bookmarkStart w:id="26" w:name="_Toc376968411"/>
      <w:r>
        <w:rPr>
          <w:rFonts w:ascii="宋体" w:hint="eastAsia"/>
          <w:bCs/>
          <w:sz w:val="28"/>
          <w:szCs w:val="24"/>
        </w:rPr>
        <w:t>6.1施工方应根据现场勘查结果制定施工组织方案。本改造项目总工期自合同签订之日开始6个月完成设备安装调试。自合同签订之日开始15天内，施工方在投标时应列出所有设备的安装调试工期计划、图纸资料，并应明确各项工作是否需要生产停机，如需停机请说明停机时间。</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 xml:space="preserve">6.2施工方在施工前需向采购方进行施工申请，在得到采购方的同意后方可进行施工。由于采购方的原因导致施工方无法进行现场施工时，本改造项目总工期相应顺延，但现场实施改造工期仍不得超出上述要求。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lastRenderedPageBreak/>
        <w:t>6.3施工前要做好准备，所有材料运抵现场，待采购方确认后进行施工。</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6.4在每项工作开始和终结及含有隐蔽工程的工作结束时，施工方均应通知采购方负责人进行现场确认和验收。</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6.5作业现场要按规定设置足够的安全警示标志，进入施工现场必须配戴安全帽。</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6.6安全标志必须醒目，应设在与安全有关的地方，不宜设在门窗、架子等可移动的物体上，并得到妥善保护。</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6.7临时设施必须要求配置消防设施，并保持干净、整洁,并有标识。</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6.8工作面与通道应安全合理、清洁无杂物、无积水，同时设立安全出口指示牌。</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6.9通道要保持畅通无阻，采取有效的防滑措施，室内疏散通道有标识。</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6.10工作面上有坠落的可能的临边、孔洞必须采取合适的护栏、盖板等防护措施，并且设置警示标志和挡脚板，系好安全带。</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6.11现场危险作业区域，如电缆敷设机、电缆盘吊装，要采取有效的隔离措施，设置明显的警告牌，防止无关人员进入作业区。</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6.12电气设备和线路的绝缘应保持良好，或者设置遮拦和明显的警告标志。</w:t>
      </w:r>
      <w:r>
        <w:rPr>
          <w:rFonts w:ascii="宋体"/>
          <w:bCs/>
          <w:sz w:val="28"/>
          <w:szCs w:val="24"/>
        </w:rPr>
        <w:t> </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6.13施工现场要设置安全员，做好安全工作。</w:t>
      </w:r>
    </w:p>
    <w:p w:rsidR="00432F33" w:rsidRDefault="00432F33" w:rsidP="00432F33">
      <w:pPr>
        <w:spacing w:line="560" w:lineRule="exact"/>
        <w:outlineLvl w:val="0"/>
        <w:rPr>
          <w:rFonts w:ascii="宋体" w:hint="eastAsia"/>
          <w:b/>
          <w:bCs/>
          <w:sz w:val="28"/>
          <w:szCs w:val="24"/>
        </w:rPr>
      </w:pPr>
      <w:r>
        <w:rPr>
          <w:rFonts w:ascii="宋体" w:hint="eastAsia"/>
          <w:b/>
          <w:bCs/>
          <w:sz w:val="28"/>
          <w:szCs w:val="24"/>
        </w:rPr>
        <w:t>7.质量保证及服务承诺</w:t>
      </w:r>
      <w:bookmarkEnd w:id="26"/>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7.1凡在开箱检验、安装调试、设备试运转过程中发现的设备质量问题，由施工方负责处理，实行包修、包换、包退直至产品符合质</w:t>
      </w:r>
      <w:r>
        <w:rPr>
          <w:rFonts w:ascii="宋体" w:hint="eastAsia"/>
          <w:bCs/>
          <w:sz w:val="28"/>
          <w:szCs w:val="24"/>
        </w:rPr>
        <w:lastRenderedPageBreak/>
        <w:t>量要求，施工方承担修理、调换、退货发生的一切费用和采购方的直接经济损失。</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7.2质保期限：项目验收合格后12个月。</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7.3工程交付后在保修期内出现了问题，施工方在接到采购方通知后12小时内赶到现场，无偿进行返修或返工。</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7.4工程交付后，施工方负责向采购方相关人员培训有关设备的使用、维护事项。施工方应选派称职的、有丰富经验的技术人员进行技术培训。</w:t>
      </w:r>
    </w:p>
    <w:p w:rsidR="00432F33" w:rsidRDefault="00432F33" w:rsidP="00432F33">
      <w:pPr>
        <w:spacing w:line="560" w:lineRule="exact"/>
        <w:outlineLvl w:val="0"/>
        <w:rPr>
          <w:rFonts w:ascii="宋体" w:hint="eastAsia"/>
          <w:b/>
          <w:bCs/>
          <w:sz w:val="28"/>
          <w:szCs w:val="24"/>
        </w:rPr>
      </w:pPr>
      <w:r>
        <w:rPr>
          <w:rFonts w:ascii="宋体" w:hint="eastAsia"/>
          <w:b/>
          <w:bCs/>
          <w:sz w:val="28"/>
          <w:szCs w:val="24"/>
        </w:rPr>
        <w:t>8.项目验收</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8.1施工方在电源线铺设完毕的基础上，应按合同规定进行确认，并进行电缆阻值试验，应由采购方证明并记录，施工方建议的其它试验也可以进行。</w:t>
      </w:r>
    </w:p>
    <w:p w:rsidR="00432F33" w:rsidRDefault="00432F33" w:rsidP="00432F33">
      <w:pPr>
        <w:spacing w:line="560" w:lineRule="exact"/>
        <w:ind w:firstLineChars="200" w:firstLine="560"/>
        <w:outlineLvl w:val="0"/>
        <w:rPr>
          <w:rFonts w:ascii="宋体" w:hint="eastAsia"/>
          <w:bCs/>
          <w:sz w:val="28"/>
          <w:szCs w:val="24"/>
        </w:rPr>
      </w:pPr>
      <w:r>
        <w:rPr>
          <w:rFonts w:ascii="宋体" w:hint="eastAsia"/>
          <w:bCs/>
          <w:sz w:val="28"/>
          <w:szCs w:val="24"/>
        </w:rPr>
        <w:t>8.2项目实施完毕后，采购方根据设备的实际运行情况和施工方提出的书面验收申请组织相关部门按照国家规范、合同及相关文件要求进行验收。如果由于施工方原因造成现场敷设不规范，电缆阻值未达到门机允许使用要求或不能满足合同要求时，采购方有权不予验收，直到达到要求。</w:t>
      </w:r>
    </w:p>
    <w:p w:rsidR="00BD6310" w:rsidRDefault="00BD6310"/>
    <w:sectPr w:rsidR="00BD63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310" w:rsidRDefault="00BD6310" w:rsidP="00432F33">
      <w:r>
        <w:separator/>
      </w:r>
    </w:p>
  </w:endnote>
  <w:endnote w:type="continuationSeparator" w:id="1">
    <w:p w:rsidR="00BD6310" w:rsidRDefault="00BD6310" w:rsidP="00432F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310" w:rsidRDefault="00BD6310" w:rsidP="00432F33">
      <w:r>
        <w:separator/>
      </w:r>
    </w:p>
  </w:footnote>
  <w:footnote w:type="continuationSeparator" w:id="1">
    <w:p w:rsidR="00BD6310" w:rsidRDefault="00BD6310" w:rsidP="00432F3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32F33"/>
    <w:rsid w:val="00432F33"/>
    <w:rsid w:val="00BD63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F3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32F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32F33"/>
    <w:rPr>
      <w:sz w:val="18"/>
      <w:szCs w:val="18"/>
    </w:rPr>
  </w:style>
  <w:style w:type="paragraph" w:styleId="a4">
    <w:name w:val="footer"/>
    <w:basedOn w:val="a"/>
    <w:link w:val="Char0"/>
    <w:uiPriority w:val="99"/>
    <w:semiHidden/>
    <w:unhideWhenUsed/>
    <w:rsid w:val="00432F3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32F33"/>
    <w:rPr>
      <w:sz w:val="18"/>
      <w:szCs w:val="18"/>
    </w:rPr>
  </w:style>
</w:styles>
</file>

<file path=word/webSettings.xml><?xml version="1.0" encoding="utf-8"?>
<w:webSettings xmlns:r="http://schemas.openxmlformats.org/officeDocument/2006/relationships" xmlns:w="http://schemas.openxmlformats.org/wordprocessingml/2006/main">
  <w:divs>
    <w:div w:id="134139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739</Words>
  <Characters>4213</Characters>
  <Application>Microsoft Office Word</Application>
  <DocSecurity>0</DocSecurity>
  <Lines>35</Lines>
  <Paragraphs>9</Paragraphs>
  <ScaleCrop>false</ScaleCrop>
  <Company/>
  <LinksUpToDate>false</LinksUpToDate>
  <CharactersWithSpaces>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qjh</dc:creator>
  <cp:keywords/>
  <dc:description/>
  <cp:lastModifiedBy>qjh</cp:lastModifiedBy>
  <cp:revision>2</cp:revision>
  <dcterms:created xsi:type="dcterms:W3CDTF">2016-12-21T02:59:00Z</dcterms:created>
  <dcterms:modified xsi:type="dcterms:W3CDTF">2016-12-21T02:59:00Z</dcterms:modified>
</cp:coreProperties>
</file>