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2BBA" w:rsidRDefault="00DE2BBA" w:rsidP="00DE2BBA">
      <w:pPr>
        <w:jc w:val="center"/>
        <w:rPr>
          <w:rFonts w:ascii="宋体" w:hAnsi="宋体" w:hint="eastAsia"/>
          <w:b/>
          <w:sz w:val="30"/>
          <w:szCs w:val="30"/>
        </w:rPr>
      </w:pPr>
      <w:r w:rsidRPr="00DE2BBA">
        <w:rPr>
          <w:rFonts w:ascii="宋体" w:hAnsi="宋体" w:hint="eastAsia"/>
          <w:b/>
          <w:sz w:val="30"/>
          <w:szCs w:val="30"/>
        </w:rPr>
        <w:t>黄骅港煤炭港区铁路返空物流堆场工程</w:t>
      </w:r>
    </w:p>
    <w:p w:rsidR="00DE2BBA" w:rsidRPr="00F40749" w:rsidRDefault="00DE2BBA" w:rsidP="00DE2BBA">
      <w:pPr>
        <w:jc w:val="center"/>
        <w:rPr>
          <w:rFonts w:ascii="宋体" w:hAnsi="宋体"/>
          <w:b/>
          <w:sz w:val="30"/>
          <w:szCs w:val="30"/>
        </w:rPr>
      </w:pPr>
      <w:r w:rsidRPr="00F40749">
        <w:rPr>
          <w:rFonts w:ascii="宋体" w:hAnsi="宋体" w:hint="eastAsia"/>
          <w:b/>
          <w:sz w:val="30"/>
          <w:szCs w:val="30"/>
        </w:rPr>
        <w:t>工可研报告编制要求</w:t>
      </w:r>
    </w:p>
    <w:p w:rsidR="00DE2BBA" w:rsidRPr="00C743FB" w:rsidRDefault="00DE2BBA" w:rsidP="00DE2BBA">
      <w:pPr>
        <w:spacing w:line="360" w:lineRule="auto"/>
        <w:outlineLvl w:val="0"/>
        <w:rPr>
          <w:b/>
        </w:rPr>
      </w:pPr>
      <w:r w:rsidRPr="00C743FB">
        <w:rPr>
          <w:rFonts w:hint="eastAsia"/>
          <w:b/>
        </w:rPr>
        <w:t>1</w:t>
      </w:r>
      <w:r w:rsidRPr="00C743FB">
        <w:rPr>
          <w:rFonts w:hint="eastAsia"/>
          <w:b/>
        </w:rPr>
        <w:t>．</w:t>
      </w:r>
      <w:r>
        <w:rPr>
          <w:rFonts w:hint="eastAsia"/>
          <w:b/>
        </w:rPr>
        <w:t>工程概况</w:t>
      </w:r>
    </w:p>
    <w:p w:rsidR="00DE2BBA" w:rsidRDefault="00DE2BBA" w:rsidP="00DE2BBA">
      <w:pPr>
        <w:spacing w:line="360" w:lineRule="auto"/>
        <w:ind w:firstLine="420"/>
      </w:pPr>
      <w:r>
        <w:rPr>
          <w:rFonts w:hint="eastAsia"/>
        </w:rPr>
        <w:t>黄骅港煤炭港区</w:t>
      </w:r>
      <w:r>
        <w:rPr>
          <w:rFonts w:hint="eastAsia"/>
        </w:rPr>
        <w:t>3#</w:t>
      </w:r>
      <w:r>
        <w:rPr>
          <w:rFonts w:hint="eastAsia"/>
        </w:rPr>
        <w:t>、</w:t>
      </w:r>
      <w:r>
        <w:rPr>
          <w:rFonts w:hint="eastAsia"/>
        </w:rPr>
        <w:t>4#</w:t>
      </w:r>
      <w:r>
        <w:rPr>
          <w:rFonts w:hint="eastAsia"/>
        </w:rPr>
        <w:t>通用散杂货码头工程新建</w:t>
      </w:r>
      <w:r>
        <w:rPr>
          <w:rFonts w:hint="eastAsia"/>
        </w:rPr>
        <w:t>2</w:t>
      </w:r>
      <w:r>
        <w:rPr>
          <w:rFonts w:hint="eastAsia"/>
        </w:rPr>
        <w:t>个</w:t>
      </w:r>
      <w:r>
        <w:rPr>
          <w:rFonts w:hint="eastAsia"/>
        </w:rPr>
        <w:t>5</w:t>
      </w:r>
      <w:r>
        <w:rPr>
          <w:rFonts w:hint="eastAsia"/>
        </w:rPr>
        <w:t>万吨级通用泊位，设计年吞吐量</w:t>
      </w:r>
      <w:r>
        <w:rPr>
          <w:rFonts w:hint="eastAsia"/>
        </w:rPr>
        <w:t>800</w:t>
      </w:r>
      <w:r>
        <w:rPr>
          <w:rFonts w:hint="eastAsia"/>
        </w:rPr>
        <w:t>万吨（其中，储煤基地项目倒运煤炭</w:t>
      </w:r>
      <w:r>
        <w:rPr>
          <w:rFonts w:hint="eastAsia"/>
        </w:rPr>
        <w:t>600</w:t>
      </w:r>
      <w:r>
        <w:rPr>
          <w:rFonts w:hint="eastAsia"/>
        </w:rPr>
        <w:t>万吨，接卸矿石</w:t>
      </w:r>
      <w:r>
        <w:rPr>
          <w:rFonts w:hint="eastAsia"/>
        </w:rPr>
        <w:t>200</w:t>
      </w:r>
      <w:r>
        <w:rPr>
          <w:rFonts w:hint="eastAsia"/>
        </w:rPr>
        <w:t>万吨）。该项目接卸矿石拟利用港区煤炭卸空车皮，经朔黄铁路向后方反向运输，实现铁路车皮的“钟摆式”运输，对发挥港口及铁路富裕运能，发挥集团综合运输体系优势，具备指导意义。</w:t>
      </w:r>
    </w:p>
    <w:p w:rsidR="00DE2BBA" w:rsidRDefault="00DE2BBA" w:rsidP="00DE2BBA">
      <w:pPr>
        <w:spacing w:line="360" w:lineRule="auto"/>
        <w:ind w:firstLine="420"/>
      </w:pPr>
      <w:r>
        <w:rPr>
          <w:rFonts w:hint="eastAsia"/>
        </w:rPr>
        <w:t>目前，黄骅港煤炭港区</w:t>
      </w:r>
      <w:r>
        <w:rPr>
          <w:rFonts w:hint="eastAsia"/>
        </w:rPr>
        <w:t>3#</w:t>
      </w:r>
      <w:r>
        <w:rPr>
          <w:rFonts w:hint="eastAsia"/>
        </w:rPr>
        <w:t>、</w:t>
      </w:r>
      <w:r>
        <w:rPr>
          <w:rFonts w:hint="eastAsia"/>
        </w:rPr>
        <w:t>4#</w:t>
      </w:r>
      <w:r>
        <w:rPr>
          <w:rFonts w:hint="eastAsia"/>
        </w:rPr>
        <w:t>通用散杂货码头工程核准在即，而港区内无铁路装车线及富裕堆场。为保证码头接卸矿石的反向运输，急需建设铁路返空物流堆场及铁路装车线。</w:t>
      </w:r>
    </w:p>
    <w:p w:rsidR="00DE2BBA" w:rsidRPr="00976FF6" w:rsidRDefault="00DE2BBA" w:rsidP="00DE2BBA">
      <w:pPr>
        <w:spacing w:line="360" w:lineRule="auto"/>
        <w:ind w:firstLine="420"/>
      </w:pPr>
      <w:r>
        <w:rPr>
          <w:rFonts w:hint="eastAsia"/>
        </w:rPr>
        <w:t>经对港区各区域现状及规划的综合分析，</w:t>
      </w:r>
      <w:r w:rsidRPr="007021FC">
        <w:rPr>
          <w:rFonts w:hint="eastAsia"/>
        </w:rPr>
        <w:t>朔黄路与铁路车场之间的狭长区域</w:t>
      </w:r>
      <w:r>
        <w:rPr>
          <w:rFonts w:hint="eastAsia"/>
        </w:rPr>
        <w:t>适宜</w:t>
      </w:r>
      <w:r w:rsidRPr="007021FC">
        <w:rPr>
          <w:rFonts w:hint="eastAsia"/>
        </w:rPr>
        <w:t>建设铁路返空物流堆场。主要建设内容为布置</w:t>
      </w:r>
      <w:r w:rsidRPr="007021FC">
        <w:rPr>
          <w:rFonts w:hint="eastAsia"/>
        </w:rPr>
        <w:t>2</w:t>
      </w:r>
      <w:r w:rsidRPr="007021FC">
        <w:rPr>
          <w:rFonts w:hint="eastAsia"/>
        </w:rPr>
        <w:t>条铁路装卸线，铁路接引自黄骅港站咽喉区，铁路有效长度约</w:t>
      </w:r>
      <w:r w:rsidRPr="007021FC">
        <w:rPr>
          <w:rFonts w:hint="eastAsia"/>
        </w:rPr>
        <w:t>1200m</w:t>
      </w:r>
      <w:r w:rsidRPr="007021FC">
        <w:rPr>
          <w:rFonts w:hint="eastAsia"/>
        </w:rPr>
        <w:t>；堆场面积约</w:t>
      </w:r>
      <w:r w:rsidRPr="007021FC">
        <w:rPr>
          <w:rFonts w:hint="eastAsia"/>
        </w:rPr>
        <w:t>16</w:t>
      </w:r>
      <w:r w:rsidRPr="007021FC">
        <w:rPr>
          <w:rFonts w:hint="eastAsia"/>
        </w:rPr>
        <w:t>万</w:t>
      </w:r>
      <w:r w:rsidRPr="007021FC">
        <w:rPr>
          <w:rFonts w:hint="eastAsia"/>
        </w:rPr>
        <w:t>m2</w:t>
      </w:r>
      <w:r w:rsidRPr="007021FC">
        <w:rPr>
          <w:rFonts w:hint="eastAsia"/>
        </w:rPr>
        <w:t>，地基处理完成后敷设面层及其他照明、污水处理、给水消防、通信控制等设施；堆场四周设置高度</w:t>
      </w:r>
      <w:r w:rsidRPr="007021FC">
        <w:rPr>
          <w:rFonts w:hint="eastAsia"/>
        </w:rPr>
        <w:t>11m</w:t>
      </w:r>
      <w:r w:rsidRPr="007021FC">
        <w:rPr>
          <w:rFonts w:hint="eastAsia"/>
        </w:rPr>
        <w:t>防风网，南侧开口，通过汽运通道与朔黄路连通。</w:t>
      </w:r>
    </w:p>
    <w:p w:rsidR="00DE2BBA" w:rsidRPr="005E7899" w:rsidRDefault="00DE2BBA" w:rsidP="00DE2BBA">
      <w:pPr>
        <w:spacing w:line="360" w:lineRule="auto"/>
        <w:outlineLvl w:val="0"/>
        <w:rPr>
          <w:b/>
        </w:rPr>
      </w:pPr>
      <w:r w:rsidRPr="005E7899">
        <w:rPr>
          <w:rFonts w:hint="eastAsia"/>
          <w:b/>
        </w:rPr>
        <w:t>2</w:t>
      </w:r>
      <w:r w:rsidRPr="005E7899">
        <w:rPr>
          <w:rFonts w:hint="eastAsia"/>
          <w:b/>
        </w:rPr>
        <w:t>、接口条件</w:t>
      </w:r>
    </w:p>
    <w:p w:rsidR="00DE2BBA" w:rsidRPr="00E30B2E" w:rsidRDefault="00DE2BBA" w:rsidP="00DE2BBA">
      <w:pPr>
        <w:spacing w:line="360" w:lineRule="auto"/>
        <w:ind w:firstLine="420"/>
      </w:pPr>
      <w:r>
        <w:rPr>
          <w:rFonts w:hint="eastAsia"/>
        </w:rPr>
        <w:t>本工程水、电、讯、道路均就近接自港区既有设施</w:t>
      </w:r>
      <w:r w:rsidRPr="00E30B2E">
        <w:rPr>
          <w:rFonts w:hint="eastAsia"/>
        </w:rPr>
        <w:t>。</w:t>
      </w:r>
    </w:p>
    <w:p w:rsidR="00DE2BBA" w:rsidRPr="005E7899" w:rsidRDefault="00DE2BBA" w:rsidP="00DE2BBA">
      <w:pPr>
        <w:spacing w:line="360" w:lineRule="auto"/>
        <w:outlineLvl w:val="0"/>
        <w:rPr>
          <w:b/>
        </w:rPr>
      </w:pPr>
      <w:r>
        <w:rPr>
          <w:rFonts w:hint="eastAsia"/>
          <w:b/>
        </w:rPr>
        <w:t>3</w:t>
      </w:r>
      <w:r w:rsidRPr="005E7899">
        <w:rPr>
          <w:rFonts w:hint="eastAsia"/>
          <w:b/>
        </w:rPr>
        <w:t>、</w:t>
      </w:r>
      <w:r>
        <w:rPr>
          <w:rFonts w:hint="eastAsia"/>
          <w:b/>
        </w:rPr>
        <w:t>技术要求</w:t>
      </w:r>
    </w:p>
    <w:p w:rsidR="00DE2BBA" w:rsidRPr="00EB5C0D" w:rsidRDefault="00DE2BBA" w:rsidP="00DE2BBA">
      <w:pPr>
        <w:spacing w:line="360" w:lineRule="auto"/>
        <w:ind w:firstLine="420"/>
        <w:outlineLvl w:val="1"/>
        <w:rPr>
          <w:b/>
        </w:rPr>
      </w:pPr>
      <w:r w:rsidRPr="00EB5C0D">
        <w:rPr>
          <w:rFonts w:hint="eastAsia"/>
          <w:b/>
        </w:rPr>
        <w:t>3.1</w:t>
      </w:r>
      <w:r w:rsidRPr="00EB5C0D">
        <w:rPr>
          <w:rFonts w:hint="eastAsia"/>
          <w:b/>
        </w:rPr>
        <w:t>本项目勘察设计总体要求</w:t>
      </w:r>
    </w:p>
    <w:p w:rsidR="00DE2BBA" w:rsidRPr="00926D74" w:rsidRDefault="00DE2BBA" w:rsidP="00DE2BBA">
      <w:pPr>
        <w:spacing w:line="360" w:lineRule="auto"/>
        <w:ind w:firstLine="420"/>
      </w:pPr>
      <w:r w:rsidRPr="00926D74">
        <w:rPr>
          <w:rFonts w:hint="eastAsia"/>
        </w:rPr>
        <w:t>（</w:t>
      </w:r>
      <w:r w:rsidRPr="00926D74">
        <w:rPr>
          <w:rFonts w:hint="eastAsia"/>
        </w:rPr>
        <w:t>1</w:t>
      </w:r>
      <w:r w:rsidRPr="00926D74">
        <w:rPr>
          <w:rFonts w:hint="eastAsia"/>
        </w:rPr>
        <w:t>）设计人应按国家、行业和双方约定的技术规范、标准、审查意见、批复及本合同规定的设计原则和设备选型原则勤勉尽责地进行项目的勘察设计工作，严格掌握设计标准，控制项目造价。</w:t>
      </w:r>
    </w:p>
    <w:p w:rsidR="00DE2BBA" w:rsidRPr="00926D74" w:rsidRDefault="00DE2BBA" w:rsidP="00DE2BBA">
      <w:pPr>
        <w:spacing w:line="360" w:lineRule="auto"/>
        <w:ind w:firstLine="420"/>
      </w:pPr>
      <w:r w:rsidRPr="00926D74">
        <w:rPr>
          <w:rFonts w:hint="eastAsia"/>
        </w:rPr>
        <w:t>（</w:t>
      </w:r>
      <w:r w:rsidRPr="00926D74">
        <w:rPr>
          <w:rFonts w:hint="eastAsia"/>
        </w:rPr>
        <w:t>2</w:t>
      </w:r>
      <w:r w:rsidRPr="00926D74">
        <w:rPr>
          <w:rFonts w:hint="eastAsia"/>
        </w:rPr>
        <w:t>）设计除满足国家法律、行业规范中规定的设计内容和深度以外，设计人编制的工程可行性研究报告，</w:t>
      </w:r>
      <w:r>
        <w:rPr>
          <w:rFonts w:hint="eastAsia"/>
        </w:rPr>
        <w:t>应当满足国家相关部门审批、确定工程造价、指导初步设计文件的需要</w:t>
      </w:r>
      <w:r w:rsidRPr="00926D74">
        <w:rPr>
          <w:rFonts w:hint="eastAsia"/>
        </w:rPr>
        <w:t>。</w:t>
      </w:r>
    </w:p>
    <w:p w:rsidR="00DE2BBA" w:rsidRPr="00926D74" w:rsidRDefault="00DE2BBA" w:rsidP="00DE2BBA">
      <w:pPr>
        <w:spacing w:line="360" w:lineRule="auto"/>
        <w:ind w:firstLine="420"/>
      </w:pPr>
      <w:r w:rsidRPr="00926D74">
        <w:rPr>
          <w:rFonts w:hint="eastAsia"/>
        </w:rPr>
        <w:t>（</w:t>
      </w:r>
      <w:r w:rsidRPr="00926D74">
        <w:rPr>
          <w:rFonts w:hint="eastAsia"/>
        </w:rPr>
        <w:t>3</w:t>
      </w:r>
      <w:r w:rsidRPr="00926D74">
        <w:rPr>
          <w:rFonts w:hint="eastAsia"/>
        </w:rPr>
        <w:t>）对采用的各新技术、新材料、新工艺、新方法均需认真分析与试验，确保可操作性、可靠性、耐久性与经济合理性。</w:t>
      </w:r>
    </w:p>
    <w:p w:rsidR="00DE2BBA" w:rsidRPr="00926D74" w:rsidRDefault="00DE2BBA" w:rsidP="00DE2BBA">
      <w:pPr>
        <w:spacing w:line="360" w:lineRule="auto"/>
        <w:ind w:firstLine="420"/>
      </w:pPr>
      <w:r w:rsidRPr="00926D74">
        <w:rPr>
          <w:rFonts w:hint="eastAsia"/>
        </w:rPr>
        <w:t>（</w:t>
      </w:r>
      <w:r w:rsidRPr="00926D74">
        <w:rPr>
          <w:rFonts w:hint="eastAsia"/>
        </w:rPr>
        <w:t>4</w:t>
      </w:r>
      <w:r w:rsidRPr="00926D74">
        <w:rPr>
          <w:rFonts w:hint="eastAsia"/>
        </w:rPr>
        <w:t>）对工程方案进行优化和方案比选，做到经济合理、技术可行，便于施工与管理。</w:t>
      </w:r>
    </w:p>
    <w:p w:rsidR="00DE2BBA" w:rsidRPr="00EB5C0D" w:rsidRDefault="00DE2BBA" w:rsidP="00DE2BBA">
      <w:pPr>
        <w:spacing w:line="360" w:lineRule="auto"/>
        <w:ind w:firstLine="420"/>
        <w:outlineLvl w:val="1"/>
        <w:rPr>
          <w:b/>
        </w:rPr>
      </w:pPr>
      <w:r w:rsidRPr="00EB5C0D">
        <w:rPr>
          <w:rFonts w:hint="eastAsia"/>
          <w:b/>
        </w:rPr>
        <w:t>3.2</w:t>
      </w:r>
      <w:r w:rsidRPr="00EB5C0D">
        <w:rPr>
          <w:rFonts w:hint="eastAsia"/>
          <w:b/>
        </w:rPr>
        <w:t>本项目勘察设计具体要求</w:t>
      </w:r>
    </w:p>
    <w:p w:rsidR="00DE2BBA" w:rsidRDefault="00DE2BBA" w:rsidP="00DE2BBA">
      <w:pPr>
        <w:spacing w:line="360" w:lineRule="auto"/>
        <w:ind w:firstLine="420"/>
        <w:rPr>
          <w:rFonts w:hint="eastAsia"/>
        </w:rPr>
      </w:pPr>
      <w:r w:rsidRPr="00926D74">
        <w:rPr>
          <w:rFonts w:hint="eastAsia"/>
        </w:rPr>
        <w:t>提交的工程可行性研究报告应符合《</w:t>
      </w:r>
      <w:r>
        <w:rPr>
          <w:rFonts w:hint="eastAsia"/>
        </w:rPr>
        <w:t>港口</w:t>
      </w:r>
      <w:r w:rsidRPr="00926D74">
        <w:rPr>
          <w:rFonts w:hint="eastAsia"/>
        </w:rPr>
        <w:t>建设项目预可行性研究报告和工程可行性研究报告编制办法》的规定及现行其他勘察设计标准、规范、规程、定额和办法等要求，并应通</w:t>
      </w:r>
      <w:r w:rsidRPr="00926D74">
        <w:rPr>
          <w:rFonts w:hint="eastAsia"/>
        </w:rPr>
        <w:lastRenderedPageBreak/>
        <w:t>过业主和主管部门的审查。</w:t>
      </w:r>
    </w:p>
    <w:p w:rsidR="00DE2BBA" w:rsidRPr="00926D74" w:rsidRDefault="00DE2BBA" w:rsidP="00DE2BBA">
      <w:pPr>
        <w:spacing w:line="360" w:lineRule="auto"/>
        <w:ind w:firstLine="420"/>
      </w:pPr>
      <w:r>
        <w:rPr>
          <w:rFonts w:hint="eastAsia"/>
        </w:rPr>
        <w:t>1</w:t>
      </w:r>
      <w:r>
        <w:rPr>
          <w:rFonts w:hint="eastAsia"/>
        </w:rPr>
        <w:t>）本项目工程勘察设计</w:t>
      </w:r>
      <w:r w:rsidRPr="00926D74">
        <w:rPr>
          <w:rFonts w:hint="eastAsia"/>
        </w:rPr>
        <w:t>的内容、方法、工作量及技术要求应严格按照国家现行勘测（察）设计规程、规范及本招标文件有关规定执行。在工作过程中，超出规程、规范及本招标文件要求的工作内容及工作量，设计人应根据实际情况提出超计划工作内容和工作量，经业主批准后方可实施。</w:t>
      </w:r>
    </w:p>
    <w:p w:rsidR="00DE2BBA" w:rsidRPr="00926D74" w:rsidRDefault="00DE2BBA" w:rsidP="00DE2BBA">
      <w:pPr>
        <w:spacing w:line="360" w:lineRule="auto"/>
        <w:ind w:firstLine="420"/>
      </w:pPr>
      <w:r>
        <w:rPr>
          <w:rFonts w:hint="eastAsia"/>
        </w:rPr>
        <w:t>2</w:t>
      </w:r>
      <w:r w:rsidRPr="00926D74">
        <w:rPr>
          <w:rFonts w:hint="eastAsia"/>
        </w:rPr>
        <w:t>）设计人应严格按照国家、交通</w:t>
      </w:r>
      <w:r>
        <w:rPr>
          <w:rFonts w:hint="eastAsia"/>
        </w:rPr>
        <w:t>运输部</w:t>
      </w:r>
      <w:r w:rsidRPr="00926D74">
        <w:rPr>
          <w:rFonts w:hint="eastAsia"/>
        </w:rPr>
        <w:t>有关工程地质勘察的要求进行工程地质和水文地质的内、外业工作，其勘察资料（包括原始记录）应及时、全面、准确、可靠。对勘察设计外业钻探资料，业主有权组织或委托有资质的单位对设计人提交成果进行钻探检查。如复核钻探资料无误，则其检验费用由业主承担，否则其检验费用由设计人承担。钻探的岩芯须妥善保存至工程交工验收后才可废弃。</w:t>
      </w:r>
    </w:p>
    <w:p w:rsidR="00DE2BBA" w:rsidRPr="00EB5C0D" w:rsidRDefault="00DE2BBA" w:rsidP="00DE2BBA">
      <w:pPr>
        <w:spacing w:line="360" w:lineRule="auto"/>
        <w:ind w:firstLine="420"/>
        <w:outlineLvl w:val="1"/>
        <w:rPr>
          <w:b/>
        </w:rPr>
      </w:pPr>
      <w:r w:rsidRPr="00EB5C0D">
        <w:rPr>
          <w:rFonts w:hint="eastAsia"/>
          <w:b/>
        </w:rPr>
        <w:t>3.3</w:t>
      </w:r>
      <w:r w:rsidRPr="00EB5C0D">
        <w:rPr>
          <w:rFonts w:hint="eastAsia"/>
          <w:b/>
        </w:rPr>
        <w:t>主要技术标准</w:t>
      </w:r>
    </w:p>
    <w:p w:rsidR="00DE2BBA" w:rsidRDefault="00DE2BBA" w:rsidP="00DE2BBA">
      <w:pPr>
        <w:spacing w:line="360" w:lineRule="auto"/>
        <w:ind w:firstLine="420"/>
      </w:pPr>
      <w:r>
        <w:rPr>
          <w:rFonts w:hint="eastAsia"/>
        </w:rPr>
        <w:t>（</w:t>
      </w:r>
      <w:r>
        <w:rPr>
          <w:rFonts w:hint="eastAsia"/>
        </w:rPr>
        <w:t>1</w:t>
      </w:r>
      <w:r>
        <w:rPr>
          <w:rFonts w:hint="eastAsia"/>
        </w:rPr>
        <w:t>）项目建设必要性和规模</w:t>
      </w:r>
    </w:p>
    <w:p w:rsidR="00DE2BBA" w:rsidRDefault="00DE2BBA" w:rsidP="00DE2BBA">
      <w:pPr>
        <w:spacing w:line="360" w:lineRule="auto"/>
        <w:ind w:firstLine="420"/>
      </w:pPr>
      <w:r>
        <w:rPr>
          <w:rFonts w:hint="eastAsia"/>
        </w:rPr>
        <w:t>应根据港区现状分析及配套项目对本工程需求的迫切性，对项目建设的必要性和建设时机进行充分论证，已使得项目能够获批。</w:t>
      </w:r>
    </w:p>
    <w:p w:rsidR="00DE2BBA" w:rsidRDefault="00DE2BBA" w:rsidP="00DE2BBA">
      <w:pPr>
        <w:spacing w:line="360" w:lineRule="auto"/>
        <w:ind w:firstLine="420"/>
      </w:pPr>
      <w:r>
        <w:rPr>
          <w:rFonts w:hint="eastAsia"/>
        </w:rPr>
        <w:t>（</w:t>
      </w:r>
      <w:r>
        <w:rPr>
          <w:rFonts w:hint="eastAsia"/>
        </w:rPr>
        <w:t>2</w:t>
      </w:r>
      <w:r>
        <w:rPr>
          <w:rFonts w:hint="eastAsia"/>
        </w:rPr>
        <w:t>）项目建设可行性</w:t>
      </w:r>
    </w:p>
    <w:p w:rsidR="00DE2BBA" w:rsidRDefault="00DE2BBA" w:rsidP="00DE2BBA">
      <w:pPr>
        <w:spacing w:line="360" w:lineRule="auto"/>
        <w:ind w:firstLine="420"/>
      </w:pPr>
      <w:r>
        <w:rPr>
          <w:rFonts w:hint="eastAsia"/>
        </w:rPr>
        <w:t>应结合港区的自然条件和港区配套设施以及相关施工条件，对项目建设的可行性进行研究论证。工可研阶段应对平面布置方案重点进行方案比选，论证项目建设可行性。</w:t>
      </w:r>
    </w:p>
    <w:p w:rsidR="00DE2BBA" w:rsidRDefault="00DE2BBA" w:rsidP="00DE2BBA">
      <w:pPr>
        <w:spacing w:line="360" w:lineRule="auto"/>
        <w:ind w:firstLine="420"/>
      </w:pPr>
      <w:r w:rsidRPr="00926D74">
        <w:rPr>
          <w:rFonts w:hint="eastAsia"/>
        </w:rPr>
        <w:t>（</w:t>
      </w:r>
      <w:r>
        <w:rPr>
          <w:rFonts w:hint="eastAsia"/>
        </w:rPr>
        <w:t>3</w:t>
      </w:r>
      <w:r w:rsidRPr="00926D74">
        <w:rPr>
          <w:rFonts w:hint="eastAsia"/>
        </w:rPr>
        <w:t>）</w:t>
      </w:r>
      <w:r>
        <w:rPr>
          <w:rFonts w:hint="eastAsia"/>
        </w:rPr>
        <w:t>项目建设方案</w:t>
      </w:r>
    </w:p>
    <w:p w:rsidR="00DE2BBA" w:rsidRDefault="00DE2BBA" w:rsidP="00DE2BBA">
      <w:pPr>
        <w:spacing w:line="360" w:lineRule="auto"/>
        <w:ind w:firstLine="420"/>
      </w:pPr>
      <w:r>
        <w:rPr>
          <w:rFonts w:hint="eastAsia"/>
        </w:rPr>
        <w:t>工可研阶段应对总平面布置方案进行充分比选，以确定科学合理方案。</w:t>
      </w:r>
    </w:p>
    <w:p w:rsidR="00DE2BBA" w:rsidRPr="00EB5C0D" w:rsidRDefault="00DE2BBA" w:rsidP="00DE2BBA">
      <w:pPr>
        <w:spacing w:line="360" w:lineRule="auto"/>
        <w:ind w:firstLine="420"/>
        <w:outlineLvl w:val="1"/>
        <w:rPr>
          <w:b/>
        </w:rPr>
      </w:pPr>
      <w:r w:rsidRPr="00EB5C0D">
        <w:rPr>
          <w:rFonts w:hint="eastAsia"/>
          <w:b/>
        </w:rPr>
        <w:t>3.</w:t>
      </w:r>
      <w:r>
        <w:rPr>
          <w:rFonts w:hint="eastAsia"/>
          <w:b/>
        </w:rPr>
        <w:t>4</w:t>
      </w:r>
      <w:r w:rsidRPr="00EB5C0D">
        <w:rPr>
          <w:rFonts w:hint="eastAsia"/>
          <w:b/>
        </w:rPr>
        <w:t>提交的资料（但不限于以下资料）以及水运工程及有关专业勘察设计规范、规程、标准规定的所有资料和招标人要求提交的其它相关资料：</w:t>
      </w:r>
    </w:p>
    <w:p w:rsidR="00DE2BBA" w:rsidRPr="00926D74" w:rsidRDefault="00DE2BBA" w:rsidP="00DE2BBA">
      <w:pPr>
        <w:spacing w:line="360" w:lineRule="auto"/>
        <w:ind w:firstLine="420"/>
      </w:pPr>
      <w:r w:rsidRPr="00926D74">
        <w:rPr>
          <w:rFonts w:hint="eastAsia"/>
        </w:rPr>
        <w:t>（</w:t>
      </w:r>
      <w:r w:rsidRPr="00926D74">
        <w:rPr>
          <w:rFonts w:hint="eastAsia"/>
        </w:rPr>
        <w:t>1</w:t>
      </w:r>
      <w:r w:rsidRPr="00926D74">
        <w:rPr>
          <w:rFonts w:hint="eastAsia"/>
        </w:rPr>
        <w:t>）地形图测量（如果有）图纸</w:t>
      </w:r>
      <w:r w:rsidRPr="00926D74">
        <w:rPr>
          <w:rFonts w:hint="eastAsia"/>
        </w:rPr>
        <w:t>8</w:t>
      </w:r>
      <w:r w:rsidRPr="00926D74">
        <w:rPr>
          <w:rFonts w:hint="eastAsia"/>
        </w:rPr>
        <w:t>份，矢量化成果两套。</w:t>
      </w:r>
    </w:p>
    <w:p w:rsidR="00DE2BBA" w:rsidRPr="00926D74" w:rsidRDefault="00DE2BBA" w:rsidP="00DE2BBA">
      <w:pPr>
        <w:spacing w:line="360" w:lineRule="auto"/>
        <w:ind w:firstLine="420"/>
      </w:pPr>
      <w:r w:rsidRPr="00926D74">
        <w:rPr>
          <w:rFonts w:hint="eastAsia"/>
        </w:rPr>
        <w:t>（</w:t>
      </w:r>
      <w:r w:rsidRPr="00926D74">
        <w:rPr>
          <w:rFonts w:hint="eastAsia"/>
        </w:rPr>
        <w:t>2</w:t>
      </w:r>
      <w:r w:rsidRPr="00926D74">
        <w:rPr>
          <w:rFonts w:hint="eastAsia"/>
        </w:rPr>
        <w:t>）提交勘察成果文件一式</w:t>
      </w:r>
      <w:r w:rsidRPr="00926D74">
        <w:rPr>
          <w:rFonts w:hint="eastAsia"/>
        </w:rPr>
        <w:t>20</w:t>
      </w:r>
      <w:r w:rsidRPr="00926D74">
        <w:rPr>
          <w:rFonts w:hint="eastAsia"/>
        </w:rPr>
        <w:t>份，电子文件光盘八套。</w:t>
      </w:r>
    </w:p>
    <w:p w:rsidR="00DE2BBA" w:rsidRPr="00926D74" w:rsidRDefault="00DE2BBA" w:rsidP="00DE2BBA">
      <w:pPr>
        <w:spacing w:line="360" w:lineRule="auto"/>
        <w:ind w:firstLine="420"/>
      </w:pPr>
      <w:r w:rsidRPr="00926D74">
        <w:rPr>
          <w:rFonts w:hint="eastAsia"/>
        </w:rPr>
        <w:t>（</w:t>
      </w:r>
      <w:r w:rsidRPr="00926D74">
        <w:rPr>
          <w:rFonts w:hint="eastAsia"/>
        </w:rPr>
        <w:t>3</w:t>
      </w:r>
      <w:r w:rsidRPr="00926D74">
        <w:rPr>
          <w:rFonts w:hint="eastAsia"/>
        </w:rPr>
        <w:t>）提交工程可行性研究报告</w:t>
      </w:r>
      <w:r w:rsidRPr="00926D74">
        <w:rPr>
          <w:rFonts w:hint="eastAsia"/>
        </w:rPr>
        <w:t>25</w:t>
      </w:r>
      <w:r w:rsidRPr="00926D74">
        <w:rPr>
          <w:rFonts w:hint="eastAsia"/>
        </w:rPr>
        <w:t>份</w:t>
      </w:r>
      <w:r>
        <w:rPr>
          <w:rFonts w:hint="eastAsia"/>
        </w:rPr>
        <w:t>，</w:t>
      </w:r>
      <w:r w:rsidRPr="00926D74">
        <w:rPr>
          <w:rFonts w:hint="eastAsia"/>
        </w:rPr>
        <w:t>电子文件</w:t>
      </w:r>
      <w:r>
        <w:rPr>
          <w:rFonts w:hint="eastAsia"/>
        </w:rPr>
        <w:t>一</w:t>
      </w:r>
      <w:r w:rsidRPr="00926D74">
        <w:rPr>
          <w:rFonts w:hint="eastAsia"/>
        </w:rPr>
        <w:t>套。</w:t>
      </w:r>
    </w:p>
    <w:p w:rsidR="00DE2BBA" w:rsidRPr="00527147" w:rsidRDefault="00DE2BBA" w:rsidP="00DE2BBA">
      <w:pPr>
        <w:spacing w:line="360" w:lineRule="auto"/>
        <w:ind w:firstLine="420"/>
      </w:pPr>
      <w:r w:rsidRPr="00926D74">
        <w:rPr>
          <w:rFonts w:hint="eastAsia"/>
        </w:rPr>
        <w:t>（</w:t>
      </w:r>
      <w:r w:rsidRPr="00926D74">
        <w:rPr>
          <w:rFonts w:hint="eastAsia"/>
        </w:rPr>
        <w:t>4</w:t>
      </w:r>
      <w:r w:rsidRPr="00926D74">
        <w:rPr>
          <w:rFonts w:hint="eastAsia"/>
        </w:rPr>
        <w:t>）上述（</w:t>
      </w:r>
      <w:r w:rsidRPr="00926D74">
        <w:rPr>
          <w:rFonts w:hint="eastAsia"/>
        </w:rPr>
        <w:t>1</w:t>
      </w:r>
      <w:r w:rsidRPr="00926D74">
        <w:rPr>
          <w:rFonts w:hint="eastAsia"/>
        </w:rPr>
        <w:t>）至（</w:t>
      </w:r>
      <w:r w:rsidRPr="00926D74">
        <w:rPr>
          <w:rFonts w:hint="eastAsia"/>
        </w:rPr>
        <w:t>3</w:t>
      </w:r>
      <w:r w:rsidRPr="00926D74">
        <w:rPr>
          <w:rFonts w:hint="eastAsia"/>
        </w:rPr>
        <w:t>）款中“光盘”中电子文件应采用</w:t>
      </w:r>
      <w:r w:rsidRPr="00926D74">
        <w:rPr>
          <w:rFonts w:hint="eastAsia"/>
        </w:rPr>
        <w:t>AUTOCAD</w:t>
      </w:r>
      <w:r w:rsidRPr="00926D74">
        <w:rPr>
          <w:rFonts w:hint="eastAsia"/>
        </w:rPr>
        <w:t>、</w:t>
      </w:r>
      <w:r w:rsidRPr="00926D74">
        <w:rPr>
          <w:rFonts w:hint="eastAsia"/>
        </w:rPr>
        <w:t>W</w:t>
      </w:r>
      <w:r>
        <w:rPr>
          <w:rFonts w:hint="eastAsia"/>
        </w:rPr>
        <w:t>O</w:t>
      </w:r>
      <w:r w:rsidRPr="00926D74">
        <w:rPr>
          <w:rFonts w:hint="eastAsia"/>
        </w:rPr>
        <w:t>RD</w:t>
      </w:r>
      <w:r w:rsidRPr="00926D74">
        <w:rPr>
          <w:rFonts w:hint="eastAsia"/>
        </w:rPr>
        <w:t>、</w:t>
      </w:r>
      <w:r w:rsidRPr="00926D74">
        <w:rPr>
          <w:rFonts w:hint="eastAsia"/>
        </w:rPr>
        <w:t>EXCEL</w:t>
      </w:r>
      <w:r w:rsidRPr="00926D74">
        <w:rPr>
          <w:rFonts w:hint="eastAsia"/>
        </w:rPr>
        <w:t>、或</w:t>
      </w:r>
      <w:r w:rsidRPr="00926D74">
        <w:rPr>
          <w:rFonts w:hint="eastAsia"/>
        </w:rPr>
        <w:t>T</w:t>
      </w:r>
      <w:r>
        <w:rPr>
          <w:rFonts w:hint="eastAsia"/>
        </w:rPr>
        <w:t>X</w:t>
      </w:r>
      <w:r w:rsidRPr="00926D74">
        <w:rPr>
          <w:rFonts w:hint="eastAsia"/>
        </w:rPr>
        <w:t>T</w:t>
      </w:r>
      <w:r w:rsidRPr="00926D74">
        <w:rPr>
          <w:rFonts w:hint="eastAsia"/>
        </w:rPr>
        <w:t>（纯文本文件）等电子文档格式，一律为非扫描图像格式文件。</w:t>
      </w:r>
    </w:p>
    <w:p w:rsidR="00DE2BBA" w:rsidRDefault="00DE2BBA" w:rsidP="00DE2BBA"/>
    <w:p w:rsidR="003C5CE5" w:rsidRDefault="003C5CE5"/>
    <w:sectPr w:rsidR="003C5CE5" w:rsidSect="00585D25">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3B54" w:rsidRDefault="00BE3B54" w:rsidP="00DE2BBA">
      <w:r>
        <w:separator/>
      </w:r>
    </w:p>
  </w:endnote>
  <w:endnote w:type="continuationSeparator" w:id="0">
    <w:p w:rsidR="00BE3B54" w:rsidRDefault="00BE3B54" w:rsidP="00DE2BB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D25" w:rsidRDefault="00BE3B54">
    <w:pPr>
      <w:pStyle w:val="a4"/>
      <w:jc w:val="center"/>
    </w:pPr>
    <w:r>
      <w:fldChar w:fldCharType="begin"/>
    </w:r>
    <w:r>
      <w:instrText xml:space="preserve"> PAGE   \* MERGEFORMAT </w:instrText>
    </w:r>
    <w:r>
      <w:fldChar w:fldCharType="separate"/>
    </w:r>
    <w:r w:rsidR="00DE2BBA" w:rsidRPr="00DE2BBA">
      <w:rPr>
        <w:noProof/>
        <w:lang w:val="zh-CN"/>
      </w:rPr>
      <w:t>2</w:t>
    </w:r>
    <w:r>
      <w:fldChar w:fldCharType="end"/>
    </w:r>
  </w:p>
  <w:p w:rsidR="00585D25" w:rsidRDefault="00BE3B5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3B54" w:rsidRDefault="00BE3B54" w:rsidP="00DE2BBA">
      <w:r>
        <w:separator/>
      </w:r>
    </w:p>
  </w:footnote>
  <w:footnote w:type="continuationSeparator" w:id="0">
    <w:p w:rsidR="00BE3B54" w:rsidRDefault="00BE3B54" w:rsidP="00DE2BB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E2BBA"/>
    <w:rsid w:val="003C5CE5"/>
    <w:rsid w:val="00BE3B54"/>
    <w:rsid w:val="00DE2BB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2BB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E2BB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DE2BBA"/>
    <w:rPr>
      <w:sz w:val="18"/>
      <w:szCs w:val="18"/>
    </w:rPr>
  </w:style>
  <w:style w:type="paragraph" w:styleId="a4">
    <w:name w:val="footer"/>
    <w:basedOn w:val="a"/>
    <w:link w:val="Char0"/>
    <w:uiPriority w:val="99"/>
    <w:unhideWhenUsed/>
    <w:rsid w:val="00DE2BBA"/>
    <w:pPr>
      <w:tabs>
        <w:tab w:val="center" w:pos="4153"/>
        <w:tab w:val="right" w:pos="8306"/>
      </w:tabs>
      <w:snapToGrid w:val="0"/>
      <w:jc w:val="left"/>
    </w:pPr>
    <w:rPr>
      <w:sz w:val="18"/>
      <w:szCs w:val="18"/>
    </w:rPr>
  </w:style>
  <w:style w:type="character" w:customStyle="1" w:styleId="Char0">
    <w:name w:val="页脚 Char"/>
    <w:basedOn w:val="a0"/>
    <w:link w:val="a4"/>
    <w:uiPriority w:val="99"/>
    <w:rsid w:val="00DE2BBA"/>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238</Words>
  <Characters>1360</Characters>
  <Application>Microsoft Office Word</Application>
  <DocSecurity>0</DocSecurity>
  <Lines>11</Lines>
  <Paragraphs>3</Paragraphs>
  <ScaleCrop>false</ScaleCrop>
  <Company>Lenovo</Company>
  <LinksUpToDate>false</LinksUpToDate>
  <CharactersWithSpaces>1595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于俊清</dc:creator>
  <cp:keywords/>
  <dc:description/>
  <cp:lastModifiedBy>于俊清</cp:lastModifiedBy>
  <cp:revision>2</cp:revision>
  <dcterms:created xsi:type="dcterms:W3CDTF">2017-03-27T07:10:00Z</dcterms:created>
  <dcterms:modified xsi:type="dcterms:W3CDTF">2017-03-27T07:12:00Z</dcterms:modified>
</cp:coreProperties>
</file>