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黑体"/>
          <w:b/>
          <w:bCs/>
          <w:sz w:val="44"/>
          <w:szCs w:val="44"/>
        </w:rPr>
      </w:pPr>
    </w:p>
    <w:p>
      <w:pPr>
        <w:jc w:val="center"/>
        <w:rPr>
          <w:rFonts w:ascii="宋体" w:hAnsi="宋体" w:cs="黑体"/>
          <w:b/>
          <w:bCs/>
          <w:sz w:val="44"/>
          <w:szCs w:val="44"/>
        </w:rPr>
      </w:pPr>
      <w:r>
        <w:rPr>
          <w:rFonts w:hint="eastAsia" w:ascii="宋体" w:hAnsi="宋体" w:cs="黑体"/>
          <w:b/>
          <w:bCs/>
          <w:sz w:val="44"/>
          <w:szCs w:val="44"/>
        </w:rPr>
        <w:t>黄骅港二期取料机</w:t>
      </w:r>
      <w:r>
        <w:rPr>
          <w:rFonts w:hint="eastAsia" w:ascii="宋体" w:hAnsi="宋体" w:cs="黑体"/>
          <w:b/>
          <w:bCs/>
          <w:sz w:val="44"/>
          <w:szCs w:val="44"/>
          <w:lang w:eastAsia="zh-CN"/>
        </w:rPr>
        <w:t>斗轮液压站</w:t>
      </w:r>
      <w:r>
        <w:rPr>
          <w:rFonts w:hint="eastAsia" w:ascii="宋体" w:hAnsi="宋体" w:cs="黑体"/>
          <w:b/>
          <w:bCs/>
          <w:sz w:val="44"/>
          <w:szCs w:val="44"/>
        </w:rPr>
        <w:t>钢制管路及管件更换改造项目技术规格书</w:t>
      </w: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rPr>
          <w:rFonts w:ascii="宋体" w:hAnsi="宋体" w:cs="黑体"/>
          <w:sz w:val="44"/>
          <w:szCs w:val="44"/>
        </w:rPr>
      </w:pPr>
    </w:p>
    <w:p>
      <w:pPr>
        <w:jc w:val="center"/>
        <w:rPr>
          <w:rFonts w:ascii="宋体" w:hAnsi="宋体" w:cs="黑体"/>
          <w:b/>
          <w:bCs/>
          <w:sz w:val="32"/>
          <w:szCs w:val="32"/>
        </w:rPr>
      </w:pPr>
      <w:r>
        <w:rPr>
          <w:rFonts w:hint="eastAsia" w:ascii="宋体" w:hAnsi="宋体" w:cs="黑体"/>
          <w:b/>
          <w:bCs/>
          <w:sz w:val="32"/>
          <w:szCs w:val="32"/>
        </w:rPr>
        <w:t>神华黄骅港务有限责任公司</w:t>
      </w:r>
    </w:p>
    <w:p>
      <w:pPr>
        <w:jc w:val="center"/>
        <w:rPr>
          <w:rFonts w:ascii="宋体" w:hAnsi="宋体" w:cs="黑体"/>
          <w:b/>
          <w:bCs/>
          <w:sz w:val="32"/>
          <w:szCs w:val="32"/>
        </w:rPr>
      </w:pPr>
      <w:r>
        <w:rPr>
          <w:rFonts w:hint="eastAsia" w:ascii="宋体" w:hAnsi="宋体" w:cs="黑体"/>
          <w:b/>
          <w:bCs/>
          <w:sz w:val="32"/>
          <w:szCs w:val="32"/>
        </w:rPr>
        <w:t>2016-0</w:t>
      </w:r>
      <w:r>
        <w:rPr>
          <w:rFonts w:hint="eastAsia" w:ascii="宋体" w:hAnsi="宋体" w:cs="黑体"/>
          <w:b/>
          <w:bCs/>
          <w:sz w:val="32"/>
          <w:szCs w:val="32"/>
          <w:lang w:val="en-US" w:eastAsia="zh-CN"/>
        </w:rPr>
        <w:t>9</w:t>
      </w:r>
      <w:bookmarkStart w:id="13" w:name="_GoBack"/>
      <w:bookmarkEnd w:id="13"/>
      <w:r>
        <w:rPr>
          <w:rFonts w:hint="eastAsia" w:ascii="宋体" w:hAnsi="宋体" w:cs="黑体"/>
          <w:b/>
          <w:bCs/>
          <w:sz w:val="32"/>
          <w:szCs w:val="32"/>
        </w:rPr>
        <w:t>-17</w:t>
      </w:r>
    </w:p>
    <w:p>
      <w:pPr>
        <w:pStyle w:val="8"/>
        <w:tabs>
          <w:tab w:val="right" w:leader="dot" w:pos="8296"/>
        </w:tabs>
        <w:rPr>
          <w:rFonts w:ascii="宋体" w:hAnsi="宋体" w:cs="黑体"/>
          <w:b/>
          <w:kern w:val="2"/>
          <w:sz w:val="32"/>
        </w:rPr>
      </w:pPr>
      <w:r>
        <w:rPr>
          <w:rFonts w:hint="eastAsia" w:ascii="宋体" w:hAnsi="宋体" w:cs="黑体"/>
          <w:b/>
          <w:bCs/>
          <w:sz w:val="32"/>
          <w:szCs w:val="32"/>
        </w:rPr>
        <w:fldChar w:fldCharType="begin"/>
      </w:r>
      <w:r>
        <w:rPr>
          <w:rFonts w:hint="eastAsia" w:ascii="宋体" w:hAnsi="宋体" w:cs="黑体"/>
          <w:b/>
          <w:bCs/>
          <w:sz w:val="32"/>
          <w:szCs w:val="32"/>
        </w:rPr>
        <w:instrText xml:space="preserve"> TOC \o "1-3" \h \z \u </w:instrText>
      </w:r>
      <w:r>
        <w:rPr>
          <w:rFonts w:hint="eastAsia" w:ascii="宋体" w:hAnsi="宋体" w:cs="黑体"/>
          <w:b/>
          <w:bCs/>
          <w:sz w:val="32"/>
          <w:szCs w:val="32"/>
        </w:rPr>
        <w:fldChar w:fldCharType="separate"/>
      </w:r>
      <w:r>
        <w:fldChar w:fldCharType="begin"/>
      </w:r>
      <w:r>
        <w:instrText xml:space="preserve"> HYPERLINK \l "_Toc376968404" </w:instrText>
      </w:r>
      <w:r>
        <w:fldChar w:fldCharType="separate"/>
      </w:r>
      <w:r>
        <w:rPr>
          <w:rStyle w:val="10"/>
          <w:rFonts w:hint="eastAsia" w:ascii="宋体" w:hAnsi="宋体" w:cs="黑体"/>
          <w:b/>
          <w:sz w:val="32"/>
        </w:rPr>
        <w:t>1.总则</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_Toc376968404 \h </w:instrText>
      </w:r>
      <w:r>
        <w:rPr>
          <w:rFonts w:hint="eastAsia" w:ascii="宋体" w:hAnsi="宋体" w:cs="黑体"/>
          <w:b/>
          <w:sz w:val="32"/>
        </w:rPr>
        <w:fldChar w:fldCharType="separate"/>
      </w:r>
      <w:r>
        <w:rPr>
          <w:rFonts w:hint="eastAsia" w:ascii="宋体" w:hAnsi="宋体" w:cs="黑体"/>
          <w:b/>
          <w:sz w:val="32"/>
        </w:rPr>
        <w:t>3</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kern w:val="2"/>
          <w:sz w:val="32"/>
        </w:rPr>
      </w:pPr>
      <w:r>
        <w:fldChar w:fldCharType="begin"/>
      </w:r>
      <w:r>
        <w:instrText xml:space="preserve"> HYPERLINK \l "_Toc376968405" </w:instrText>
      </w:r>
      <w:r>
        <w:fldChar w:fldCharType="separate"/>
      </w:r>
      <w:r>
        <w:rPr>
          <w:rStyle w:val="10"/>
          <w:rFonts w:hint="eastAsia" w:ascii="宋体" w:hAnsi="宋体" w:cs="黑体"/>
          <w:b/>
          <w:sz w:val="32"/>
        </w:rPr>
        <w:t>2.工程概况</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_Toc376968405 \h </w:instrText>
      </w:r>
      <w:r>
        <w:rPr>
          <w:rFonts w:hint="eastAsia" w:ascii="宋体" w:hAnsi="宋体" w:cs="黑体"/>
          <w:b/>
          <w:sz w:val="32"/>
        </w:rPr>
        <w:fldChar w:fldCharType="separate"/>
      </w:r>
      <w:r>
        <w:rPr>
          <w:rFonts w:hint="eastAsia" w:ascii="宋体" w:hAnsi="宋体" w:cs="黑体"/>
          <w:b/>
          <w:sz w:val="32"/>
        </w:rPr>
        <w:t>3</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kern w:val="2"/>
          <w:sz w:val="32"/>
        </w:rPr>
      </w:pPr>
      <w:r>
        <w:fldChar w:fldCharType="begin"/>
      </w:r>
      <w:r>
        <w:instrText xml:space="preserve"> HYPERLINK \l "_Toc376968406" </w:instrText>
      </w:r>
      <w:r>
        <w:fldChar w:fldCharType="separate"/>
      </w:r>
      <w:r>
        <w:rPr>
          <w:rStyle w:val="10"/>
          <w:rFonts w:hint="eastAsia" w:ascii="宋体" w:hAnsi="宋体" w:cs="黑体"/>
          <w:b/>
          <w:sz w:val="32"/>
        </w:rPr>
        <w:t>3.适用的标准、规范</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_Toc376968406 \h </w:instrText>
      </w:r>
      <w:r>
        <w:rPr>
          <w:rFonts w:hint="eastAsia" w:ascii="宋体" w:hAnsi="宋体" w:cs="黑体"/>
          <w:b/>
          <w:sz w:val="32"/>
        </w:rPr>
        <w:fldChar w:fldCharType="separate"/>
      </w:r>
      <w:r>
        <w:rPr>
          <w:rFonts w:hint="eastAsia" w:ascii="宋体" w:hAnsi="宋体" w:cs="黑体"/>
          <w:b/>
          <w:sz w:val="32"/>
        </w:rPr>
        <w:t>6</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kern w:val="2"/>
          <w:sz w:val="32"/>
        </w:rPr>
      </w:pPr>
      <w:r>
        <w:fldChar w:fldCharType="begin"/>
      </w:r>
      <w:r>
        <w:instrText xml:space="preserve"> HYPERLINK \l "_Toc376968407" </w:instrText>
      </w:r>
      <w:r>
        <w:fldChar w:fldCharType="separate"/>
      </w:r>
      <w:r>
        <w:rPr>
          <w:rStyle w:val="10"/>
          <w:rFonts w:hint="eastAsia" w:ascii="宋体" w:hAnsi="宋体" w:cs="黑体"/>
          <w:b/>
          <w:sz w:val="32"/>
        </w:rPr>
        <w:t>4.详细技术要求</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_Toc376968407 \h </w:instrText>
      </w:r>
      <w:r>
        <w:rPr>
          <w:rFonts w:hint="eastAsia" w:ascii="宋体" w:hAnsi="宋体" w:cs="黑体"/>
          <w:b/>
          <w:sz w:val="32"/>
        </w:rPr>
        <w:fldChar w:fldCharType="separate"/>
      </w:r>
      <w:r>
        <w:rPr>
          <w:rFonts w:hint="eastAsia" w:ascii="宋体" w:hAnsi="宋体" w:cs="黑体"/>
          <w:b/>
          <w:sz w:val="32"/>
        </w:rPr>
        <w:t>7</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kern w:val="2"/>
          <w:sz w:val="32"/>
        </w:rPr>
      </w:pPr>
      <w:r>
        <w:fldChar w:fldCharType="begin"/>
      </w:r>
      <w:r>
        <w:instrText xml:space="preserve"> HYPERLINK \l "_Toc376968408" </w:instrText>
      </w:r>
      <w:r>
        <w:fldChar w:fldCharType="separate"/>
      </w:r>
      <w:r>
        <w:rPr>
          <w:rStyle w:val="10"/>
          <w:rFonts w:hint="eastAsia" w:ascii="宋体" w:hAnsi="宋体" w:cs="黑体"/>
          <w:b/>
          <w:sz w:val="32"/>
        </w:rPr>
        <w:t>5.图纸和技术文件</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_Toc376968408 \h </w:instrText>
      </w:r>
      <w:r>
        <w:rPr>
          <w:rFonts w:hint="eastAsia" w:ascii="宋体" w:hAnsi="宋体" w:cs="黑体"/>
          <w:b/>
          <w:sz w:val="32"/>
        </w:rPr>
        <w:fldChar w:fldCharType="separate"/>
      </w:r>
      <w:r>
        <w:rPr>
          <w:rFonts w:hint="eastAsia" w:ascii="宋体" w:hAnsi="宋体" w:cs="黑体"/>
          <w:b/>
          <w:sz w:val="32"/>
        </w:rPr>
        <w:t>9</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kern w:val="2"/>
          <w:sz w:val="32"/>
        </w:rPr>
      </w:pPr>
      <w:r>
        <w:fldChar w:fldCharType="begin"/>
      </w:r>
      <w:r>
        <w:instrText xml:space="preserve"> HYPERLINK \l "_Toc376968409" </w:instrText>
      </w:r>
      <w:r>
        <w:fldChar w:fldCharType="separate"/>
      </w:r>
      <w:r>
        <w:rPr>
          <w:rStyle w:val="10"/>
          <w:rFonts w:hint="eastAsia" w:ascii="宋体" w:hAnsi="宋体" w:cs="黑体"/>
          <w:b/>
          <w:sz w:val="32"/>
        </w:rPr>
        <w:t>6.施工方案及过程控制</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_Toc376968409 \h </w:instrText>
      </w:r>
      <w:r>
        <w:rPr>
          <w:rFonts w:hint="eastAsia" w:ascii="宋体" w:hAnsi="宋体" w:cs="黑体"/>
          <w:b/>
          <w:sz w:val="32"/>
        </w:rPr>
        <w:fldChar w:fldCharType="separate"/>
      </w:r>
      <w:r>
        <w:rPr>
          <w:rFonts w:hint="eastAsia" w:ascii="宋体" w:hAnsi="宋体" w:cs="黑体"/>
          <w:b/>
          <w:sz w:val="32"/>
        </w:rPr>
        <w:t>9</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kern w:val="2"/>
          <w:sz w:val="32"/>
        </w:rPr>
      </w:pPr>
      <w:r>
        <w:fldChar w:fldCharType="begin"/>
      </w:r>
      <w:r>
        <w:instrText xml:space="preserve"> HYPERLINK \l "_Toc376968410" </w:instrText>
      </w:r>
      <w:r>
        <w:fldChar w:fldCharType="separate"/>
      </w:r>
      <w:r>
        <w:rPr>
          <w:rStyle w:val="10"/>
          <w:rFonts w:hint="eastAsia" w:ascii="宋体" w:hAnsi="宋体" w:cs="黑体"/>
          <w:b/>
          <w:sz w:val="32"/>
        </w:rPr>
        <w:t>7.项目验收</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_Toc376968410 \h </w:instrText>
      </w:r>
      <w:r>
        <w:rPr>
          <w:rFonts w:hint="eastAsia" w:ascii="宋体" w:hAnsi="宋体" w:cs="黑体"/>
          <w:b/>
          <w:sz w:val="32"/>
        </w:rPr>
        <w:fldChar w:fldCharType="separate"/>
      </w:r>
      <w:r>
        <w:rPr>
          <w:rFonts w:hint="eastAsia" w:ascii="宋体" w:hAnsi="宋体" w:cs="黑体"/>
          <w:b/>
          <w:sz w:val="32"/>
        </w:rPr>
        <w:t>10</w:t>
      </w:r>
      <w:r>
        <w:rPr>
          <w:rFonts w:hint="eastAsia" w:ascii="宋体" w:hAnsi="宋体" w:cs="黑体"/>
          <w:b/>
          <w:sz w:val="32"/>
        </w:rPr>
        <w:fldChar w:fldCharType="end"/>
      </w:r>
      <w:r>
        <w:rPr>
          <w:rFonts w:hint="eastAsia" w:ascii="宋体" w:hAnsi="宋体" w:cs="黑体"/>
          <w:b/>
          <w:sz w:val="32"/>
        </w:rPr>
        <w:fldChar w:fldCharType="end"/>
      </w:r>
    </w:p>
    <w:p>
      <w:pPr>
        <w:pStyle w:val="8"/>
        <w:tabs>
          <w:tab w:val="right" w:leader="dot" w:pos="8296"/>
        </w:tabs>
        <w:rPr>
          <w:rFonts w:ascii="宋体" w:hAnsi="宋体" w:cs="黑体"/>
          <w:b/>
          <w:sz w:val="32"/>
        </w:rPr>
      </w:pPr>
      <w:r>
        <w:fldChar w:fldCharType="begin"/>
      </w:r>
      <w:r>
        <w:instrText xml:space="preserve"> HYPERLINK \l "_Toc376968412" </w:instrText>
      </w:r>
      <w:r>
        <w:fldChar w:fldCharType="separate"/>
      </w:r>
      <w:r>
        <w:rPr>
          <w:rStyle w:val="10"/>
          <w:rFonts w:hint="eastAsia" w:ascii="宋体" w:hAnsi="宋体" w:cs="黑体"/>
          <w:b/>
          <w:sz w:val="32"/>
        </w:rPr>
        <w:t>8.投标书内容</w:t>
      </w:r>
      <w:r>
        <w:rPr>
          <w:rFonts w:hint="eastAsia" w:ascii="宋体" w:hAnsi="宋体" w:cs="黑体"/>
          <w:b/>
          <w:sz w:val="32"/>
        </w:rPr>
        <w:tab/>
      </w:r>
      <w:r>
        <w:rPr>
          <w:rFonts w:hint="eastAsia" w:ascii="宋体" w:hAnsi="宋体" w:cs="黑体"/>
          <w:b/>
          <w:sz w:val="32"/>
        </w:rPr>
        <w:fldChar w:fldCharType="begin"/>
      </w:r>
      <w:r>
        <w:rPr>
          <w:rFonts w:hint="eastAsia" w:ascii="宋体" w:hAnsi="宋体" w:cs="黑体"/>
          <w:b/>
          <w:sz w:val="32"/>
        </w:rPr>
        <w:instrText xml:space="preserve"> PAGEREF _Toc376968412 \h </w:instrText>
      </w:r>
      <w:r>
        <w:rPr>
          <w:rFonts w:hint="eastAsia" w:ascii="宋体" w:hAnsi="宋体" w:cs="黑体"/>
          <w:b/>
          <w:sz w:val="32"/>
        </w:rPr>
        <w:fldChar w:fldCharType="separate"/>
      </w:r>
      <w:r>
        <w:rPr>
          <w:rFonts w:hint="eastAsia" w:ascii="宋体" w:hAnsi="宋体" w:cs="黑体"/>
          <w:b/>
          <w:sz w:val="32"/>
        </w:rPr>
        <w:t>11</w:t>
      </w:r>
      <w:r>
        <w:rPr>
          <w:rFonts w:hint="eastAsia" w:ascii="宋体" w:hAnsi="宋体" w:cs="黑体"/>
          <w:b/>
          <w:sz w:val="32"/>
        </w:rPr>
        <w:fldChar w:fldCharType="end"/>
      </w:r>
      <w:r>
        <w:rPr>
          <w:rFonts w:hint="eastAsia" w:ascii="宋体" w:hAnsi="宋体" w:cs="黑体"/>
          <w:b/>
          <w:sz w:val="32"/>
        </w:rPr>
        <w:fldChar w:fldCharType="end"/>
      </w:r>
    </w:p>
    <w:p>
      <w:pPr>
        <w:rPr>
          <w:rFonts w:ascii="宋体" w:hAnsi="宋体" w:cs="黑体"/>
        </w:rPr>
      </w:pPr>
    </w:p>
    <w:p>
      <w:pPr>
        <w:jc w:val="center"/>
        <w:rPr>
          <w:rFonts w:ascii="宋体" w:hAnsi="宋体" w:cs="黑体"/>
          <w:b/>
          <w:bCs/>
          <w:sz w:val="32"/>
          <w:szCs w:val="32"/>
        </w:rPr>
      </w:pPr>
      <w:r>
        <w:rPr>
          <w:rFonts w:hint="eastAsia" w:ascii="宋体" w:hAnsi="宋体" w:cs="黑体"/>
          <w:b/>
          <w:bCs/>
          <w:sz w:val="32"/>
          <w:szCs w:val="32"/>
        </w:rPr>
        <w:fldChar w:fldCharType="end"/>
      </w: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jc w:val="center"/>
        <w:rPr>
          <w:rFonts w:ascii="宋体" w:hAnsi="宋体" w:cs="黑体"/>
          <w:b/>
          <w:bCs/>
          <w:sz w:val="32"/>
          <w:szCs w:val="32"/>
        </w:rPr>
      </w:pPr>
    </w:p>
    <w:p>
      <w:pPr>
        <w:pStyle w:val="2"/>
        <w:spacing w:before="0" w:after="0" w:line="480" w:lineRule="auto"/>
        <w:rPr>
          <w:rFonts w:ascii="宋体" w:hAnsi="宋体" w:cs="黑体"/>
          <w:color w:val="000000"/>
          <w:sz w:val="24"/>
          <w:szCs w:val="24"/>
        </w:rPr>
      </w:pPr>
      <w:bookmarkStart w:id="0" w:name="_Toc376968404"/>
      <w:r>
        <w:rPr>
          <w:rFonts w:hint="eastAsia" w:ascii="宋体" w:hAnsi="宋体" w:cs="黑体"/>
          <w:color w:val="000000"/>
          <w:sz w:val="24"/>
          <w:szCs w:val="24"/>
        </w:rPr>
        <w:t>1.总则</w:t>
      </w:r>
      <w:bookmarkEnd w:id="0"/>
    </w:p>
    <w:p>
      <w:pPr>
        <w:spacing w:line="360" w:lineRule="auto"/>
        <w:rPr>
          <w:rFonts w:ascii="宋体" w:hAnsi="宋体" w:cs="黑体"/>
          <w:b/>
          <w:color w:val="000000"/>
          <w:sz w:val="24"/>
          <w:lang w:val="en-GB"/>
        </w:rPr>
      </w:pPr>
      <w:r>
        <w:rPr>
          <w:rFonts w:hint="eastAsia" w:ascii="宋体" w:hAnsi="宋体" w:cs="黑体"/>
          <w:color w:val="000000"/>
          <w:sz w:val="24"/>
          <w:szCs w:val="24"/>
        </w:rPr>
        <w:t>1.1本规格书适用于神华黄骅港务有限责任公司二期取料机（</w:t>
      </w:r>
      <w:r>
        <w:rPr>
          <w:rFonts w:hint="eastAsia" w:ascii="宋体" w:hAnsi="宋体" w:cs="黑体"/>
          <w:color w:val="000000"/>
          <w:sz w:val="24"/>
        </w:rPr>
        <w:t>R5、R6、R7、R8、R9</w:t>
      </w:r>
      <w:r>
        <w:rPr>
          <w:rFonts w:hint="eastAsia" w:ascii="宋体" w:hAnsi="宋体" w:cs="黑体"/>
          <w:color w:val="000000"/>
          <w:sz w:val="24"/>
          <w:szCs w:val="24"/>
        </w:rPr>
        <w:t>）斗轮液压站区域钢制管路及管件更换改造项目</w:t>
      </w:r>
      <w:r>
        <w:rPr>
          <w:rFonts w:hint="eastAsia" w:ascii="宋体" w:hAnsi="宋体" w:cs="黑体"/>
          <w:color w:val="000000"/>
          <w:sz w:val="24"/>
        </w:rPr>
        <w:t xml:space="preserve">的基本技术要求和主要技术参数的有关条款，并非该项目的所有细节。投标方应仔细阅读，如发现有疑问、不详和矛盾之处，请立即与神华黄骅港务有限公司(以下简称招标方)联系。  </w:t>
      </w:r>
    </w:p>
    <w:p>
      <w:pPr>
        <w:spacing w:line="360" w:lineRule="auto"/>
        <w:rPr>
          <w:rFonts w:ascii="宋体" w:hAnsi="宋体" w:cs="黑体"/>
          <w:color w:val="000000"/>
          <w:sz w:val="24"/>
          <w:szCs w:val="24"/>
        </w:rPr>
      </w:pPr>
      <w:r>
        <w:rPr>
          <w:rFonts w:hint="eastAsia" w:ascii="宋体" w:hAnsi="宋体" w:cs="黑体"/>
          <w:color w:val="000000"/>
          <w:sz w:val="24"/>
          <w:szCs w:val="24"/>
        </w:rPr>
        <w:t>1.2本规格书所使用的标准如与投标方所执行的标准发生矛盾时，按较高标准执行。</w:t>
      </w:r>
    </w:p>
    <w:p>
      <w:pPr>
        <w:spacing w:line="360" w:lineRule="auto"/>
        <w:rPr>
          <w:rFonts w:ascii="宋体" w:hAnsi="宋体" w:cs="黑体"/>
          <w:color w:val="000000"/>
          <w:sz w:val="24"/>
          <w:szCs w:val="24"/>
        </w:rPr>
      </w:pPr>
      <w:r>
        <w:rPr>
          <w:rFonts w:hint="eastAsia" w:ascii="宋体" w:hAnsi="宋体" w:cs="黑体"/>
          <w:color w:val="000000"/>
          <w:sz w:val="24"/>
          <w:szCs w:val="24"/>
        </w:rPr>
        <w:t>1.3在签订合同后，招标方有权提出因标准、规范和规程发生变化而产生的一些修订要求，具体事项宜由双方共同协商确定。</w:t>
      </w:r>
    </w:p>
    <w:p>
      <w:pPr>
        <w:spacing w:line="360" w:lineRule="auto"/>
        <w:rPr>
          <w:rFonts w:ascii="宋体" w:hAnsi="宋体" w:cs="黑体"/>
          <w:color w:val="000000"/>
          <w:sz w:val="24"/>
          <w:szCs w:val="24"/>
        </w:rPr>
      </w:pPr>
      <w:r>
        <w:rPr>
          <w:rFonts w:hint="eastAsia" w:ascii="宋体" w:hAnsi="宋体" w:cs="黑体"/>
          <w:color w:val="000000"/>
          <w:sz w:val="24"/>
          <w:szCs w:val="24"/>
        </w:rPr>
        <w:t>1.4 如果投标方没有以书面形式对本规格书的条文提出异议，则意味着投标方提供的设备或服务完全符合本规格书的要求。</w:t>
      </w:r>
    </w:p>
    <w:p>
      <w:pPr>
        <w:spacing w:line="360" w:lineRule="auto"/>
        <w:rPr>
          <w:rFonts w:ascii="宋体" w:hAnsi="宋体" w:cs="黑体"/>
          <w:color w:val="000000"/>
          <w:sz w:val="24"/>
          <w:szCs w:val="24"/>
        </w:rPr>
      </w:pPr>
      <w:r>
        <w:rPr>
          <w:rFonts w:hint="eastAsia" w:ascii="宋体" w:hAnsi="宋体" w:cs="黑体"/>
          <w:color w:val="000000"/>
          <w:sz w:val="24"/>
          <w:szCs w:val="24"/>
        </w:rPr>
        <w:t>1.5本规格书经双方确认后作为合同的技术附件，与合同正文具有同等效力。</w:t>
      </w:r>
      <w:bookmarkStart w:id="1" w:name="_Toc276630598"/>
      <w:bookmarkStart w:id="2" w:name="_Toc276126626"/>
    </w:p>
    <w:bookmarkEnd w:id="1"/>
    <w:bookmarkEnd w:id="2"/>
    <w:p>
      <w:pPr>
        <w:pStyle w:val="2"/>
        <w:numPr>
          <w:ilvl w:val="0"/>
          <w:numId w:val="1"/>
        </w:numPr>
        <w:spacing w:before="0" w:after="0" w:line="480" w:lineRule="auto"/>
        <w:rPr>
          <w:rFonts w:ascii="宋体" w:hAnsi="宋体" w:cs="黑体"/>
          <w:color w:val="000000"/>
          <w:sz w:val="24"/>
          <w:szCs w:val="24"/>
        </w:rPr>
      </w:pPr>
      <w:bookmarkStart w:id="3" w:name="_Toc376968405"/>
      <w:r>
        <w:rPr>
          <w:rFonts w:hint="eastAsia" w:ascii="宋体" w:hAnsi="宋体" w:cs="黑体"/>
          <w:color w:val="000000"/>
          <w:sz w:val="24"/>
          <w:szCs w:val="24"/>
        </w:rPr>
        <w:t>工程概况</w:t>
      </w:r>
      <w:bookmarkEnd w:id="3"/>
    </w:p>
    <w:p>
      <w:pPr>
        <w:spacing w:line="360" w:lineRule="auto"/>
        <w:ind w:firstLine="480" w:firstLineChars="200"/>
        <w:rPr>
          <w:rFonts w:ascii="宋体" w:hAnsi="宋体" w:cs="黑体"/>
          <w:color w:val="000000"/>
        </w:rPr>
      </w:pPr>
      <w:r>
        <w:rPr>
          <w:rFonts w:hint="eastAsia" w:ascii="宋体" w:hAnsi="宋体" w:cs="黑体"/>
          <w:color w:val="000000"/>
          <w:sz w:val="24"/>
          <w:szCs w:val="24"/>
        </w:rPr>
        <w:t>现有二期取料机（</w:t>
      </w:r>
      <w:r>
        <w:rPr>
          <w:rFonts w:hint="eastAsia" w:ascii="宋体" w:hAnsi="宋体" w:cs="黑体"/>
          <w:color w:val="000000"/>
          <w:sz w:val="24"/>
        </w:rPr>
        <w:t>R5、R6、R7、R8、R9</w:t>
      </w:r>
      <w:r>
        <w:rPr>
          <w:rFonts w:hint="eastAsia" w:ascii="宋体" w:hAnsi="宋体" w:cs="黑体"/>
          <w:color w:val="000000"/>
          <w:sz w:val="24"/>
          <w:szCs w:val="24"/>
        </w:rPr>
        <w:t>）已投入运行1</w:t>
      </w:r>
      <w:r>
        <w:rPr>
          <w:rFonts w:hint="eastAsia" w:ascii="宋体" w:hAnsi="宋体" w:cs="黑体"/>
          <w:color w:val="000000"/>
          <w:sz w:val="24"/>
          <w:szCs w:val="24"/>
          <w:lang w:val="en-US" w:eastAsia="zh-CN"/>
        </w:rPr>
        <w:t>2</w:t>
      </w:r>
      <w:r>
        <w:rPr>
          <w:rFonts w:hint="eastAsia" w:ascii="宋体" w:hAnsi="宋体" w:cs="黑体"/>
          <w:color w:val="000000"/>
          <w:sz w:val="24"/>
          <w:szCs w:val="24"/>
        </w:rPr>
        <w:t>年，其斗轮液压站处钢制管路及管件在长期使用下，经常发生泄漏情况，对设备的平稳运行产生较大影响，为了提高黄骅港二期取料机（</w:t>
      </w:r>
      <w:r>
        <w:rPr>
          <w:rFonts w:hint="eastAsia" w:ascii="宋体" w:hAnsi="宋体" w:cs="黑体"/>
          <w:color w:val="000000"/>
          <w:sz w:val="24"/>
        </w:rPr>
        <w:t>R5、R6、R7、R8、R9</w:t>
      </w:r>
      <w:r>
        <w:rPr>
          <w:rFonts w:hint="eastAsia" w:ascii="宋体" w:hAnsi="宋体" w:cs="黑体"/>
          <w:color w:val="000000"/>
          <w:sz w:val="24"/>
          <w:szCs w:val="24"/>
        </w:rPr>
        <w:t>）液压系统的稳定性及使用效果，特进行此次斗轮液压站区域钢制管路及管件的改造。</w:t>
      </w:r>
    </w:p>
    <w:p>
      <w:pPr>
        <w:numPr>
          <w:ilvl w:val="0"/>
          <w:numId w:val="2"/>
        </w:numPr>
        <w:topLinePunct/>
        <w:snapToGrid w:val="0"/>
        <w:spacing w:line="360" w:lineRule="auto"/>
        <w:rPr>
          <w:rFonts w:ascii="宋体" w:hAnsi="宋体" w:cs="黑体"/>
          <w:color w:val="000000"/>
          <w:sz w:val="24"/>
          <w:szCs w:val="24"/>
        </w:rPr>
      </w:pPr>
      <w:r>
        <w:rPr>
          <w:rFonts w:hint="eastAsia" w:ascii="宋体" w:hAnsi="宋体" w:cs="黑体"/>
          <w:color w:val="000000"/>
          <w:sz w:val="24"/>
          <w:szCs w:val="24"/>
        </w:rPr>
        <w:t>1系统方案</w:t>
      </w:r>
    </w:p>
    <w:p>
      <w:pPr>
        <w:spacing w:line="360" w:lineRule="auto"/>
        <w:outlineLvl w:val="0"/>
        <w:rPr>
          <w:rFonts w:ascii="宋体" w:hAnsi="宋体" w:cs="黑体"/>
          <w:color w:val="000000"/>
          <w:sz w:val="24"/>
          <w:szCs w:val="24"/>
        </w:rPr>
      </w:pPr>
      <w:r>
        <w:rPr>
          <w:rFonts w:hint="eastAsia" w:ascii="宋体" w:hAnsi="宋体" w:cs="黑体"/>
          <w:color w:val="000000"/>
          <w:sz w:val="24"/>
          <w:szCs w:val="24"/>
        </w:rPr>
        <w:t xml:space="preserve">   投标方根据招标方提供的黄骅港二期取料机相关图纸资料，结合现场勘察测量的实际情况，确定详细的改造方案。</w:t>
      </w:r>
    </w:p>
    <w:p>
      <w:pPr>
        <w:topLinePunct/>
        <w:snapToGrid w:val="0"/>
        <w:spacing w:line="360" w:lineRule="auto"/>
        <w:rPr>
          <w:rFonts w:ascii="宋体" w:hAnsi="宋体" w:cs="黑体"/>
          <w:color w:val="000000"/>
          <w:sz w:val="24"/>
          <w:szCs w:val="24"/>
        </w:rPr>
      </w:pPr>
      <w:r>
        <w:rPr>
          <w:rFonts w:hint="eastAsia" w:ascii="宋体" w:hAnsi="宋体" w:cs="黑体"/>
          <w:color w:val="000000"/>
          <w:sz w:val="24"/>
          <w:szCs w:val="24"/>
        </w:rPr>
        <w:t>2.2供货范围</w:t>
      </w:r>
    </w:p>
    <w:p>
      <w:pPr>
        <w:topLinePunct/>
        <w:snapToGrid w:val="0"/>
        <w:spacing w:line="360" w:lineRule="auto"/>
        <w:ind w:firstLine="480" w:firstLineChars="200"/>
        <w:jc w:val="left"/>
        <w:rPr>
          <w:rFonts w:ascii="宋体" w:hAnsi="宋体" w:cs="黑体"/>
          <w:color w:val="000000"/>
          <w:sz w:val="24"/>
        </w:rPr>
      </w:pPr>
      <w:r>
        <w:rPr>
          <w:rFonts w:hint="eastAsia" w:ascii="宋体" w:hAnsi="宋体" w:cs="黑体"/>
          <w:color w:val="000000"/>
          <w:sz w:val="24"/>
        </w:rPr>
        <w:t>本规格书所指的需进行改造的生产设备是指黄骅港二期R5、R6、R7、R8、R9取料机，将其斗轮液压站区域（以液压站往臂架的胶管入口主阀块（不含主阀块）为界，液压站整体）钢制管路和管件全部更换为不锈钢管路和管件。</w:t>
      </w:r>
    </w:p>
    <w:p>
      <w:pPr>
        <w:topLinePunct/>
        <w:snapToGrid w:val="0"/>
        <w:spacing w:line="360" w:lineRule="auto"/>
        <w:ind w:firstLine="480" w:firstLineChars="200"/>
        <w:jc w:val="left"/>
        <w:rPr>
          <w:rFonts w:ascii="宋体" w:hAnsi="宋体" w:cs="黑体"/>
          <w:color w:val="000000"/>
          <w:sz w:val="24"/>
        </w:rPr>
      </w:pPr>
      <w:r>
        <w:rPr>
          <w:rFonts w:hint="eastAsia" w:ascii="宋体" w:hAnsi="宋体" w:cs="黑体"/>
          <w:color w:val="000000"/>
          <w:sz w:val="24"/>
        </w:rPr>
        <w:t>1、R568斗轮液压站示意图</w:t>
      </w:r>
    </w:p>
    <w:p>
      <w:pPr>
        <w:topLinePunct/>
        <w:snapToGrid w:val="0"/>
        <w:spacing w:line="360" w:lineRule="auto"/>
        <w:ind w:firstLine="480" w:firstLineChars="200"/>
        <w:jc w:val="left"/>
        <w:rPr>
          <w:rFonts w:ascii="宋体" w:hAnsi="宋体" w:cs="黑体"/>
          <w:color w:val="000000"/>
          <w:sz w:val="24"/>
        </w:rPr>
      </w:pPr>
      <w:r>
        <w:rPr>
          <w:rFonts w:ascii="宋体" w:hAnsi="宋体" w:cs="黑体"/>
          <w:color w:val="000000"/>
          <w:sz w:val="24"/>
        </w:rPr>
        <w:drawing>
          <wp:inline distT="0" distB="0" distL="0" distR="0">
            <wp:extent cx="5274310" cy="3808095"/>
            <wp:effectExtent l="19050" t="0" r="2540" b="0"/>
            <wp:docPr id="1" name="图片 0" descr="R568液压站图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R568液压站图纸.png"/>
                    <pic:cNvPicPr>
                      <a:picLocks noChangeAspect="1"/>
                    </pic:cNvPicPr>
                  </pic:nvPicPr>
                  <pic:blipFill>
                    <a:blip r:embed="rId4" cstate="print"/>
                    <a:stretch>
                      <a:fillRect/>
                    </a:stretch>
                  </pic:blipFill>
                  <pic:spPr>
                    <a:xfrm>
                      <a:off x="0" y="0"/>
                      <a:ext cx="5274310" cy="3808095"/>
                    </a:xfrm>
                    <a:prstGeom prst="rect">
                      <a:avLst/>
                    </a:prstGeom>
                  </pic:spPr>
                </pic:pic>
              </a:graphicData>
            </a:graphic>
          </wp:inline>
        </w:drawing>
      </w:r>
    </w:p>
    <w:p>
      <w:pPr>
        <w:topLinePunct/>
        <w:snapToGrid w:val="0"/>
        <w:spacing w:line="360" w:lineRule="auto"/>
        <w:ind w:firstLine="480" w:firstLineChars="200"/>
        <w:jc w:val="left"/>
        <w:rPr>
          <w:rFonts w:ascii="宋体" w:hAnsi="宋体" w:cs="黑体"/>
          <w:color w:val="000000"/>
          <w:sz w:val="24"/>
        </w:rPr>
      </w:pPr>
      <w:r>
        <w:rPr>
          <w:rFonts w:hint="eastAsia" w:ascii="宋体" w:hAnsi="宋体" w:cs="黑体"/>
          <w:color w:val="000000"/>
          <w:sz w:val="24"/>
        </w:rPr>
        <w:t>2、R79斗轮液压站示意图</w:t>
      </w:r>
    </w:p>
    <w:p>
      <w:pPr>
        <w:topLinePunct/>
        <w:snapToGrid w:val="0"/>
        <w:spacing w:line="360" w:lineRule="auto"/>
        <w:ind w:firstLine="480" w:firstLineChars="200"/>
        <w:jc w:val="left"/>
        <w:rPr>
          <w:rFonts w:ascii="宋体" w:hAnsi="宋体" w:cs="黑体"/>
          <w:color w:val="000000"/>
          <w:sz w:val="24"/>
        </w:rPr>
      </w:pPr>
      <w:r>
        <w:rPr>
          <w:rFonts w:ascii="宋体" w:hAnsi="宋体" w:cs="黑体"/>
          <w:color w:val="000000"/>
          <w:sz w:val="24"/>
        </w:rPr>
        <w:drawing>
          <wp:inline distT="0" distB="0" distL="0" distR="0">
            <wp:extent cx="5274310" cy="3808095"/>
            <wp:effectExtent l="19050" t="0" r="2540" b="0"/>
            <wp:docPr id="2" name="图片 1" descr="R79液压站图纸.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R79液压站图纸.png"/>
                    <pic:cNvPicPr>
                      <a:picLocks noChangeAspect="1"/>
                    </pic:cNvPicPr>
                  </pic:nvPicPr>
                  <pic:blipFill>
                    <a:blip r:embed="rId5" cstate="print"/>
                    <a:stretch>
                      <a:fillRect/>
                    </a:stretch>
                  </pic:blipFill>
                  <pic:spPr>
                    <a:xfrm>
                      <a:off x="0" y="0"/>
                      <a:ext cx="5274310" cy="3808095"/>
                    </a:xfrm>
                    <a:prstGeom prst="rect">
                      <a:avLst/>
                    </a:prstGeom>
                  </pic:spPr>
                </pic:pic>
              </a:graphicData>
            </a:graphic>
          </wp:inline>
        </w:drawing>
      </w:r>
    </w:p>
    <w:p>
      <w:pPr>
        <w:topLinePunct/>
        <w:snapToGrid w:val="0"/>
        <w:spacing w:line="360" w:lineRule="auto"/>
        <w:rPr>
          <w:rFonts w:ascii="宋体" w:hAnsi="宋体" w:cs="黑体"/>
          <w:color w:val="000000"/>
          <w:sz w:val="24"/>
        </w:rPr>
      </w:pPr>
      <w:r>
        <w:rPr>
          <w:rFonts w:hint="eastAsia" w:ascii="宋体" w:hAnsi="宋体" w:cs="黑体"/>
          <w:color w:val="000000"/>
          <w:sz w:val="24"/>
        </w:rPr>
        <w:t>2.2.1 供货范围说明</w:t>
      </w:r>
    </w:p>
    <w:p>
      <w:pPr>
        <w:topLinePunct/>
        <w:snapToGrid w:val="0"/>
        <w:spacing w:line="360" w:lineRule="auto"/>
        <w:rPr>
          <w:rFonts w:ascii="宋体" w:hAnsi="宋体" w:cs="黑体"/>
          <w:color w:val="000000"/>
          <w:sz w:val="24"/>
        </w:rPr>
      </w:pPr>
      <w:r>
        <w:rPr>
          <w:rFonts w:hint="eastAsia" w:ascii="宋体" w:hAnsi="宋体" w:cs="黑体"/>
          <w:color w:val="000000"/>
          <w:sz w:val="24"/>
        </w:rPr>
        <w:t xml:space="preserve">    本项目施工过程中所有人员、设施、车辆等一切与项目相关的均由投标方提供，招标方只协助维修时间的协调及进厂前的手续办理。</w:t>
      </w:r>
    </w:p>
    <w:p>
      <w:pPr>
        <w:topLinePunct/>
        <w:snapToGrid w:val="0"/>
        <w:spacing w:line="360" w:lineRule="auto"/>
        <w:rPr>
          <w:rFonts w:ascii="宋体" w:hAnsi="宋体" w:cs="黑体"/>
          <w:color w:val="000000"/>
          <w:sz w:val="24"/>
        </w:rPr>
      </w:pPr>
      <w:r>
        <w:rPr>
          <w:rFonts w:hint="eastAsia" w:ascii="宋体" w:hAnsi="宋体" w:cs="黑体"/>
          <w:color w:val="000000"/>
          <w:sz w:val="24"/>
        </w:rPr>
        <w:t xml:space="preserve">2.3斗轮液压站钢制管路更换的基本要求（并不限于此）： </w:t>
      </w:r>
    </w:p>
    <w:p>
      <w:pPr>
        <w:topLinePunct/>
        <w:snapToGrid w:val="0"/>
        <w:spacing w:line="360" w:lineRule="auto"/>
        <w:rPr>
          <w:rFonts w:ascii="宋体" w:hAnsi="宋体" w:cs="黑体"/>
          <w:color w:val="000000"/>
          <w:sz w:val="24"/>
        </w:rPr>
      </w:pPr>
      <w:r>
        <w:rPr>
          <w:rFonts w:hint="eastAsia" w:ascii="宋体" w:hAnsi="宋体" w:cs="黑体"/>
          <w:color w:val="000000"/>
          <w:sz w:val="24"/>
        </w:rPr>
        <w:t>2.3.1将斗轮液压站区域内的钢制管路及管件整体更换为不锈钢管路及管件。</w:t>
      </w:r>
    </w:p>
    <w:p>
      <w:pPr>
        <w:topLinePunct/>
        <w:snapToGrid w:val="0"/>
        <w:spacing w:line="360" w:lineRule="auto"/>
        <w:rPr>
          <w:rFonts w:ascii="宋体" w:hAnsi="宋体" w:cs="黑体"/>
          <w:color w:val="000000"/>
          <w:sz w:val="24"/>
        </w:rPr>
      </w:pPr>
      <w:r>
        <w:rPr>
          <w:rFonts w:hint="eastAsia" w:ascii="宋体" w:hAnsi="宋体" w:cs="黑体"/>
          <w:color w:val="000000"/>
          <w:sz w:val="24"/>
        </w:rPr>
        <w:t>2.3.2项目实施具体内容由投标方根据图纸及现场勘察测量结果提出，并经招标方同意后确定。</w:t>
      </w:r>
    </w:p>
    <w:p>
      <w:pPr>
        <w:topLinePunct/>
        <w:snapToGrid w:val="0"/>
        <w:spacing w:line="360" w:lineRule="auto"/>
        <w:ind w:firstLine="480" w:firstLineChars="200"/>
        <w:jc w:val="left"/>
        <w:rPr>
          <w:rFonts w:ascii="宋体" w:hAnsi="宋体" w:cs="黑体"/>
          <w:color w:val="000000"/>
          <w:sz w:val="24"/>
        </w:rPr>
      </w:pPr>
      <w:r>
        <w:rPr>
          <w:rFonts w:hint="eastAsia" w:ascii="宋体" w:hAnsi="宋体" w:cs="黑体"/>
          <w:color w:val="000000"/>
          <w:sz w:val="24"/>
        </w:rPr>
        <w:t>R5、6、8取料机：（下表为单台数量，所包含数据仅供参考）</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序号</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项目</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外径/mm</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长度/mm</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内径</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数目/个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xml:space="preserve">弯头 </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手动截阀</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接头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10000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7</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弯头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9</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5000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11</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弯头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14</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17</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19</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21</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150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7000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弯头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24</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7</w:t>
            </w:r>
          </w:p>
        </w:tc>
      </w:tr>
    </w:tbl>
    <w:p>
      <w:pPr>
        <w:topLinePunct/>
        <w:snapToGrid w:val="0"/>
        <w:spacing w:line="360" w:lineRule="auto"/>
        <w:ind w:firstLine="480" w:firstLineChars="200"/>
        <w:jc w:val="left"/>
        <w:rPr>
          <w:rFonts w:ascii="宋体" w:hAnsi="宋体" w:cs="黑体"/>
          <w:color w:val="000000"/>
          <w:sz w:val="24"/>
        </w:rPr>
      </w:pPr>
    </w:p>
    <w:p>
      <w:pPr>
        <w:topLinePunct/>
        <w:snapToGrid w:val="0"/>
        <w:spacing w:line="360" w:lineRule="auto"/>
        <w:ind w:firstLine="480" w:firstLineChars="200"/>
        <w:jc w:val="left"/>
        <w:rPr>
          <w:rFonts w:ascii="宋体" w:hAnsi="宋体" w:cs="黑体"/>
          <w:color w:val="000000"/>
          <w:sz w:val="24"/>
        </w:rPr>
      </w:pPr>
      <w:r>
        <w:rPr>
          <w:rFonts w:hint="eastAsia" w:ascii="宋体" w:hAnsi="宋体" w:cs="黑体"/>
          <w:color w:val="000000"/>
          <w:sz w:val="24"/>
        </w:rPr>
        <w:t>R7、9取料机：（（下表为单台数量，所包含数据仅供参考））</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0"/>
        <w:gridCol w:w="1420"/>
        <w:gridCol w:w="1420"/>
        <w:gridCol w:w="1420"/>
        <w:gridCol w:w="1421"/>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序号</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项目</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外径/mm</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长度/mm</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内径</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数目/个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xml:space="preserve">弯头 </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手动截阀</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接头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DN50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弯头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7</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对丝</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42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9</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10000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弯头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11</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对丝</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14</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6500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17</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弯头</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30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19</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1500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21</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22</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23</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115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1000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24</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115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25</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60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500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26</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箱内钢管</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2500</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27</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三通</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trPr>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28</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固定支架</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20</w:t>
            </w:r>
          </w:p>
        </w:tc>
        <w:tc>
          <w:tcPr>
            <w:tcW w:w="1420"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　</w:t>
            </w:r>
          </w:p>
        </w:tc>
        <w:tc>
          <w:tcPr>
            <w:tcW w:w="1421" w:type="dxa"/>
          </w:tcPr>
          <w:p>
            <w:pPr>
              <w:widowControl/>
              <w:jc w:val="center"/>
              <w:rPr>
                <w:rFonts w:ascii="宋体" w:hAnsi="宋体" w:cs="宋体"/>
                <w:kern w:val="0"/>
                <w:sz w:val="24"/>
                <w:szCs w:val="24"/>
              </w:rPr>
            </w:pPr>
            <w:r>
              <w:rPr>
                <w:rFonts w:hint="eastAsia" w:ascii="宋体" w:hAnsi="宋体" w:cs="宋体"/>
                <w:kern w:val="0"/>
                <w:sz w:val="24"/>
                <w:szCs w:val="24"/>
              </w:rPr>
              <w:t>2</w:t>
            </w:r>
          </w:p>
        </w:tc>
      </w:tr>
    </w:tbl>
    <w:p>
      <w:pPr>
        <w:topLinePunct/>
        <w:snapToGrid w:val="0"/>
        <w:spacing w:line="360" w:lineRule="auto"/>
        <w:ind w:firstLine="480" w:firstLineChars="200"/>
        <w:jc w:val="left"/>
        <w:rPr>
          <w:rFonts w:ascii="宋体" w:hAnsi="宋体" w:cs="黑体"/>
          <w:color w:val="000000"/>
          <w:sz w:val="24"/>
        </w:rPr>
      </w:pPr>
    </w:p>
    <w:p>
      <w:pPr>
        <w:topLinePunct/>
        <w:snapToGrid w:val="0"/>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 现场条件</w:t>
      </w:r>
    </w:p>
    <w:p>
      <w:pPr>
        <w:spacing w:line="48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2.4.1港口地理位置</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黄骅港位于中国河北省沧州市区以东约90km的渤海之滨，地处环渤海经济区的中部。漳卫新河与宣惠河交汇的大口河在此处入海。海上北距天津112km，东距龙口约280km；陆上西距黄骅市45km，朔（州）黄（骅）铁路直通港内。</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2.4.2  自然条件</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1、气象条件</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（1）风况</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常风向：南南西（SSW），出现频率为11.1%。</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强风向：东北东（ENE），出现频率为0.4%。</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瞬时极大风速：＞40m/s</w:t>
      </w:r>
    </w:p>
    <w:p>
      <w:pPr>
        <w:spacing w:line="360" w:lineRule="auto"/>
        <w:ind w:firstLine="504" w:firstLineChars="200"/>
        <w:rPr>
          <w:rFonts w:cs="仿宋_GB2312" w:asciiTheme="minorEastAsia" w:hAnsiTheme="minorEastAsia" w:eastAsiaTheme="minorEastAsia"/>
          <w:spacing w:val="6"/>
          <w:sz w:val="24"/>
          <w:szCs w:val="24"/>
        </w:rPr>
      </w:pPr>
      <w:r>
        <w:rPr>
          <w:rFonts w:hint="eastAsia" w:cs="仿宋_GB2312" w:asciiTheme="minorEastAsia" w:hAnsiTheme="minorEastAsia" w:eastAsiaTheme="minorEastAsia"/>
          <w:spacing w:val="6"/>
          <w:sz w:val="24"/>
          <w:szCs w:val="24"/>
        </w:rPr>
        <w:t>对固定的建筑结构，风荷载按中国建筑结构设计规范计算，带式输送机架和带式输送机房基本风荷载:450N/m</w:t>
      </w:r>
      <w:r>
        <w:rPr>
          <w:rFonts w:hint="eastAsia" w:cs="仿宋_GB2312" w:asciiTheme="minorEastAsia" w:hAnsiTheme="minorEastAsia" w:eastAsiaTheme="minorEastAsia"/>
          <w:spacing w:val="6"/>
          <w:sz w:val="24"/>
          <w:szCs w:val="24"/>
          <w:vertAlign w:val="superscript"/>
        </w:rPr>
        <w:t>2</w:t>
      </w:r>
      <w:r>
        <w:rPr>
          <w:rFonts w:hint="eastAsia" w:cs="仿宋_GB2312" w:asciiTheme="minorEastAsia" w:hAnsiTheme="minorEastAsia" w:eastAsiaTheme="minorEastAsia"/>
          <w:spacing w:val="6"/>
          <w:sz w:val="24"/>
          <w:szCs w:val="24"/>
        </w:rPr>
        <w:t>。对于高机房和高栈桥结构基本风压应考虑风压增大系数1.1～1.2。</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（2）降水</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年平均降水量：</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501mm</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历年最大年降水量：</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719.4mm</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历年最小年降水量：</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336.8mm</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历年最大日降水量：</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136.8mm</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年雷雨天数：</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天</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降水量主要集中在6、7、8三个月，占全年降水量的70%以上。年内日降水量大于25.0mm的天数平均5天，最多7天。</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最大积雪深度：</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21cm</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（3）气温</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多年平均气温：</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12.2℃</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多年平均最高气温：</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17.3℃</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多年平均最低气温：</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7.8℃</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历年极端最高气温：</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40.0℃</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历年极端最低气温：</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-19.5℃</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年日平均气温低于-5℃的天数为71天，低于-10℃的天数为23.8天。</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（4）雾</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雾日多发生在秋、冬两季。年平均雾日数为12.2天，最多20天。</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（5）相对湿度</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最热月室外计算相对湿度：78%</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（6）冬季日照率：66%</w:t>
      </w:r>
    </w:p>
    <w:p>
      <w:pPr>
        <w:pStyle w:val="2"/>
        <w:spacing w:before="0" w:after="0" w:line="480" w:lineRule="auto"/>
        <w:rPr>
          <w:rFonts w:cs="仿宋_GB2312" w:asciiTheme="minorEastAsia" w:hAnsiTheme="minorEastAsia" w:eastAsiaTheme="minorEastAsia"/>
          <w:b w:val="0"/>
          <w:sz w:val="24"/>
          <w:szCs w:val="24"/>
        </w:rPr>
      </w:pPr>
      <w:bookmarkStart w:id="4" w:name="_Toc376968406"/>
      <w:r>
        <w:rPr>
          <w:rFonts w:hint="eastAsia" w:cs="仿宋_GB2312" w:asciiTheme="minorEastAsia" w:hAnsiTheme="minorEastAsia" w:eastAsiaTheme="minorEastAsia"/>
          <w:b w:val="0"/>
          <w:sz w:val="24"/>
          <w:szCs w:val="24"/>
        </w:rPr>
        <w:t>3.适用的标准、规范</w:t>
      </w:r>
      <w:bookmarkEnd w:id="4"/>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1）GBT 25133《液压系统总成 管路冲洗方法》</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2）GB/T 14976《流体输送用不锈钢无缝钢管》</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3）</w:t>
      </w:r>
      <w:r>
        <w:rPr>
          <w:rFonts w:cs="仿宋_GB2312" w:asciiTheme="minorEastAsia" w:hAnsiTheme="minorEastAsia" w:eastAsiaTheme="minorEastAsia"/>
          <w:sz w:val="24"/>
          <w:szCs w:val="24"/>
        </w:rPr>
        <w:t>GB/T 19228.1</w:t>
      </w:r>
      <w:r>
        <w:rPr>
          <w:rFonts w:hint="eastAsia" w:cs="仿宋_GB2312" w:asciiTheme="minorEastAsia" w:hAnsiTheme="minorEastAsia" w:eastAsiaTheme="minorEastAsia"/>
          <w:sz w:val="24"/>
          <w:szCs w:val="24"/>
        </w:rPr>
        <w:t>《</w:t>
      </w:r>
      <w:r>
        <w:rPr>
          <w:rFonts w:cs="仿宋_GB2312" w:asciiTheme="minorEastAsia" w:hAnsiTheme="minorEastAsia" w:eastAsiaTheme="minorEastAsia"/>
          <w:sz w:val="24"/>
          <w:szCs w:val="24"/>
        </w:rPr>
        <w:t>不锈钢卡压式管件组件第1部分:卡压式管件</w:t>
      </w:r>
      <w:r>
        <w:rPr>
          <w:rFonts w:hint="eastAsia" w:cs="仿宋_GB2312" w:asciiTheme="minorEastAsia" w:hAnsiTheme="minorEastAsia" w:eastAsiaTheme="minorEastAsia"/>
          <w:sz w:val="24"/>
          <w:szCs w:val="24"/>
        </w:rPr>
        <w:t>》</w:t>
      </w:r>
    </w:p>
    <w:p>
      <w:pPr>
        <w:pStyle w:val="2"/>
        <w:spacing w:before="0" w:after="0" w:line="480" w:lineRule="auto"/>
        <w:rPr>
          <w:rFonts w:cs="仿宋_GB2312" w:asciiTheme="minorEastAsia" w:hAnsiTheme="minorEastAsia" w:eastAsiaTheme="minorEastAsia"/>
          <w:b w:val="0"/>
          <w:sz w:val="24"/>
          <w:szCs w:val="24"/>
        </w:rPr>
      </w:pPr>
      <w:r>
        <w:rPr>
          <w:rFonts w:hint="eastAsia" w:cs="仿宋_GB2312" w:asciiTheme="minorEastAsia" w:hAnsiTheme="minorEastAsia" w:eastAsiaTheme="minorEastAsia"/>
          <w:b w:val="0"/>
          <w:sz w:val="24"/>
          <w:szCs w:val="24"/>
        </w:rPr>
        <w:t>4.</w:t>
      </w:r>
      <w:bookmarkStart w:id="5" w:name="_Toc376968407"/>
      <w:bookmarkStart w:id="6" w:name="_Toc276126647"/>
      <w:bookmarkStart w:id="7" w:name="_Toc276630600"/>
      <w:r>
        <w:rPr>
          <w:rFonts w:hint="eastAsia" w:cs="仿宋_GB2312" w:asciiTheme="minorEastAsia" w:hAnsiTheme="minorEastAsia" w:eastAsiaTheme="minorEastAsia"/>
          <w:b w:val="0"/>
          <w:sz w:val="24"/>
          <w:szCs w:val="24"/>
        </w:rPr>
        <w:t>详细技术要求</w:t>
      </w:r>
      <w:bookmarkEnd w:id="5"/>
      <w:bookmarkEnd w:id="6"/>
      <w:bookmarkEnd w:id="7"/>
      <w:bookmarkStart w:id="8" w:name="_Toc376968408"/>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4</w:t>
      </w:r>
      <w:r>
        <w:rPr>
          <w:rFonts w:cs="仿宋_GB2312" w:asciiTheme="minorEastAsia" w:hAnsiTheme="minorEastAsia" w:eastAsiaTheme="minorEastAsia"/>
          <w:sz w:val="24"/>
          <w:szCs w:val="24"/>
        </w:rPr>
        <w:t>.1</w:t>
      </w:r>
      <w:r>
        <w:rPr>
          <w:rFonts w:hint="eastAsia" w:cs="仿宋_GB2312" w:asciiTheme="minorEastAsia" w:hAnsiTheme="minorEastAsia" w:eastAsiaTheme="minorEastAsia"/>
          <w:sz w:val="24"/>
          <w:szCs w:val="24"/>
        </w:rPr>
        <w:t xml:space="preserve"> 所有液压管路和管件的选用必须符合国标要求，其材质</w:t>
      </w:r>
      <w:r>
        <w:rPr>
          <w:rFonts w:cs="仿宋_GB2312" w:asciiTheme="minorEastAsia" w:hAnsiTheme="minorEastAsia" w:eastAsiaTheme="minorEastAsia"/>
          <w:sz w:val="24"/>
          <w:szCs w:val="24"/>
        </w:rPr>
        <w:t>为</w:t>
      </w:r>
      <w:r>
        <w:rPr>
          <w:rFonts w:hint="eastAsia" w:cs="仿宋_GB2312" w:asciiTheme="minorEastAsia" w:hAnsiTheme="minorEastAsia" w:eastAsiaTheme="minorEastAsia"/>
          <w:sz w:val="24"/>
          <w:szCs w:val="24"/>
          <w:lang w:eastAsia="zh-CN"/>
        </w:rPr>
        <w:t>冷拔</w:t>
      </w:r>
      <w:r>
        <w:rPr>
          <w:rFonts w:hint="eastAsia" w:cs="仿宋_GB2312" w:asciiTheme="minorEastAsia" w:hAnsiTheme="minorEastAsia" w:eastAsiaTheme="minorEastAsia"/>
          <w:sz w:val="24"/>
          <w:szCs w:val="24"/>
        </w:rPr>
        <w:t>304不锈钢材质制作，壁厚达到国标要求</w:t>
      </w:r>
      <w:r>
        <w:rPr>
          <w:rFonts w:cs="仿宋_GB2312" w:asciiTheme="minorEastAsia" w:hAnsiTheme="minorEastAsia" w:eastAsiaTheme="minorEastAsia"/>
          <w:sz w:val="24"/>
          <w:szCs w:val="24"/>
        </w:rPr>
        <w:t>。</w:t>
      </w:r>
    </w:p>
    <w:p>
      <w:pPr>
        <w:spacing w:line="360" w:lineRule="auto"/>
        <w:ind w:firstLine="480" w:firstLineChars="200"/>
        <w:rPr>
          <w:rFonts w:ascii="宋体" w:hAnsi="宋体" w:cs="仿宋_GB2312"/>
          <w:sz w:val="24"/>
          <w:szCs w:val="24"/>
        </w:rPr>
      </w:pPr>
      <w:r>
        <w:rPr>
          <w:rFonts w:hint="eastAsia" w:ascii="宋体" w:hAnsi="宋体" w:cs="仿宋_GB2312"/>
          <w:sz w:val="24"/>
          <w:szCs w:val="24"/>
        </w:rPr>
        <w:t>4.2 液压管路和管件更换后，应根据国标和相关规范要求进行管路压力试验和管路冲洗。</w:t>
      </w:r>
    </w:p>
    <w:p>
      <w:pPr>
        <w:spacing w:line="360" w:lineRule="auto"/>
        <w:ind w:firstLine="480" w:firstLineChars="200"/>
        <w:rPr>
          <w:rFonts w:ascii="宋体" w:hAnsi="宋体" w:cs="仿宋_GB2312"/>
          <w:sz w:val="24"/>
          <w:szCs w:val="24"/>
        </w:rPr>
      </w:pPr>
      <w:r>
        <w:rPr>
          <w:rFonts w:hint="eastAsia" w:ascii="宋体" w:hAnsi="宋体" w:cs="仿宋_GB2312"/>
          <w:sz w:val="24"/>
          <w:szCs w:val="24"/>
        </w:rPr>
        <w:t>4.3 所有管路和管件均按照原有设备布置的路径、方式进行铺设，且满足系统压力的需要。</w:t>
      </w:r>
    </w:p>
    <w:p>
      <w:pPr>
        <w:spacing w:line="360" w:lineRule="auto"/>
        <w:ind w:firstLine="480" w:firstLineChars="200"/>
        <w:rPr>
          <w:rFonts w:hint="eastAsia" w:ascii="宋体" w:hAnsi="宋体" w:cs="仿宋_GB2312"/>
          <w:sz w:val="24"/>
          <w:szCs w:val="24"/>
        </w:rPr>
      </w:pPr>
      <w:r>
        <w:rPr>
          <w:rFonts w:ascii="宋体" w:hAnsi="宋体" w:cs="仿宋_GB2312"/>
          <w:sz w:val="24"/>
          <w:szCs w:val="24"/>
        </w:rPr>
        <w:t xml:space="preserve">4.4 </w:t>
      </w:r>
      <w:r>
        <w:rPr>
          <w:rFonts w:hint="eastAsia" w:ascii="宋体" w:hAnsi="宋体" w:cs="仿宋_GB2312"/>
          <w:sz w:val="24"/>
          <w:szCs w:val="24"/>
        </w:rPr>
        <w:t>在管路和管件更换过程中，应对涉及的密封件进行更换，并单独提供一套备件。</w:t>
      </w:r>
    </w:p>
    <w:p>
      <w:pPr>
        <w:spacing w:line="360" w:lineRule="auto"/>
        <w:ind w:firstLine="480" w:firstLineChars="200"/>
        <w:rPr>
          <w:rFonts w:ascii="宋体" w:hAnsi="宋体" w:cs="仿宋_GB2312"/>
          <w:sz w:val="24"/>
          <w:szCs w:val="24"/>
        </w:rPr>
      </w:pPr>
      <w:r>
        <w:rPr>
          <w:rFonts w:hint="eastAsia" w:ascii="宋体" w:hAnsi="宋体" w:cs="仿宋_GB2312"/>
          <w:sz w:val="24"/>
          <w:szCs w:val="24"/>
        </w:rPr>
        <w:t>4.5 对于在管路更换过程中，因材质原因需要对原有连接方式进行变动的，需经招标方同意才能进行。</w:t>
      </w:r>
    </w:p>
    <w:p>
      <w:pPr>
        <w:spacing w:line="360" w:lineRule="auto"/>
        <w:ind w:firstLine="480" w:firstLineChars="200"/>
        <w:rPr>
          <w:rFonts w:ascii="宋体" w:hAnsi="宋体" w:cs="仿宋_GB2312"/>
          <w:sz w:val="24"/>
          <w:szCs w:val="24"/>
        </w:rPr>
      </w:pPr>
      <w:r>
        <w:rPr>
          <w:rFonts w:hint="eastAsia" w:ascii="宋体" w:hAnsi="宋体" w:cs="仿宋_GB2312"/>
          <w:sz w:val="24"/>
          <w:szCs w:val="24"/>
        </w:rPr>
        <w:t>4.6 提供所有更换备件的详细清单。</w:t>
      </w:r>
    </w:p>
    <w:p>
      <w:pPr>
        <w:spacing w:line="360" w:lineRule="auto"/>
        <w:ind w:firstLine="480" w:firstLineChars="200"/>
        <w:rPr>
          <w:rFonts w:ascii="宋体" w:hAnsi="宋体" w:cs="仿宋_GB2312"/>
          <w:sz w:val="24"/>
          <w:szCs w:val="24"/>
        </w:rPr>
      </w:pPr>
      <w:r>
        <w:rPr>
          <w:rFonts w:hint="eastAsia" w:ascii="宋体" w:hAnsi="宋体" w:cs="仿宋_GB2312"/>
          <w:sz w:val="24"/>
          <w:szCs w:val="24"/>
        </w:rPr>
        <w:t>4.7 管路冲洗所需的设备和所有材料由投标方提供。</w:t>
      </w:r>
    </w:p>
    <w:p>
      <w:pPr>
        <w:jc w:val="left"/>
        <w:rPr>
          <w:rFonts w:cs="仿宋_GB2312" w:asciiTheme="minorEastAsia" w:hAnsiTheme="minorEastAsia" w:eastAsiaTheme="minorEastAsia"/>
          <w:b/>
          <w:sz w:val="24"/>
          <w:szCs w:val="24"/>
        </w:rPr>
      </w:pPr>
      <w:r>
        <w:rPr>
          <w:rFonts w:hint="eastAsia" w:cs="仿宋_GB2312" w:asciiTheme="minorEastAsia" w:hAnsiTheme="minorEastAsia" w:eastAsiaTheme="minorEastAsia"/>
          <w:sz w:val="24"/>
          <w:szCs w:val="24"/>
        </w:rPr>
        <w:t>5.图纸和技术文件</w:t>
      </w:r>
      <w:bookmarkEnd w:id="8"/>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5.1图纸规格</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图号：</w:t>
      </w:r>
      <w:r>
        <w:rPr>
          <w:rFonts w:hint="eastAsia" w:cs="仿宋_GB2312" w:asciiTheme="minorEastAsia" w:hAnsiTheme="minorEastAsia" w:eastAsiaTheme="minorEastAsia"/>
          <w:sz w:val="24"/>
          <w:szCs w:val="24"/>
        </w:rPr>
        <w:tab/>
      </w:r>
      <w:r>
        <w:rPr>
          <w:rFonts w:hint="eastAsia" w:cs="仿宋_GB2312" w:asciiTheme="minorEastAsia" w:hAnsiTheme="minorEastAsia" w:eastAsiaTheme="minorEastAsia"/>
          <w:sz w:val="24"/>
          <w:szCs w:val="24"/>
        </w:rPr>
        <w:t>尺寸(mm)：</w:t>
      </w:r>
    </w:p>
    <w:p>
      <w:pPr>
        <w:spacing w:line="360" w:lineRule="auto"/>
        <w:ind w:firstLine="360" w:firstLineChars="150"/>
        <w:rPr>
          <w:rFonts w:cs="仿宋_GB2312" w:asciiTheme="minorEastAsia" w:hAnsiTheme="minorEastAsia" w:eastAsiaTheme="minorEastAsia"/>
          <w:sz w:val="24"/>
          <w:szCs w:val="24"/>
        </w:rPr>
      </w:pPr>
      <w:r>
        <w:rPr>
          <w:rFonts w:cs="仿宋_GB2312" w:asciiTheme="minorEastAsia" w:hAnsiTheme="minorEastAsia" w:eastAsiaTheme="minorEastAsia"/>
          <w:sz w:val="24"/>
          <w:szCs w:val="24"/>
        </w:rPr>
        <w:t>A—0</w:t>
      </w:r>
      <w:r>
        <w:rPr>
          <w:rFonts w:cs="仿宋_GB2312" w:asciiTheme="minorEastAsia" w:hAnsiTheme="minorEastAsia" w:eastAsiaTheme="minorEastAsia"/>
          <w:sz w:val="24"/>
          <w:szCs w:val="24"/>
        </w:rPr>
        <w:tab/>
      </w:r>
      <w:r>
        <w:rPr>
          <w:rFonts w:cs="仿宋_GB2312" w:asciiTheme="minorEastAsia" w:hAnsiTheme="minorEastAsia" w:eastAsiaTheme="minorEastAsia"/>
          <w:sz w:val="24"/>
          <w:szCs w:val="24"/>
        </w:rPr>
        <w:t>841×1189</w:t>
      </w:r>
      <w:r>
        <w:rPr>
          <w:rFonts w:hint="eastAsia" w:cs="仿宋_GB2312" w:asciiTheme="minorEastAsia" w:hAnsiTheme="minorEastAsia" w:eastAsiaTheme="minorEastAsia"/>
          <w:sz w:val="24"/>
          <w:szCs w:val="24"/>
        </w:rPr>
        <w:t>；</w:t>
      </w:r>
    </w:p>
    <w:p>
      <w:pPr>
        <w:spacing w:line="360" w:lineRule="auto"/>
        <w:ind w:firstLine="360" w:firstLineChars="150"/>
        <w:rPr>
          <w:rFonts w:cs="仿宋_GB2312" w:asciiTheme="minorEastAsia" w:hAnsiTheme="minorEastAsia" w:eastAsiaTheme="minorEastAsia"/>
          <w:sz w:val="24"/>
          <w:szCs w:val="24"/>
        </w:rPr>
      </w:pPr>
      <w:r>
        <w:rPr>
          <w:rFonts w:cs="仿宋_GB2312" w:asciiTheme="minorEastAsia" w:hAnsiTheme="minorEastAsia" w:eastAsiaTheme="minorEastAsia"/>
          <w:sz w:val="24"/>
          <w:szCs w:val="24"/>
        </w:rPr>
        <w:t>A—1</w:t>
      </w:r>
      <w:r>
        <w:rPr>
          <w:rFonts w:cs="仿宋_GB2312" w:asciiTheme="minorEastAsia" w:hAnsiTheme="minorEastAsia" w:eastAsiaTheme="minorEastAsia"/>
          <w:sz w:val="24"/>
          <w:szCs w:val="24"/>
        </w:rPr>
        <w:tab/>
      </w:r>
      <w:r>
        <w:rPr>
          <w:rFonts w:cs="仿宋_GB2312" w:asciiTheme="minorEastAsia" w:hAnsiTheme="minorEastAsia" w:eastAsiaTheme="minorEastAsia"/>
          <w:sz w:val="24"/>
          <w:szCs w:val="24"/>
        </w:rPr>
        <w:t>594×841</w:t>
      </w:r>
      <w:r>
        <w:rPr>
          <w:rFonts w:hint="eastAsia" w:cs="仿宋_GB2312" w:asciiTheme="minorEastAsia" w:hAnsiTheme="minorEastAsia" w:eastAsiaTheme="minorEastAsia"/>
          <w:sz w:val="24"/>
          <w:szCs w:val="24"/>
        </w:rPr>
        <w:t>；</w:t>
      </w:r>
    </w:p>
    <w:p>
      <w:pPr>
        <w:spacing w:line="360" w:lineRule="auto"/>
        <w:ind w:firstLine="360" w:firstLineChars="150"/>
        <w:rPr>
          <w:rFonts w:cs="仿宋_GB2312" w:asciiTheme="minorEastAsia" w:hAnsiTheme="minorEastAsia" w:eastAsiaTheme="minorEastAsia"/>
          <w:sz w:val="24"/>
          <w:szCs w:val="24"/>
        </w:rPr>
      </w:pPr>
      <w:r>
        <w:rPr>
          <w:rFonts w:cs="仿宋_GB2312" w:asciiTheme="minorEastAsia" w:hAnsiTheme="minorEastAsia" w:eastAsiaTheme="minorEastAsia"/>
          <w:sz w:val="24"/>
          <w:szCs w:val="24"/>
        </w:rPr>
        <w:t>A—2</w:t>
      </w:r>
      <w:r>
        <w:rPr>
          <w:rFonts w:cs="仿宋_GB2312" w:asciiTheme="minorEastAsia" w:hAnsiTheme="minorEastAsia" w:eastAsiaTheme="minorEastAsia"/>
          <w:sz w:val="24"/>
          <w:szCs w:val="24"/>
        </w:rPr>
        <w:tab/>
      </w:r>
      <w:r>
        <w:rPr>
          <w:rFonts w:cs="仿宋_GB2312" w:asciiTheme="minorEastAsia" w:hAnsiTheme="minorEastAsia" w:eastAsiaTheme="minorEastAsia"/>
          <w:sz w:val="24"/>
          <w:szCs w:val="24"/>
        </w:rPr>
        <w:t>420×594</w:t>
      </w:r>
      <w:r>
        <w:rPr>
          <w:rFonts w:hint="eastAsia" w:cs="仿宋_GB2312" w:asciiTheme="minorEastAsia" w:hAnsiTheme="minorEastAsia" w:eastAsiaTheme="minorEastAsia"/>
          <w:sz w:val="24"/>
          <w:szCs w:val="24"/>
        </w:rPr>
        <w:t>；</w:t>
      </w:r>
    </w:p>
    <w:p>
      <w:pPr>
        <w:spacing w:line="360" w:lineRule="auto"/>
        <w:ind w:firstLine="360" w:firstLineChars="150"/>
        <w:rPr>
          <w:rFonts w:cs="仿宋_GB2312" w:asciiTheme="minorEastAsia" w:hAnsiTheme="minorEastAsia" w:eastAsiaTheme="minorEastAsia"/>
          <w:sz w:val="24"/>
          <w:szCs w:val="24"/>
        </w:rPr>
      </w:pPr>
      <w:r>
        <w:rPr>
          <w:rFonts w:cs="仿宋_GB2312" w:asciiTheme="minorEastAsia" w:hAnsiTheme="minorEastAsia" w:eastAsiaTheme="minorEastAsia"/>
          <w:sz w:val="24"/>
          <w:szCs w:val="24"/>
        </w:rPr>
        <w:t>A—3</w:t>
      </w:r>
      <w:r>
        <w:rPr>
          <w:rFonts w:cs="仿宋_GB2312" w:asciiTheme="minorEastAsia" w:hAnsiTheme="minorEastAsia" w:eastAsiaTheme="minorEastAsia"/>
          <w:sz w:val="24"/>
          <w:szCs w:val="24"/>
        </w:rPr>
        <w:tab/>
      </w:r>
      <w:r>
        <w:rPr>
          <w:rFonts w:cs="仿宋_GB2312" w:asciiTheme="minorEastAsia" w:hAnsiTheme="minorEastAsia" w:eastAsiaTheme="minorEastAsia"/>
          <w:sz w:val="24"/>
          <w:szCs w:val="24"/>
        </w:rPr>
        <w:t>297×420</w:t>
      </w:r>
      <w:r>
        <w:rPr>
          <w:rFonts w:hint="eastAsia" w:cs="仿宋_GB2312" w:asciiTheme="minorEastAsia" w:hAnsiTheme="minorEastAsia" w:eastAsiaTheme="minorEastAsia"/>
          <w:sz w:val="24"/>
          <w:szCs w:val="24"/>
        </w:rPr>
        <w:t>；</w:t>
      </w:r>
    </w:p>
    <w:p>
      <w:pPr>
        <w:spacing w:line="360" w:lineRule="auto"/>
        <w:ind w:firstLine="360" w:firstLineChars="150"/>
        <w:rPr>
          <w:rFonts w:cs="仿宋_GB2312" w:asciiTheme="minorEastAsia" w:hAnsiTheme="minorEastAsia" w:eastAsiaTheme="minorEastAsia"/>
          <w:sz w:val="24"/>
          <w:szCs w:val="24"/>
        </w:rPr>
      </w:pPr>
      <w:r>
        <w:rPr>
          <w:rFonts w:cs="仿宋_GB2312" w:asciiTheme="minorEastAsia" w:hAnsiTheme="minorEastAsia" w:eastAsiaTheme="minorEastAsia"/>
          <w:sz w:val="24"/>
          <w:szCs w:val="24"/>
        </w:rPr>
        <w:t>A—4</w:t>
      </w:r>
      <w:r>
        <w:rPr>
          <w:rFonts w:cs="仿宋_GB2312" w:asciiTheme="minorEastAsia" w:hAnsiTheme="minorEastAsia" w:eastAsiaTheme="minorEastAsia"/>
          <w:sz w:val="24"/>
          <w:szCs w:val="24"/>
        </w:rPr>
        <w:tab/>
      </w:r>
      <w:r>
        <w:rPr>
          <w:rFonts w:cs="仿宋_GB2312" w:asciiTheme="minorEastAsia" w:hAnsiTheme="minorEastAsia" w:eastAsiaTheme="minorEastAsia"/>
          <w:sz w:val="24"/>
          <w:szCs w:val="24"/>
        </w:rPr>
        <w:t>210×297</w:t>
      </w:r>
      <w:r>
        <w:rPr>
          <w:rFonts w:hint="eastAsia" w:cs="仿宋_GB2312" w:asciiTheme="minorEastAsia" w:hAnsiTheme="minorEastAsia" w:eastAsiaTheme="minorEastAsia"/>
          <w:sz w:val="24"/>
          <w:szCs w:val="24"/>
        </w:rPr>
        <w:t>；</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5.2图纸比例</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全部合同设备图纸，应选用以下比例并在图上注明。对于缩印的图纸应该特别注明缩印的比例。</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1：1   1：2   1：5   1：10   1：20   1：50   1：100</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1：200   1：500   1：1000   1：2000   1：5000</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5.3图纸质量</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各阶段、各部分的图纸应达到该设计阶段规定的设计深度，其图形、线条、尺寸、文字等应整齐、清晰，特别是经过缩小和修改的图纸也应整齐和清晰。</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提交的图纸和设计文件</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投标时投标人应按招标书要求编写投标书和标书附图；中标后投标人应按合同分阶段提供设计文件、计算文件和图纸；性能考核验收后提供全部竣工图纸，包括部件加工图。投标人除提供全部文字文件和图纸文件外，应同时提供它们的电子文件光盘（光盘背面应有机型及图纸类型的标志），所提供的电子文件应是可编辑、可打印输出的。</w:t>
      </w:r>
    </w:p>
    <w:p>
      <w:pPr>
        <w:spacing w:line="360" w:lineRule="auto"/>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5.4其他图纸和资料</w:t>
      </w:r>
    </w:p>
    <w:p>
      <w:pPr>
        <w:spacing w:line="360" w:lineRule="auto"/>
        <w:ind w:firstLine="480" w:firstLineChars="200"/>
        <w:rPr>
          <w:rFonts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投标人还应提供设备运输、装卸和安装有关图纸资料、操作须知、维修和检验手册。</w:t>
      </w:r>
    </w:p>
    <w:p>
      <w:pPr>
        <w:pStyle w:val="2"/>
        <w:spacing w:before="0" w:after="0" w:line="480" w:lineRule="auto"/>
        <w:rPr>
          <w:rFonts w:cs="仿宋_GB2312" w:asciiTheme="minorEastAsia" w:hAnsiTheme="minorEastAsia" w:eastAsiaTheme="minorEastAsia"/>
          <w:b w:val="0"/>
          <w:sz w:val="24"/>
          <w:szCs w:val="24"/>
        </w:rPr>
      </w:pPr>
      <w:bookmarkStart w:id="9" w:name="_Toc376968409"/>
      <w:r>
        <w:rPr>
          <w:rFonts w:hint="eastAsia" w:cs="仿宋_GB2312" w:asciiTheme="minorEastAsia" w:hAnsiTheme="minorEastAsia" w:eastAsiaTheme="minorEastAsia"/>
          <w:b w:val="0"/>
          <w:sz w:val="24"/>
          <w:szCs w:val="24"/>
        </w:rPr>
        <w:t>6.施工方案及过程控制</w:t>
      </w:r>
      <w:bookmarkEnd w:id="9"/>
    </w:p>
    <w:p>
      <w:pPr>
        <w:spacing w:line="360" w:lineRule="auto"/>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6.1</w:t>
      </w:r>
      <w:r>
        <w:rPr>
          <w:rFonts w:hint="eastAsia" w:cs="宋体" w:asciiTheme="minorEastAsia" w:hAnsiTheme="minorEastAsia" w:eastAsiaTheme="minorEastAsia"/>
          <w:b/>
          <w:color w:val="000000"/>
          <w:sz w:val="24"/>
          <w:szCs w:val="24"/>
        </w:rPr>
        <w:t>项目自合同签订之日起至项目通过验收工期为</w:t>
      </w:r>
      <w:r>
        <w:rPr>
          <w:rFonts w:hint="eastAsia" w:cs="宋体" w:asciiTheme="minorEastAsia" w:hAnsiTheme="minorEastAsia" w:eastAsiaTheme="minorEastAsia"/>
          <w:b/>
          <w:sz w:val="24"/>
          <w:szCs w:val="24"/>
        </w:rPr>
        <w:t>240日</w:t>
      </w:r>
      <w:r>
        <w:rPr>
          <w:rFonts w:hint="eastAsia" w:cs="宋体" w:asciiTheme="minorEastAsia" w:hAnsiTheme="minorEastAsia" w:eastAsiaTheme="minorEastAsia"/>
          <w:b/>
          <w:color w:val="000000"/>
          <w:sz w:val="24"/>
          <w:szCs w:val="24"/>
        </w:rPr>
        <w:t>历天。</w:t>
      </w:r>
    </w:p>
    <w:p>
      <w:pPr>
        <w:spacing w:line="360" w:lineRule="auto"/>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6.2投标方应在合同签订</w:t>
      </w:r>
      <w:r>
        <w:rPr>
          <w:rFonts w:hint="eastAsia" w:cs="仿宋_GB2312" w:asciiTheme="minorEastAsia" w:hAnsiTheme="minorEastAsia" w:eastAsiaTheme="minorEastAsia"/>
          <w:bCs/>
          <w:sz w:val="24"/>
          <w:szCs w:val="24"/>
          <w:lang w:val="en-US" w:eastAsia="zh-CN"/>
        </w:rPr>
        <w:t>2</w:t>
      </w:r>
      <w:r>
        <w:rPr>
          <w:rFonts w:hint="eastAsia" w:cs="仿宋_GB2312" w:asciiTheme="minorEastAsia" w:hAnsiTheme="minorEastAsia" w:eastAsiaTheme="minorEastAsia"/>
          <w:bCs/>
          <w:sz w:val="24"/>
          <w:szCs w:val="24"/>
        </w:rPr>
        <w:t>个月内，提供详细的改造方案及相关图纸资料、计算说明书等（含纸质4份，电子版（u盘）2份），并组织召开一次改造方案审查会。</w:t>
      </w:r>
    </w:p>
    <w:p>
      <w:pPr>
        <w:spacing w:line="360" w:lineRule="auto"/>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6.3投标方应根据现场勘查结果制定施工组织方案。投标人在投标时应列出所有设备的安装调试工期计划，并应明确各项工作是否需要生产停机，如需停机请说明停机时间。</w:t>
      </w:r>
    </w:p>
    <w:p>
      <w:pPr>
        <w:spacing w:line="360" w:lineRule="auto"/>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6.4投标</w:t>
      </w:r>
      <w:r>
        <w:rPr>
          <w:rFonts w:cs="仿宋_GB2312" w:asciiTheme="minorEastAsia" w:hAnsiTheme="minorEastAsia" w:eastAsiaTheme="minorEastAsia"/>
          <w:bCs/>
          <w:sz w:val="24"/>
          <w:szCs w:val="24"/>
        </w:rPr>
        <w:t>方在施工前需向</w:t>
      </w:r>
      <w:r>
        <w:rPr>
          <w:rFonts w:hint="eastAsia" w:cs="仿宋_GB2312" w:asciiTheme="minorEastAsia" w:hAnsiTheme="minorEastAsia" w:eastAsiaTheme="minorEastAsia"/>
          <w:bCs/>
          <w:sz w:val="24"/>
          <w:szCs w:val="24"/>
        </w:rPr>
        <w:t>招标</w:t>
      </w:r>
      <w:r>
        <w:rPr>
          <w:rFonts w:cs="仿宋_GB2312" w:asciiTheme="minorEastAsia" w:hAnsiTheme="minorEastAsia" w:eastAsiaTheme="minorEastAsia"/>
          <w:bCs/>
          <w:sz w:val="24"/>
          <w:szCs w:val="24"/>
        </w:rPr>
        <w:t>方进行施工申请，在得到</w:t>
      </w:r>
      <w:r>
        <w:rPr>
          <w:rFonts w:hint="eastAsia" w:cs="仿宋_GB2312" w:asciiTheme="minorEastAsia" w:hAnsiTheme="minorEastAsia" w:eastAsiaTheme="minorEastAsia"/>
          <w:bCs/>
          <w:sz w:val="24"/>
          <w:szCs w:val="24"/>
        </w:rPr>
        <w:t>招标</w:t>
      </w:r>
      <w:r>
        <w:rPr>
          <w:rFonts w:cs="仿宋_GB2312" w:asciiTheme="minorEastAsia" w:hAnsiTheme="minorEastAsia" w:eastAsiaTheme="minorEastAsia"/>
          <w:bCs/>
          <w:sz w:val="24"/>
          <w:szCs w:val="24"/>
        </w:rPr>
        <w:t>方的同意后方可进行施工。由于</w:t>
      </w:r>
      <w:r>
        <w:rPr>
          <w:rFonts w:hint="eastAsia" w:cs="仿宋_GB2312" w:asciiTheme="minorEastAsia" w:hAnsiTheme="minorEastAsia" w:eastAsiaTheme="minorEastAsia"/>
          <w:bCs/>
          <w:sz w:val="24"/>
          <w:szCs w:val="24"/>
        </w:rPr>
        <w:t>招标</w:t>
      </w:r>
      <w:r>
        <w:rPr>
          <w:rFonts w:cs="仿宋_GB2312" w:asciiTheme="minorEastAsia" w:hAnsiTheme="minorEastAsia" w:eastAsiaTheme="minorEastAsia"/>
          <w:bCs/>
          <w:sz w:val="24"/>
          <w:szCs w:val="24"/>
        </w:rPr>
        <w:t xml:space="preserve">方的原因导致承包方无法进行现场施工时，本改造项目总工期相应顺延，但现场实施改造工期和停机时间仍不得超出上述要求。 </w:t>
      </w:r>
    </w:p>
    <w:p>
      <w:pPr>
        <w:spacing w:line="360" w:lineRule="auto"/>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6.5施工前要做好准备，所有材料运抵现场，待招标方确认后进行施工。</w:t>
      </w:r>
    </w:p>
    <w:p>
      <w:pPr>
        <w:spacing w:line="360" w:lineRule="auto"/>
        <w:rPr>
          <w:rFonts w:cs="仿宋_GB2312" w:asciiTheme="minorEastAsia" w:hAnsiTheme="minorEastAsia" w:eastAsiaTheme="minorEastAsia"/>
          <w:bCs/>
          <w:sz w:val="24"/>
          <w:szCs w:val="24"/>
        </w:rPr>
      </w:pPr>
      <w:r>
        <w:rPr>
          <w:rFonts w:hint="eastAsia" w:cs="仿宋_GB2312" w:asciiTheme="minorEastAsia" w:hAnsiTheme="minorEastAsia" w:eastAsiaTheme="minorEastAsia"/>
          <w:bCs/>
          <w:sz w:val="24"/>
          <w:szCs w:val="24"/>
        </w:rPr>
        <w:t>6.6在每项工作开始和终结及含有隐蔽工程的工作结束时，投标方均应通知招标方负责人进行现场确认和验收。</w:t>
      </w:r>
    </w:p>
    <w:p>
      <w:pPr>
        <w:pStyle w:val="2"/>
        <w:numPr>
          <w:ilvl w:val="0"/>
          <w:numId w:val="3"/>
        </w:numPr>
        <w:spacing w:before="0" w:after="0" w:line="480" w:lineRule="auto"/>
        <w:rPr>
          <w:rFonts w:cs="仿宋_GB2312" w:asciiTheme="minorEastAsia" w:hAnsiTheme="minorEastAsia" w:eastAsiaTheme="minorEastAsia"/>
          <w:b w:val="0"/>
          <w:sz w:val="24"/>
          <w:szCs w:val="24"/>
        </w:rPr>
      </w:pPr>
      <w:bookmarkStart w:id="10" w:name="_Toc376968410"/>
      <w:r>
        <w:rPr>
          <w:rFonts w:hint="eastAsia" w:cs="仿宋_GB2312" w:asciiTheme="minorEastAsia" w:hAnsiTheme="minorEastAsia" w:eastAsiaTheme="minorEastAsia"/>
          <w:b w:val="0"/>
          <w:sz w:val="24"/>
          <w:szCs w:val="24"/>
        </w:rPr>
        <w:t>项目验收</w:t>
      </w:r>
      <w:bookmarkEnd w:id="10"/>
    </w:p>
    <w:p>
      <w:pPr>
        <w:tabs>
          <w:tab w:val="left" w:pos="360"/>
        </w:tabs>
        <w:adjustRightInd w:val="0"/>
        <w:snapToGrid w:val="0"/>
        <w:spacing w:line="360" w:lineRule="auto"/>
        <w:ind w:firstLine="480" w:firstLineChars="200"/>
        <w:rPr>
          <w:rFonts w:asciiTheme="minorEastAsia" w:hAnsiTheme="minorEastAsia" w:eastAsiaTheme="minorEastAsia"/>
        </w:rPr>
      </w:pPr>
      <w:r>
        <w:rPr>
          <w:rFonts w:hint="eastAsia" w:cs="仿宋_GB2312" w:asciiTheme="minorEastAsia" w:hAnsiTheme="minorEastAsia" w:eastAsiaTheme="minorEastAsia"/>
          <w:sz w:val="24"/>
          <w:szCs w:val="24"/>
        </w:rPr>
        <w:t>乙方在施工完毕试运行30日之后，甲方根据实际情况和乙方提出的书面验收申请组织相关部门进行验收。验收标准为管路在工作过程中，无泄漏、无异常振动。如果由于乙方的原因造成液压管路及管件不能满足用户技术、使用要求时，甲方有权不给予验收，直至达到要求。</w:t>
      </w:r>
    </w:p>
    <w:p>
      <w:pPr>
        <w:pStyle w:val="2"/>
        <w:spacing w:before="0" w:after="0" w:line="480" w:lineRule="auto"/>
        <w:rPr>
          <w:rFonts w:cs="仿宋_GB2312" w:asciiTheme="minorEastAsia" w:hAnsiTheme="minorEastAsia" w:eastAsiaTheme="minorEastAsia"/>
          <w:b w:val="0"/>
          <w:sz w:val="24"/>
          <w:szCs w:val="24"/>
        </w:rPr>
      </w:pPr>
      <w:bookmarkStart w:id="11" w:name="_Toc376968411"/>
      <w:r>
        <w:rPr>
          <w:rFonts w:hint="eastAsia" w:cs="仿宋_GB2312" w:asciiTheme="minorEastAsia" w:hAnsiTheme="minorEastAsia" w:eastAsiaTheme="minorEastAsia"/>
          <w:b w:val="0"/>
          <w:sz w:val="24"/>
          <w:szCs w:val="24"/>
        </w:rPr>
        <w:t>8.质量保证及服务承诺</w:t>
      </w:r>
      <w:bookmarkEnd w:id="11"/>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8.1每套设备必须进行出厂功能测试，相应的测试报告必须和设备一并提供。</w:t>
      </w:r>
    </w:p>
    <w:p>
      <w:pPr>
        <w:pStyle w:val="4"/>
        <w:spacing w:line="360" w:lineRule="auto"/>
        <w:rPr>
          <w:rFonts w:cs="仿宋_GB2312" w:asciiTheme="minorEastAsia" w:hAnsiTheme="minorEastAsia" w:eastAsiaTheme="minorEastAsia"/>
          <w:b/>
          <w:szCs w:val="24"/>
        </w:rPr>
      </w:pPr>
      <w:r>
        <w:rPr>
          <w:rFonts w:hint="eastAsia" w:cs="仿宋_GB2312" w:asciiTheme="minorEastAsia" w:hAnsiTheme="minorEastAsia" w:eastAsiaTheme="minorEastAsia"/>
          <w:szCs w:val="24"/>
        </w:rPr>
        <w:t>8.2凡在开箱检验、安装调试、设备试运转过程中发现的设备质量问题，由投标方负责处理，实行包修、包换、包退直至产品符合质量要求，投标方承担修理、调换、退货发生的一切费用和招标方的直接经济损失。</w:t>
      </w:r>
    </w:p>
    <w:p>
      <w:pPr>
        <w:pStyle w:val="4"/>
        <w:spacing w:line="360" w:lineRule="auto"/>
        <w:rPr>
          <w:rFonts w:cs="仿宋_GB2312" w:asciiTheme="minorEastAsia" w:hAnsiTheme="minorEastAsia" w:eastAsiaTheme="minorEastAsia"/>
          <w:b/>
          <w:szCs w:val="24"/>
        </w:rPr>
      </w:pPr>
      <w:r>
        <w:rPr>
          <w:rFonts w:hint="eastAsia" w:cs="仿宋_GB2312" w:asciiTheme="minorEastAsia" w:hAnsiTheme="minorEastAsia" w:eastAsiaTheme="minorEastAsia"/>
          <w:szCs w:val="24"/>
        </w:rPr>
        <w:t>8.3质保期限：项目验收合格后12个月。</w:t>
      </w:r>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8.4工程交付后，投标方负责向招标方相关人员培训有关设备的使用、维护事项。投标方应选派称职的、有丰富经验的技术人员进行技术培训。应提供培训讲义和声视资料。培训方法采用理论讲授与现场演示相结合的方式。现场培训应结合安装、调试进行。</w:t>
      </w:r>
    </w:p>
    <w:p>
      <w:pPr>
        <w:pStyle w:val="2"/>
        <w:spacing w:before="0" w:after="0" w:line="480" w:lineRule="auto"/>
        <w:rPr>
          <w:rFonts w:cs="仿宋_GB2312" w:asciiTheme="minorEastAsia" w:hAnsiTheme="minorEastAsia" w:eastAsiaTheme="minorEastAsia"/>
          <w:b w:val="0"/>
          <w:sz w:val="24"/>
          <w:szCs w:val="24"/>
        </w:rPr>
      </w:pPr>
      <w:bookmarkStart w:id="12" w:name="_Toc376968412"/>
      <w:r>
        <w:rPr>
          <w:rFonts w:hint="eastAsia" w:cs="仿宋_GB2312" w:asciiTheme="minorEastAsia" w:hAnsiTheme="minorEastAsia" w:eastAsiaTheme="minorEastAsia"/>
          <w:b w:val="0"/>
          <w:sz w:val="24"/>
          <w:szCs w:val="24"/>
        </w:rPr>
        <w:t>9.投标书内容</w:t>
      </w:r>
      <w:bookmarkEnd w:id="12"/>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9.1所提供管路及管件的参数描述及对本技术规格书的响应情况描述。</w:t>
      </w:r>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9.2投标书中应根据招标要求写明详细技术方案。</w:t>
      </w:r>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9.3投标方技术服务承诺书。</w:t>
      </w:r>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9.4所有设备的产品样本（说明书）。</w:t>
      </w:r>
    </w:p>
    <w:p>
      <w:pPr>
        <w:pStyle w:val="4"/>
        <w:spacing w:line="360" w:lineRule="auto"/>
        <w:rPr>
          <w:rFonts w:cs="仿宋_GB2312" w:asciiTheme="minorEastAsia" w:hAnsiTheme="minorEastAsia" w:eastAsiaTheme="minorEastAsia"/>
          <w:szCs w:val="24"/>
        </w:rPr>
      </w:pPr>
      <w:r>
        <w:rPr>
          <w:rFonts w:hint="eastAsia" w:cs="仿宋_GB2312" w:asciiTheme="minorEastAsia" w:hAnsiTheme="minorEastAsia" w:eastAsiaTheme="minorEastAsia"/>
          <w:szCs w:val="24"/>
        </w:rPr>
        <w:t>9.5施工组织方案及计划。</w:t>
      </w:r>
    </w:p>
    <w:p>
      <w:pPr>
        <w:pStyle w:val="4"/>
        <w:spacing w:line="360" w:lineRule="auto"/>
        <w:rPr>
          <w:rFonts w:cs="仿宋_GB2312" w:asciiTheme="minorEastAsia" w:hAnsiTheme="minorEastAsia" w:eastAsiaTheme="minorEastAsia"/>
          <w:szCs w:val="24"/>
        </w:rPr>
      </w:pPr>
    </w:p>
    <w:p>
      <w:pPr>
        <w:topLinePunct/>
        <w:snapToGrid w:val="0"/>
        <w:spacing w:line="360" w:lineRule="auto"/>
        <w:ind w:firstLine="480" w:firstLineChars="200"/>
        <w:jc w:val="left"/>
        <w:rPr>
          <w:rFonts w:ascii="宋体" w:hAnsi="宋体" w:cs="黑体"/>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lvl w:ilvl="0" w:tentative="0">
      <w:start w:val="2"/>
      <w:numFmt w:val="decimal"/>
      <w:suff w:val="nothing"/>
      <w:lvlText w:val="%1."/>
      <w:lvlJc w:val="left"/>
    </w:lvl>
    <w:lvl w:ilvl="1" w:tentative="0">
      <w:start w:val="2"/>
      <w:numFmt w:val="decimal"/>
      <w:isLgl/>
      <w:lvlText w:val="%1.%2"/>
      <w:lvlJc w:val="left"/>
      <w:pPr>
        <w:ind w:left="945" w:hanging="705"/>
      </w:pPr>
      <w:rPr>
        <w:rFonts w:hint="default"/>
      </w:rPr>
    </w:lvl>
    <w:lvl w:ilvl="2" w:tentative="0">
      <w:start w:val="2"/>
      <w:numFmt w:val="decimal"/>
      <w:isLgl/>
      <w:lvlText w:val="%1.%2.%3"/>
      <w:lvlJc w:val="left"/>
      <w:pPr>
        <w:ind w:left="1200" w:hanging="720"/>
      </w:pPr>
      <w:rPr>
        <w:rFonts w:hint="default"/>
      </w:rPr>
    </w:lvl>
    <w:lvl w:ilvl="3" w:tentative="0">
      <w:start w:val="1"/>
      <w:numFmt w:val="decimal"/>
      <w:isLgl/>
      <w:lvlText w:val="%1.%2.%3.%4"/>
      <w:lvlJc w:val="left"/>
      <w:pPr>
        <w:ind w:left="1440" w:hanging="720"/>
      </w:pPr>
      <w:rPr>
        <w:rFonts w:hint="default"/>
      </w:rPr>
    </w:lvl>
    <w:lvl w:ilvl="4" w:tentative="0">
      <w:start w:val="1"/>
      <w:numFmt w:val="decimal"/>
      <w:isLgl/>
      <w:lvlText w:val="%1.%2.%3.%4.%5"/>
      <w:lvlJc w:val="left"/>
      <w:pPr>
        <w:ind w:left="2040" w:hanging="1080"/>
      </w:pPr>
      <w:rPr>
        <w:rFonts w:hint="default"/>
      </w:rPr>
    </w:lvl>
    <w:lvl w:ilvl="5" w:tentative="0">
      <w:start w:val="1"/>
      <w:numFmt w:val="decimal"/>
      <w:isLgl/>
      <w:lvlText w:val="%1.%2.%3.%4.%5.%6"/>
      <w:lvlJc w:val="left"/>
      <w:pPr>
        <w:ind w:left="2280" w:hanging="1080"/>
      </w:pPr>
      <w:rPr>
        <w:rFonts w:hint="default"/>
      </w:rPr>
    </w:lvl>
    <w:lvl w:ilvl="6" w:tentative="0">
      <w:start w:val="1"/>
      <w:numFmt w:val="decimal"/>
      <w:isLgl/>
      <w:lvlText w:val="%1.%2.%3.%4.%5.%6.%7"/>
      <w:lvlJc w:val="left"/>
      <w:pPr>
        <w:ind w:left="2520" w:hanging="1080"/>
      </w:pPr>
      <w:rPr>
        <w:rFonts w:hint="default"/>
      </w:rPr>
    </w:lvl>
    <w:lvl w:ilvl="7" w:tentative="0">
      <w:start w:val="1"/>
      <w:numFmt w:val="decimal"/>
      <w:isLgl/>
      <w:lvlText w:val="%1.%2.%3.%4.%5.%6.%7.%8"/>
      <w:lvlJc w:val="left"/>
      <w:pPr>
        <w:ind w:left="3120" w:hanging="1440"/>
      </w:pPr>
      <w:rPr>
        <w:rFonts w:hint="default"/>
      </w:rPr>
    </w:lvl>
    <w:lvl w:ilvl="8" w:tentative="0">
      <w:start w:val="1"/>
      <w:numFmt w:val="decimal"/>
      <w:isLgl/>
      <w:lvlText w:val="%1.%2.%3.%4.%5.%6.%7.%8.%9"/>
      <w:lvlJc w:val="left"/>
      <w:pPr>
        <w:ind w:left="3360" w:hanging="1440"/>
      </w:pPr>
      <w:rPr>
        <w:rFonts w:hint="default"/>
      </w:rPr>
    </w:lvl>
  </w:abstractNum>
  <w:abstractNum w:abstractNumId="1">
    <w:nsid w:val="52FB242A"/>
    <w:multiLevelType w:val="singleLevel"/>
    <w:tmpl w:val="52FB242A"/>
    <w:lvl w:ilvl="0" w:tentative="0">
      <w:start w:val="2"/>
      <w:numFmt w:val="decimal"/>
      <w:suff w:val="nothing"/>
      <w:lvlText w:val="%1."/>
      <w:lvlJc w:val="left"/>
    </w:lvl>
  </w:abstractNum>
  <w:abstractNum w:abstractNumId="2">
    <w:nsid w:val="56D53A60"/>
    <w:multiLevelType w:val="singleLevel"/>
    <w:tmpl w:val="56D53A60"/>
    <w:lvl w:ilvl="0" w:tentative="0">
      <w:start w:val="7"/>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F5699B"/>
    <w:rsid w:val="00032F5E"/>
    <w:rsid w:val="00081B19"/>
    <w:rsid w:val="00083F67"/>
    <w:rsid w:val="00140AF9"/>
    <w:rsid w:val="00141D59"/>
    <w:rsid w:val="001E71D0"/>
    <w:rsid w:val="0025789E"/>
    <w:rsid w:val="0027580B"/>
    <w:rsid w:val="002C074A"/>
    <w:rsid w:val="0030571D"/>
    <w:rsid w:val="00330D2B"/>
    <w:rsid w:val="003706E4"/>
    <w:rsid w:val="00376DF4"/>
    <w:rsid w:val="00385901"/>
    <w:rsid w:val="003A0194"/>
    <w:rsid w:val="003A2751"/>
    <w:rsid w:val="003B1015"/>
    <w:rsid w:val="003D4F21"/>
    <w:rsid w:val="00443B2A"/>
    <w:rsid w:val="00450D33"/>
    <w:rsid w:val="00474649"/>
    <w:rsid w:val="004B411E"/>
    <w:rsid w:val="004D7D63"/>
    <w:rsid w:val="004F1966"/>
    <w:rsid w:val="005011F6"/>
    <w:rsid w:val="00511A0A"/>
    <w:rsid w:val="005662E0"/>
    <w:rsid w:val="005B7EC4"/>
    <w:rsid w:val="005D7FE4"/>
    <w:rsid w:val="00614A0A"/>
    <w:rsid w:val="006669FD"/>
    <w:rsid w:val="00691EBB"/>
    <w:rsid w:val="0074541A"/>
    <w:rsid w:val="00763231"/>
    <w:rsid w:val="00801A6B"/>
    <w:rsid w:val="009173F7"/>
    <w:rsid w:val="0092722B"/>
    <w:rsid w:val="00961375"/>
    <w:rsid w:val="00963687"/>
    <w:rsid w:val="00975243"/>
    <w:rsid w:val="00A22A35"/>
    <w:rsid w:val="00A34842"/>
    <w:rsid w:val="00A67FA9"/>
    <w:rsid w:val="00AC69E8"/>
    <w:rsid w:val="00B012C7"/>
    <w:rsid w:val="00B01EC2"/>
    <w:rsid w:val="00B13C19"/>
    <w:rsid w:val="00BC4CCC"/>
    <w:rsid w:val="00BC4D37"/>
    <w:rsid w:val="00C27407"/>
    <w:rsid w:val="00C4353D"/>
    <w:rsid w:val="00C46E24"/>
    <w:rsid w:val="00C848CA"/>
    <w:rsid w:val="00CB6784"/>
    <w:rsid w:val="00D40CA1"/>
    <w:rsid w:val="00E40704"/>
    <w:rsid w:val="00E81FEC"/>
    <w:rsid w:val="00E96C5A"/>
    <w:rsid w:val="00EC161B"/>
    <w:rsid w:val="00F5699B"/>
    <w:rsid w:val="00FC0433"/>
    <w:rsid w:val="00FE1B0D"/>
    <w:rsid w:val="3CD33795"/>
    <w:rsid w:val="41A7482A"/>
    <w:rsid w:val="527176AE"/>
    <w:rsid w:val="7833179B"/>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5"/>
    <w:qFormat/>
    <w:uiPriority w:val="0"/>
    <w:pPr>
      <w:keepNext/>
      <w:keepLines/>
      <w:spacing w:before="340" w:after="330" w:line="576"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unhideWhenUsed/>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4">
    <w:name w:val="Plain Text"/>
    <w:basedOn w:val="1"/>
    <w:link w:val="17"/>
    <w:unhideWhenUsed/>
    <w:qFormat/>
    <w:uiPriority w:val="0"/>
    <w:rPr>
      <w:rFonts w:ascii="宋体" w:hAnsi="Courier New"/>
      <w:sz w:val="24"/>
      <w:szCs w:val="20"/>
    </w:rPr>
  </w:style>
  <w:style w:type="paragraph" w:styleId="5">
    <w:name w:val="Balloon Text"/>
    <w:basedOn w:val="1"/>
    <w:link w:val="19"/>
    <w:unhideWhenUsed/>
    <w:uiPriority w:val="99"/>
    <w:rPr>
      <w:sz w:val="18"/>
      <w:szCs w:val="18"/>
    </w:rPr>
  </w:style>
  <w:style w:type="paragraph" w:styleId="6">
    <w:name w:val="footer"/>
    <w:basedOn w:val="1"/>
    <w:link w:val="14"/>
    <w:unhideWhenUsed/>
    <w:uiPriority w:val="99"/>
    <w:pPr>
      <w:tabs>
        <w:tab w:val="center" w:pos="4153"/>
        <w:tab w:val="right" w:pos="8306"/>
      </w:tabs>
      <w:snapToGrid w:val="0"/>
      <w:jc w:val="left"/>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pPr>
      <w:widowControl/>
      <w:spacing w:after="100" w:line="276" w:lineRule="auto"/>
      <w:jc w:val="left"/>
    </w:pPr>
    <w:rPr>
      <w:rFonts w:ascii="Calibri" w:hAnsi="Calibri"/>
      <w:kern w:val="0"/>
      <w:sz w:val="22"/>
    </w:rPr>
  </w:style>
  <w:style w:type="character" w:styleId="10">
    <w:name w:val="Hyperlink"/>
    <w:unhideWhenUsed/>
    <w:uiPriority w:val="99"/>
    <w:rPr>
      <w:color w:val="0000FF"/>
      <w:u w:val="single"/>
    </w:rPr>
  </w:style>
  <w:style w:type="table" w:styleId="12">
    <w:name w:val="Table Grid"/>
    <w:basedOn w:val="11"/>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3">
    <w:name w:val="页眉 Char"/>
    <w:basedOn w:val="9"/>
    <w:link w:val="7"/>
    <w:qFormat/>
    <w:uiPriority w:val="99"/>
    <w:rPr>
      <w:sz w:val="18"/>
      <w:szCs w:val="18"/>
    </w:rPr>
  </w:style>
  <w:style w:type="character" w:customStyle="1" w:styleId="14">
    <w:name w:val="页脚 Char"/>
    <w:basedOn w:val="9"/>
    <w:link w:val="6"/>
    <w:uiPriority w:val="99"/>
    <w:rPr>
      <w:sz w:val="18"/>
      <w:szCs w:val="18"/>
    </w:rPr>
  </w:style>
  <w:style w:type="character" w:customStyle="1" w:styleId="15">
    <w:name w:val="标题 1 Char"/>
    <w:basedOn w:val="9"/>
    <w:link w:val="2"/>
    <w:uiPriority w:val="0"/>
    <w:rPr>
      <w:rFonts w:ascii="Times New Roman" w:hAnsi="Times New Roman" w:eastAsia="宋体" w:cs="Times New Roman"/>
      <w:b/>
      <w:bCs/>
      <w:kern w:val="44"/>
      <w:sz w:val="44"/>
      <w:szCs w:val="44"/>
    </w:rPr>
  </w:style>
  <w:style w:type="paragraph" w:customStyle="1" w:styleId="16">
    <w:name w:val="List Paragraph"/>
    <w:basedOn w:val="1"/>
    <w:qFormat/>
    <w:uiPriority w:val="34"/>
    <w:pPr>
      <w:ind w:firstLine="420" w:firstLineChars="200"/>
    </w:pPr>
  </w:style>
  <w:style w:type="character" w:customStyle="1" w:styleId="17">
    <w:name w:val="纯文本 Char"/>
    <w:basedOn w:val="9"/>
    <w:link w:val="4"/>
    <w:uiPriority w:val="0"/>
    <w:rPr>
      <w:rFonts w:ascii="宋体" w:hAnsi="Courier New" w:eastAsia="宋体" w:cs="Times New Roman"/>
      <w:sz w:val="24"/>
      <w:szCs w:val="20"/>
    </w:rPr>
  </w:style>
  <w:style w:type="character" w:customStyle="1" w:styleId="18">
    <w:name w:val="标题 2 Char"/>
    <w:basedOn w:val="9"/>
    <w:link w:val="3"/>
    <w:semiHidden/>
    <w:uiPriority w:val="9"/>
    <w:rPr>
      <w:rFonts w:asciiTheme="majorHAnsi" w:hAnsiTheme="majorHAnsi" w:eastAsiaTheme="majorEastAsia" w:cstheme="majorBidi"/>
      <w:b/>
      <w:bCs/>
      <w:sz w:val="32"/>
      <w:szCs w:val="32"/>
    </w:rPr>
  </w:style>
  <w:style w:type="character" w:customStyle="1" w:styleId="19">
    <w:name w:val="批注框文本 Char"/>
    <w:basedOn w:val="9"/>
    <w:link w:val="5"/>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10</Pages>
  <Words>764</Words>
  <Characters>4357</Characters>
  <Lines>36</Lines>
  <Paragraphs>10</Paragraphs>
  <TotalTime>0</TotalTime>
  <ScaleCrop>false</ScaleCrop>
  <LinksUpToDate>false</LinksUpToDate>
  <CharactersWithSpaces>5111</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2016-08-25T08:46:00Z</dcterms:created>
  <dc:creator>a</dc:creator>
  <cp:lastModifiedBy>weixiuzonghe</cp:lastModifiedBy>
  <dcterms:modified xsi:type="dcterms:W3CDTF">2016-09-30T01:53:35Z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