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  <w:lang w:val="en-US" w:eastAsia="zh-CN"/>
        </w:rPr>
        <w:t>2017年</w:t>
      </w:r>
      <w:r>
        <w:rPr>
          <w:rFonts w:hint="eastAsia"/>
          <w:b/>
          <w:sz w:val="52"/>
          <w:szCs w:val="52"/>
        </w:rPr>
        <w:t>维修车间机床维修</w:t>
      </w: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技术规格书</w:t>
      </w:r>
    </w:p>
    <w:p/>
    <w:p/>
    <w:p/>
    <w:p/>
    <w:p/>
    <w:p/>
    <w:p/>
    <w:p/>
    <w:p/>
    <w:p/>
    <w:p/>
    <w:p/>
    <w:p/>
    <w:p/>
    <w:p/>
    <w:p>
      <w:pPr>
        <w:jc w:val="left"/>
        <w:rPr>
          <w:sz w:val="32"/>
          <w:szCs w:val="32"/>
        </w:rPr>
      </w:pPr>
      <w:r>
        <w:rPr>
          <w:rFonts w:hint="eastAsia"/>
        </w:rPr>
        <w:t xml:space="preserve">               </w:t>
      </w:r>
    </w:p>
    <w:p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br w:type="page"/>
      </w:r>
    </w:p>
    <w:p>
      <w:pPr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维修车间机床维修技术规格书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设备保障中心维修车间负责神华黄骅港务有限公司6台车床、1台磨床、1台插床、3台铣床、5台摇臂钻床、2台卧式压力机、2台剪板机、2台锯床、1台火焰自动下料机共计23台各类机加工设备的运行、维护、维修、保养、检查和安全管理等，承担着港务公司内部小批量备件的机械加工工作。部分机床设备使用频次高，长期负担着高强度的机械加工任务，其中多台设备使用年限已达10年以上，故障频发。对设备的安全稳定运行和保障生产效率造成了不利影响，为了解决上述问题，为生产部门提供高精度、高可靠度、高效率的机加工服务，需对部分机加工设备进行维修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二、维修范围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 神华黄骅港务公司设备保障中心维修车间机加工设备：</w:t>
      </w:r>
    </w:p>
    <w:tbl>
      <w:tblPr>
        <w:tblStyle w:val="4"/>
        <w:tblW w:w="87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514"/>
        <w:gridCol w:w="2782"/>
        <w:gridCol w:w="3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序号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设备名称</w:t>
            </w:r>
          </w:p>
        </w:tc>
        <w:tc>
          <w:tcPr>
            <w:tcW w:w="27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设备型号</w:t>
            </w:r>
          </w:p>
        </w:tc>
        <w:tc>
          <w:tcPr>
            <w:tcW w:w="370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维修内容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1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摇臂钻床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Z3050*16/1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摇臂夹紧机构调整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，损坏部件修复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2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摇臂钻床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Z3080*25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摇臂夹紧机构调整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，损坏部件修复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3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剪板机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Q11YNC-20X3200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刀头泄压故障处理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4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数控全自动下料机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HGR-1H3500/14000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自动升降调节装置检查与修理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5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万能升降台铣床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X6132B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二级保养，升降台传动系统检查与修理，损坏部件修复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6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立式铣床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B1-400K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二级保养及缺失部件修复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7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数控车床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CKA6180A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二级保养及缺失部件修复，电池更换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8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车床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CW6163C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冷却系统更换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9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车床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CDZ6140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主轴箱检查，转速盘掉档故障处理，损坏部件更换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10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车床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CD6140A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开合螺母机构更换，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导轨修复，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大小托板检查与修复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11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车床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CDZ6140/1000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主轴箱检查，传动机构受损部件维修更换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12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镗床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TPX6111B/3</w:t>
            </w:r>
            <w:r>
              <w:rPr>
                <w:rFonts w:hint="eastAsia" w:ascii="仿宋" w:hAnsi="仿宋" w:eastAsia="仿宋" w:cs="仿宋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镗床二级保养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13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插床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B5032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二级保养，刀杆修复及更换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14</w:t>
            </w:r>
          </w:p>
        </w:tc>
        <w:tc>
          <w:tcPr>
            <w:tcW w:w="1514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剪板机</w:t>
            </w:r>
          </w:p>
        </w:tc>
        <w:tc>
          <w:tcPr>
            <w:tcW w:w="2782" w:type="dxa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QC12Y-20*2500</w:t>
            </w:r>
          </w:p>
        </w:tc>
        <w:tc>
          <w:tcPr>
            <w:tcW w:w="3709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二级保养，油泵电机组维修更换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 、项目执行中所涉及的，但协议中未能考虑到的附属部件或材料。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 、合同内全部设备的售后服务。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三、详细供货范围及技术要求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乙方对项目维修范围内所有机床设备进行全面检查，乙方针对所有需更换元件提供详细型号报甲方确认，由乙方组织实施更换。所有修复设备应达到相应产品说明书要求，精度应达到出厂设备精度水平。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1、摇臂钻床Z3050*16/1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（1）对主轴箱夹紧力进行调整，摇臂与主轴箱导轨结合面间隙用0.04mm的塞尺检验，插入深度不大于20mm。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（2）对立柱夹紧力进行调整，立柱夹紧力最终应满足当摇臂末端施加1568N水平推力时立柱不得回转，松开后施加29N水平力即可转动的要求。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（3）摇臂夹紧力调整，满足摇臂在夹紧状态时0.04mm塞尺不得塞入即可。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（4）对主轴箱进行全面清洗，更换主轴箱内所有传动组件。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（5）检修电路及电器件是否老化，并对老化的电器件进行更换。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（6）检查传动系统：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a. 清洗电动机，检查轴承，更换润滑脂。检查齿轮、啮合和磨损情况，并调整间隙。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b.修复或更换严重磨损的零件。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（7）检查操纵系统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（8）检查液压系统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清洗、检查、修复或更换损坏零件。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（9）精度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校正机床水平，检查、调整及修复精度。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（10）润滑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检查钻床润滑情况，清洗滤油网，对各润滑点进行润滑。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2、摇臂钻床Z3080*25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（1）对主轴箱夹紧力进行调整，夹紧力调至在主轴箱移动手轮边缘施加50N圆周力主轴箱不得松开即可，摇臂与主轴箱导轨结合面间隙用0.04mm的塞尺检验，插入深度不大于20mm。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（2）对立柱夹紧力进行调整，立柱夹紧力最终应满足当摇臂末端施加2800N水平推力时立柱不得回转，松开后施加50N水平力即可转动的要求。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（3）摇臂夹紧力调整，满足摇臂在夹紧状态时0.04mm塞尺不得塞入即可。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（4）对主轴箱进行全面清洗，更换主轴箱内所有传动组件。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（5）检修电路及电器件是否老化，并对老化的电器件进行更换。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（6）检查传动系统：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a. 清洗电动机，检查轴承，更换润滑脂。检查齿轮、啮合和磨损情况，并调整间隙。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b.修复或更换严重磨损的零件。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（7）检查操纵系统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（8）检查液压系统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清洗、检查、修复或更换损坏零件。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（9）精度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校正机床水平，检查、调整及修复精度。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（10）润滑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检查钻床润滑情况，清洗滤油网，对各润滑点进行润滑。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3、剪板机Q11YNC-20X3200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检查剪板机液压系统，更换损坏的液压元件，确保正常使用过程中不泄压。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（1）检修剪板机电路及电器件是否老化，并对老化的电器件进行更换；如剪板机系统类及电机类配件需更换，由甲乙双方协商是否更换，待甲方同意更换后，由乙方报价，甲方同意购买后，进行更换。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（2）检查传动系统：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a.检查传动情况，调整间隙。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b.修复或更换严重磨损的零件。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(3)检查操纵系统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修复或更换严重磨损的零件。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(4)检查液压系统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a.校验压力表。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b.清洗、检查油泵、阀门、阀芯和修光毛刺，更换油封。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c.修复或更换损坏零件。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4、数控全自动下料机HGR-1H3500/14000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检查自动调高装置，检测是否灵敏，应实现自动调高。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（1）调整机械传动部件，恢复火焰切割机精度。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（2）检查并清理割嘴，保持割嘴通道清洁光滑，清理孔道内的污物。对损坏的割嘴进行更换。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color w:val="FF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5、万能升降台铣床X6132B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对万能升降台铣床进行全面检查，乙方负责提供并更换损坏的机械及电器元件。对升降台传动系统检查，对升降台无自动进给故障进行排查处理，确保升降台的正常移动。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6、铣床B1-400K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（1）主轴箱、工作台、变速箱清洗、换油；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（2）清洗冷却箱并更换冷却液，清洁电机及电器；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（3）对损坏和缺失的操作手柄进行修复和更换。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（4）检查电器元件，对损坏的电器元件进行更换。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7、数控车床CKA6180A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（1）车床二级保养；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（2）更换电池，更换损坏的电器元件；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（3）检查清洗机床各部件，更换润滑油。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8、车床CW6163C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车床二级保养，具体要求为：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（1）调整床身、工作台及主轴精度，调整机床水平。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（2）检查清洗机床各部件，更换润滑系统，清洗过滤网，提供2套更换的油管。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（3）检查电器元件是否紧固好用，更换损坏的电器元件及照明系统。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9、车床CDZ6140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主轴箱检查，转速盘掉档故障处理。车床二级保养，具体要求为：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（1）更换各轴的轴承；更换磨损的轴及齿轮；主轴箱清洗；主轴前端锥孔损伤修磨；更换主轴箱内其余受损件。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（2）调整床身、工作台及主轴精度，调整机床水平。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（3）检查清洗机床各部件，更换润滑系统，清洗过滤网。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（4）检查电器元件是否紧固好用，更换损坏的电器元件及照明系统。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10、车床CD6140A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开合螺母机构更换，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导轨研磨，</w:t>
      </w:r>
      <w:r>
        <w:rPr>
          <w:rFonts w:hint="eastAsia" w:ascii="仿宋" w:hAnsi="仿宋" w:eastAsia="仿宋" w:cs="仿宋"/>
          <w:sz w:val="32"/>
          <w:szCs w:val="32"/>
        </w:rPr>
        <w:t>大小托板精度检查与修复。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（1）调整床身、工作台及主轴精度，调整机床水平。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（2）检查清洗机床各部件，更换润滑系统，清洗过滤网。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（3）检查电器元件是否紧固好用，更换损坏的电器元件及照明系统。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（4）更换各轴的轴承；更换磨损的轴及齿轮；主轴箱清洗；主轴前端锥孔损伤修磨；更换主轴箱内其余受损件。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11、车床CDZ6140/1000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二级保养，主轴箱传动机构检查，损坏部件更换。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（1）清洗主轴变速箱，更换损坏零件；分解离合器，修换摩擦片，组装并调整；检修传动系统，调整齿轮啮合位置；调整主轴及其他传动轴的轴承间隙，清楚主轴推孔及定位面毛刺；检修刹车装置。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（2）拆卸、清洗走刀箱及挂轮，更换磨损件;检查、调整传动件配合间隙；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（3）卸下溜板箱及拖板，分解、清洗中拖板及小刀架；调整丝杠、丝母、开合螺母的配合间隙。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（4）修刮滑动面，调整压板、楔铁的配合间隙。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（5）检修滑动面的拉伤、研伤、碰伤部位。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（6）检查、检修滤油器、油池、油标、油杯、油泵、分油器、油路等；检修冷却泵及阀门；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（7）主要几何精度检查。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（8）主轴箱更换各轴的轴承；更换磨损的轴及齿轮；主轴箱清洗；主轴前端锥孔损伤修磨；更换主轴箱内其余受损件。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12、铣镗床TPX6111B/3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二级保养及镗床缺失刀杆修复，刀杆需满足镗床日常机加工需要。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13、插床B5032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二级保养，插床缺失刀杆损坏刀具修复及更换。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剪板机QC12Y-20*2500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 w:firstLine="320" w:firstLineChars="1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二级保养，油泵电机组整体维修，损坏部件更换。设备维修后性能应达到出厂性能标准。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四、施工要求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投标方应根据现场勘查结果制定项目执行节点计划、施工组织方案等。投标人在投标时应列出所有设备的设计、采购、制造、安装和调试等工期计划。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五、工期要求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合同总工期为合同签订后3个月。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项目调试完毕并试运行一个月后进行验收。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七、质量保证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7.1凡在开箱检验、安装调试、设备试运转过程中发现的设备质量问题，由投标方负责处理，实行包修、包换、包退直至产品符合质量要求，投标方承担修理、调换、退货发生的一切费用和招标方的直接经济损失。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7.2质保期限：项目验收合格后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（1）六个月包换：乙方提供的产品因出现产品自身质量问题，未超过一个月时，无条件为甲方进行现场更换。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（2）一年保修：乙方提供的产品因自身质量出现问题，自验收合格之日起一年内提供免费现场服务，并应在得到甲方通知后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 w:cs="仿宋"/>
          <w:sz w:val="32"/>
          <w:szCs w:val="32"/>
        </w:rPr>
        <w:t>小时内到达现场。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7.3投标方应根据招标方的时间安排要求，对设备运转初期出现的故障进行应急处理，以帮助招标方掌握系统的安全技术和故障排除技术。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7.4设备维修完成后，投标方负责向招标方相关人员培训有关设备的使用、维护事项，投标方应选派称职的、有丰富经验的技术人员进行技术培训，培训方法采用理论讲授与现场演示相结合的方式，现场培训应结合安装、调试进行，并且定期到发包方单位进行回访，征求甲方意见，发现问题及时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八、应提交的技术资料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施工组织方案及计划。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九、其它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本项目实施全过程中产生的专利申请，其知识产权归中国神华股份有限公司、神华黄骅港务有限责任公司所有。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0"/>
        <w:rPr>
          <w:spacing w:val="6"/>
          <w:sz w:val="28"/>
        </w:rPr>
      </w:pPr>
      <w:r>
        <w:rPr>
          <w:rFonts w:hint="eastAsia" w:ascii="仿宋" w:hAnsi="仿宋" w:eastAsia="仿宋" w:cs="仿宋"/>
          <w:sz w:val="32"/>
          <w:szCs w:val="32"/>
        </w:rPr>
        <w:t>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设备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维修保养</w:t>
      </w:r>
      <w:r>
        <w:rPr>
          <w:rFonts w:hint="eastAsia" w:ascii="仿宋" w:hAnsi="仿宋" w:eastAsia="仿宋" w:cs="仿宋"/>
          <w:sz w:val="32"/>
          <w:szCs w:val="32"/>
        </w:rPr>
        <w:t>总价及分项价格</w:t>
      </w:r>
    </w:p>
    <w:p>
      <w:pPr>
        <w:spacing w:line="312" w:lineRule="auto"/>
        <w:ind w:firstLine="680"/>
        <w:jc w:val="center"/>
        <w:rPr>
          <w:rFonts w:hint="eastAsia" w:ascii="宋体"/>
          <w:b/>
          <w:bCs/>
          <w:spacing w:val="6"/>
          <w:sz w:val="28"/>
        </w:rPr>
      </w:pPr>
      <w:r>
        <w:rPr>
          <w:rFonts w:hint="eastAsia" w:ascii="宋体"/>
          <w:b/>
          <w:bCs/>
          <w:spacing w:val="6"/>
          <w:sz w:val="28"/>
        </w:rPr>
        <w:t>总价及分项价格表</w:t>
      </w:r>
      <w:bookmarkStart w:id="0" w:name="_GoBack"/>
      <w:bookmarkEnd w:id="0"/>
    </w:p>
    <w:tbl>
      <w:tblPr>
        <w:tblStyle w:val="3"/>
        <w:tblW w:w="896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1"/>
        <w:gridCol w:w="2099"/>
        <w:gridCol w:w="2401"/>
        <w:gridCol w:w="571"/>
        <w:gridCol w:w="1207"/>
        <w:gridCol w:w="1290"/>
        <w:gridCol w:w="88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tcBorders>
              <w:bottom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序</w:t>
            </w:r>
          </w:p>
        </w:tc>
        <w:tc>
          <w:tcPr>
            <w:tcW w:w="2099" w:type="dxa"/>
            <w:vMerge w:val="restart"/>
            <w:vAlign w:val="center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eastAsia="zh-CN"/>
              </w:rPr>
              <w:t>设备</w:t>
            </w:r>
          </w:p>
        </w:tc>
        <w:tc>
          <w:tcPr>
            <w:tcW w:w="2401" w:type="dxa"/>
            <w:vMerge w:val="restart"/>
            <w:vAlign w:val="center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eastAsia="zh-CN"/>
              </w:rPr>
              <w:t>型号</w:t>
            </w:r>
          </w:p>
        </w:tc>
        <w:tc>
          <w:tcPr>
            <w:tcW w:w="571" w:type="dxa"/>
            <w:tcBorders>
              <w:bottom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数</w:t>
            </w:r>
          </w:p>
        </w:tc>
        <w:tc>
          <w:tcPr>
            <w:tcW w:w="2497" w:type="dxa"/>
            <w:gridSpan w:val="2"/>
            <w:vAlign w:val="top"/>
          </w:tcPr>
          <w:p>
            <w:pPr>
              <w:pBdr>
                <w:right w:val="single" w:color="auto" w:sz="6" w:space="1"/>
              </w:pBd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报价（元）</w:t>
            </w:r>
          </w:p>
        </w:tc>
        <w:tc>
          <w:tcPr>
            <w:tcW w:w="881" w:type="dxa"/>
            <w:tcBorders>
              <w:bottom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tcBorders>
              <w:top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号</w:t>
            </w:r>
          </w:p>
        </w:tc>
        <w:tc>
          <w:tcPr>
            <w:tcW w:w="2099" w:type="dxa"/>
            <w:vMerge w:val="continue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2401" w:type="dxa"/>
            <w:vMerge w:val="continue"/>
            <w:vAlign w:val="top"/>
          </w:tcPr>
          <w:p>
            <w:pPr>
              <w:spacing w:before="60" w:after="60" w:line="240" w:lineRule="auto"/>
              <w:jc w:val="both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量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单价</w:t>
            </w: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总计</w:t>
            </w:r>
          </w:p>
        </w:tc>
        <w:tc>
          <w:tcPr>
            <w:tcW w:w="881" w:type="dxa"/>
            <w:tcBorders>
              <w:top w:val="nil"/>
            </w:tcBorders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摇臂钻床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Z3050*16/1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摇臂钻床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Z3080*25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剪板机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Q11YNC-20X3200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数控全自动下料机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HGR-1H3500/14000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万能升降台铣床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X6132B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立式铣床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B1-400K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数控车床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CKA6180A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CW6163C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CDZ6140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CD6140A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CDZ6140/1000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镗床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TPX6111B/3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13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插床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B5032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511" w:type="dxa"/>
            <w:vAlign w:val="center"/>
          </w:tcPr>
          <w:p>
            <w:pPr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099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剪板机</w:t>
            </w:r>
          </w:p>
        </w:tc>
        <w:tc>
          <w:tcPr>
            <w:tcW w:w="2401" w:type="dxa"/>
            <w:vAlign w:val="center"/>
          </w:tcPr>
          <w:p>
            <w:pPr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QC12Y-20*2500</w:t>
            </w:r>
          </w:p>
        </w:tc>
        <w:tc>
          <w:tcPr>
            <w:tcW w:w="57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hint="eastAsia" w:ascii="宋体" w:eastAsia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7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9" w:hRule="atLeast"/>
        </w:trPr>
        <w:tc>
          <w:tcPr>
            <w:tcW w:w="6789" w:type="dxa"/>
            <w:gridSpan w:val="5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  <w:r>
              <w:rPr>
                <w:rFonts w:hint="eastAsia" w:ascii="宋体"/>
                <w:spacing w:val="6"/>
                <w:sz w:val="24"/>
                <w:szCs w:val="24"/>
              </w:rPr>
              <w:t>合计</w:t>
            </w:r>
            <w:r>
              <w:rPr>
                <w:rFonts w:hint="eastAsia" w:ascii="宋体"/>
                <w:spacing w:val="6"/>
                <w:sz w:val="24"/>
                <w:szCs w:val="24"/>
                <w:lang w:eastAsia="zh-CN"/>
              </w:rPr>
              <w:t>（含</w:t>
            </w:r>
            <w:r>
              <w:rPr>
                <w:rFonts w:hint="eastAsia" w:ascii="宋体"/>
                <w:spacing w:val="6"/>
                <w:sz w:val="24"/>
                <w:szCs w:val="24"/>
                <w:lang w:val="en-US" w:eastAsia="zh-CN"/>
              </w:rPr>
              <w:t>17%增值</w:t>
            </w:r>
            <w:r>
              <w:rPr>
                <w:rFonts w:hint="eastAsia" w:ascii="宋体"/>
                <w:spacing w:val="6"/>
                <w:sz w:val="24"/>
                <w:szCs w:val="24"/>
                <w:lang w:eastAsia="zh-CN"/>
              </w:rPr>
              <w:t>税）</w:t>
            </w:r>
            <w:r>
              <w:rPr>
                <w:rFonts w:hint="eastAsia" w:ascii="宋体"/>
                <w:spacing w:val="6"/>
                <w:sz w:val="24"/>
                <w:szCs w:val="24"/>
              </w:rPr>
              <w:t>：</w:t>
            </w:r>
          </w:p>
        </w:tc>
        <w:tc>
          <w:tcPr>
            <w:tcW w:w="1290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  <w:tc>
          <w:tcPr>
            <w:tcW w:w="881" w:type="dxa"/>
            <w:vAlign w:val="top"/>
          </w:tcPr>
          <w:p>
            <w:pPr>
              <w:spacing w:before="60" w:after="60" w:line="240" w:lineRule="auto"/>
              <w:jc w:val="center"/>
              <w:rPr>
                <w:rFonts w:ascii="宋体"/>
                <w:spacing w:val="6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</w:pPr>
    </w:p>
    <w:sectPr>
      <w:pgSz w:w="11906" w:h="16838"/>
      <w:pgMar w:top="2098" w:right="1800" w:bottom="1440" w:left="1587" w:header="851" w:footer="992" w:gutter="0"/>
      <w:cols w:space="0" w:num="1"/>
      <w:rtlGutter w:val="0"/>
      <w:docGrid w:type="lines" w:linePitch="3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Kino MT">
    <w:altName w:val="AMGDT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CityBlueprint">
    <w:panose1 w:val="00000400000000000000"/>
    <w:charset w:val="02"/>
    <w:family w:val="auto"/>
    <w:pitch w:val="default"/>
    <w:sig w:usb0="00000000" w:usb1="00000000" w:usb2="00000000" w:usb3="00000000" w:csb0="00000000" w:csb1="00000000"/>
  </w:font>
  <w:font w:name="Colonna MT">
    <w:altName w:val="Gabriola"/>
    <w:panose1 w:val="04020805060202030203"/>
    <w:charset w:val="00"/>
    <w:family w:val="decorative"/>
    <w:pitch w:val="default"/>
    <w:sig w:usb0="00000000" w:usb1="00000000" w:usb2="00000000" w:usb3="00000000" w:csb0="00000001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ootlight MT 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EE523"/>
    <w:multiLevelType w:val="singleLevel"/>
    <w:tmpl w:val="58EEE523"/>
    <w:lvl w:ilvl="0" w:tentative="0">
      <w:start w:val="1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96617E"/>
    <w:rsid w:val="17913A0D"/>
    <w:rsid w:val="19180997"/>
    <w:rsid w:val="1DEE618C"/>
    <w:rsid w:val="1F3F57B6"/>
    <w:rsid w:val="29E567AD"/>
    <w:rsid w:val="6A96617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2017-04-25T04:16:00Z</dcterms:created>
  <dc:creator>digua</dc:creator>
  <cp:lastModifiedBy>digua</cp:lastModifiedBy>
  <dcterms:modified xsi:type="dcterms:W3CDTF">2017-04-25T04:48:34Z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2052-10.8.0.5988</vt:lpwstr>
  </property>
</Properties>
</file>