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36"/>
          <w:szCs w:val="36"/>
        </w:rPr>
      </w:pPr>
      <w:r>
        <w:rPr>
          <w:rFonts w:hint="eastAsia"/>
          <w:sz w:val="36"/>
          <w:szCs w:val="36"/>
        </w:rPr>
        <w:t>神华黄骅港务公司物流办公楼网络升级项目</w:t>
      </w:r>
    </w:p>
    <w:p>
      <w:pPr>
        <w:jc w:val="center"/>
        <w:rPr>
          <w:sz w:val="36"/>
          <w:szCs w:val="36"/>
        </w:rPr>
      </w:pPr>
      <w:r>
        <w:rPr>
          <w:rFonts w:hint="eastAsia"/>
          <w:sz w:val="36"/>
          <w:szCs w:val="36"/>
        </w:rPr>
        <w:t>技术规格书</w:t>
      </w:r>
    </w:p>
    <w:p>
      <w:pPr>
        <w:pStyle w:val="2"/>
      </w:pPr>
      <w:r>
        <w:rPr>
          <w:rFonts w:hint="eastAsia"/>
        </w:rPr>
        <w:t>一、</w:t>
      </w:r>
      <w:r>
        <w:rPr>
          <w:rFonts w:hint="eastAsia"/>
          <w:lang w:eastAsia="zh-CN"/>
        </w:rPr>
        <w:t>项目概况</w:t>
      </w:r>
    </w:p>
    <w:p>
      <w:pPr>
        <w:ind w:firstLine="560" w:firstLineChars="200"/>
        <w:rPr>
          <w:sz w:val="28"/>
          <w:szCs w:val="28"/>
        </w:rPr>
      </w:pPr>
      <w:r>
        <w:rPr>
          <w:rFonts w:hint="eastAsia"/>
          <w:sz w:val="28"/>
          <w:szCs w:val="28"/>
        </w:rPr>
        <w:t>根据</w:t>
      </w:r>
      <w:r>
        <w:rPr>
          <w:rFonts w:hint="eastAsia"/>
          <w:sz w:val="28"/>
          <w:szCs w:val="28"/>
          <w:lang w:val="en-US" w:eastAsia="zh-CN"/>
        </w:rPr>
        <w:t>神华</w:t>
      </w:r>
      <w:r>
        <w:rPr>
          <w:rFonts w:hint="eastAsia"/>
          <w:sz w:val="28"/>
          <w:szCs w:val="28"/>
        </w:rPr>
        <w:t>黄骅</w:t>
      </w:r>
      <w:r>
        <w:rPr>
          <w:rFonts w:hint="eastAsia"/>
          <w:sz w:val="28"/>
          <w:szCs w:val="28"/>
          <w:lang w:val="en-US" w:eastAsia="zh-CN"/>
        </w:rPr>
        <w:t>港务公司物流办公楼业务需求，自三楼弱电机房到各工位进行综合布线并增加POE网络交换机，为了增强交换机稳定性，交换机之间进行堆叠。楼内部署无线AP，实现楼内无线全覆盖。</w:t>
      </w:r>
    </w:p>
    <w:p>
      <w:pPr>
        <w:pStyle w:val="2"/>
      </w:pPr>
      <w:r>
        <w:rPr>
          <w:rFonts w:hint="eastAsia"/>
        </w:rPr>
        <w:t>二、承揽范围</w:t>
      </w:r>
    </w:p>
    <w:p>
      <w:pPr>
        <w:ind w:firstLine="560" w:firstLineChars="200"/>
        <w:rPr>
          <w:sz w:val="28"/>
          <w:szCs w:val="28"/>
        </w:rPr>
      </w:pPr>
      <w:r>
        <w:rPr>
          <w:rFonts w:hint="eastAsia"/>
          <w:sz w:val="28"/>
          <w:szCs w:val="28"/>
        </w:rPr>
        <w:t>2.1承包方负责神华黄骅港务公司物流办公楼网络升级的设计、制造、运输、安装、调试工作。</w:t>
      </w:r>
    </w:p>
    <w:p>
      <w:pPr>
        <w:ind w:firstLine="560" w:firstLineChars="200"/>
        <w:rPr>
          <w:sz w:val="28"/>
          <w:szCs w:val="28"/>
        </w:rPr>
      </w:pPr>
      <w:r>
        <w:rPr>
          <w:rFonts w:hint="eastAsia"/>
          <w:sz w:val="28"/>
          <w:szCs w:val="28"/>
        </w:rPr>
        <w:t>2.2本项目包括以下内容：铺设网线、安装信息面板、线槽、理线架、配线架、安装调试无线AP、安装调试交换机。</w:t>
      </w:r>
    </w:p>
    <w:p>
      <w:pPr>
        <w:ind w:firstLine="560" w:firstLineChars="200"/>
        <w:rPr>
          <w:rFonts w:hint="eastAsia"/>
          <w:b w:val="0"/>
          <w:bCs w:val="0"/>
          <w:sz w:val="28"/>
          <w:szCs w:val="28"/>
        </w:rPr>
      </w:pPr>
      <w:r>
        <w:rPr>
          <w:rFonts w:hint="eastAsia"/>
          <w:sz w:val="28"/>
          <w:szCs w:val="28"/>
        </w:rPr>
        <w:t>2.3供货范围</w:t>
      </w:r>
      <w:r>
        <w:rPr>
          <w:rFonts w:hint="eastAsia" w:ascii="宋体" w:hAnsi="宋体" w:eastAsia="宋体" w:cs="宋体"/>
          <w:b w:val="0"/>
          <w:bCs w:val="0"/>
          <w:color w:val="000000"/>
          <w:kern w:val="0"/>
          <w:sz w:val="28"/>
          <w:szCs w:val="28"/>
        </w:rPr>
        <w:t>（包含但不仅限于下表中所列，项目施工过程中所涉及未列出材料，具体以现场实际为准）</w:t>
      </w:r>
    </w:p>
    <w:tbl>
      <w:tblPr>
        <w:tblStyle w:val="4"/>
        <w:tblpPr w:leftFromText="180" w:rightFromText="180" w:vertAnchor="text" w:horzAnchor="page" w:tblpXSpec="center" w:tblpY="1151"/>
        <w:tblW w:w="8222" w:type="dxa"/>
        <w:tblInd w:w="0" w:type="dxa"/>
        <w:tblLayout w:type="fixed"/>
        <w:tblCellMar>
          <w:top w:w="0" w:type="dxa"/>
          <w:left w:w="108" w:type="dxa"/>
          <w:bottom w:w="0" w:type="dxa"/>
          <w:right w:w="108" w:type="dxa"/>
        </w:tblCellMar>
      </w:tblPr>
      <w:tblGrid>
        <w:gridCol w:w="817"/>
        <w:gridCol w:w="1422"/>
        <w:gridCol w:w="3096"/>
        <w:gridCol w:w="1192"/>
        <w:gridCol w:w="962"/>
        <w:gridCol w:w="733"/>
      </w:tblGrid>
      <w:tr>
        <w:tblPrEx>
          <w:tblLayout w:type="fixed"/>
          <w:tblCellMar>
            <w:top w:w="0" w:type="dxa"/>
            <w:left w:w="108" w:type="dxa"/>
            <w:bottom w:w="0" w:type="dxa"/>
            <w:right w:w="108" w:type="dxa"/>
          </w:tblCellMar>
        </w:tblPrEx>
        <w:trPr>
          <w:trHeight w:val="459" w:hRule="atLeast"/>
        </w:trPr>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142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设备名称</w:t>
            </w:r>
          </w:p>
        </w:tc>
        <w:tc>
          <w:tcPr>
            <w:tcW w:w="3096" w:type="dxa"/>
            <w:tcBorders>
              <w:top w:val="single" w:color="auto" w:sz="4" w:space="0"/>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11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型号</w:t>
            </w:r>
          </w:p>
        </w:tc>
        <w:tc>
          <w:tcPr>
            <w:tcW w:w="96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73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数量</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网线</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rPr>
            </w:pPr>
            <w:r>
              <w:rPr>
                <w:rFonts w:hint="eastAsia" w:ascii="宋体" w:hAnsi="宋体" w:eastAsia="宋体" w:cs="宋体"/>
                <w:color w:val="000000"/>
                <w:kern w:val="0"/>
                <w:sz w:val="24"/>
              </w:rPr>
              <w:t xml:space="preserve"> 超五类</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lang w:eastAsia="zh-CN"/>
              </w:rPr>
              <w:t>大唐保镖</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箱</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20</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2</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信息面板</w:t>
            </w:r>
            <w:r>
              <w:rPr>
                <w:rFonts w:hint="eastAsia" w:ascii="宋体" w:hAnsi="宋体" w:eastAsia="宋体" w:cs="宋体"/>
                <w:color w:val="000000"/>
                <w:kern w:val="0"/>
                <w:sz w:val="24"/>
                <w:lang w:val="en-US" w:eastAsia="zh-CN"/>
              </w:rPr>
              <w:t>(含模块)</w:t>
            </w:r>
          </w:p>
        </w:tc>
        <w:tc>
          <w:tcPr>
            <w:tcW w:w="3096" w:type="dxa"/>
            <w:tcBorders>
              <w:top w:val="nil"/>
              <w:left w:val="nil"/>
              <w:bottom w:val="single" w:color="auto" w:sz="4" w:space="0"/>
              <w:right w:val="single" w:color="auto" w:sz="4" w:space="0"/>
            </w:tcBorders>
          </w:tcPr>
          <w:p>
            <w:pPr>
              <w:widowControl/>
              <w:jc w:val="center"/>
              <w:rPr>
                <w:color w:val="000000"/>
                <w:kern w:val="0"/>
                <w:sz w:val="22"/>
                <w:szCs w:val="22"/>
              </w:rPr>
            </w:pPr>
            <w:r>
              <w:rPr>
                <w:rFonts w:hint="eastAsia"/>
                <w:color w:val="000000"/>
                <w:sz w:val="22"/>
                <w:szCs w:val="22"/>
              </w:rPr>
              <w:t>IDC打线柱磷青铜镀镍,可接线径0.4-0.6mm.</w:t>
            </w:r>
            <w:r>
              <w:rPr>
                <w:rFonts w:hint="eastAsia"/>
                <w:color w:val="000000"/>
                <w:sz w:val="22"/>
                <w:szCs w:val="22"/>
              </w:rPr>
              <w:br w:type="textWrapping"/>
            </w:r>
            <w:r>
              <w:rPr>
                <w:rFonts w:hint="eastAsia"/>
                <w:color w:val="000000"/>
                <w:sz w:val="22"/>
                <w:szCs w:val="22"/>
              </w:rPr>
              <w:t>卡接重复次数&gt;250次</w:t>
            </w:r>
            <w:r>
              <w:rPr>
                <w:rFonts w:hint="eastAsia"/>
                <w:color w:val="000000"/>
                <w:sz w:val="22"/>
                <w:szCs w:val="22"/>
              </w:rPr>
              <w:br w:type="textWrapping"/>
            </w:r>
            <w:r>
              <w:rPr>
                <w:rFonts w:hint="eastAsia"/>
                <w:color w:val="000000"/>
                <w:sz w:val="22"/>
                <w:szCs w:val="22"/>
              </w:rPr>
              <w:t>插座插拔次数≥750次</w:t>
            </w:r>
            <w:r>
              <w:rPr>
                <w:rFonts w:hint="eastAsia"/>
                <w:color w:val="000000"/>
                <w:sz w:val="22"/>
                <w:szCs w:val="22"/>
              </w:rPr>
              <w:br w:type="textWrapping"/>
            </w:r>
            <w:r>
              <w:rPr>
                <w:rFonts w:hint="eastAsia"/>
                <w:color w:val="000000"/>
                <w:sz w:val="22"/>
                <w:szCs w:val="22"/>
              </w:rPr>
              <w:t>抗电强度DC1000V/(AC700V)1分钟无击穿</w:t>
            </w:r>
            <w:r>
              <w:rPr>
                <w:rFonts w:hint="eastAsia"/>
                <w:color w:val="000000"/>
                <w:sz w:val="22"/>
                <w:szCs w:val="22"/>
              </w:rPr>
              <w:br w:type="textWrapping"/>
            </w:r>
            <w:r>
              <w:rPr>
                <w:rFonts w:hint="eastAsia"/>
                <w:color w:val="000000"/>
                <w:sz w:val="22"/>
                <w:szCs w:val="22"/>
              </w:rPr>
              <w:t>接触针镀金厚度&gt;50U</w:t>
            </w:r>
            <w:r>
              <w:rPr>
                <w:rFonts w:hint="eastAsia"/>
                <w:color w:val="000000"/>
                <w:sz w:val="22"/>
                <w:szCs w:val="22"/>
              </w:rPr>
              <w:br w:type="textWrapping"/>
            </w:r>
            <w:r>
              <w:rPr>
                <w:rFonts w:hint="eastAsia"/>
                <w:color w:val="000000"/>
                <w:sz w:val="22"/>
                <w:szCs w:val="22"/>
              </w:rPr>
              <w:t>塑件材料: PC/PPO</w:t>
            </w:r>
          </w:p>
          <w:p>
            <w:pPr>
              <w:widowControl/>
              <w:jc w:val="center"/>
              <w:rPr>
                <w:rFonts w:hint="eastAsia" w:ascii="宋体" w:hAnsi="宋体" w:eastAsia="宋体" w:cs="宋体"/>
                <w:b/>
                <w:bCs/>
                <w:color w:val="000000"/>
                <w:kern w:val="0"/>
                <w:sz w:val="24"/>
              </w:rPr>
            </w:pP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2口</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个</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6</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3</w:t>
            </w:r>
          </w:p>
        </w:tc>
        <w:tc>
          <w:tcPr>
            <w:tcW w:w="1422" w:type="dxa"/>
            <w:tcBorders>
              <w:top w:val="nil"/>
              <w:left w:val="nil"/>
              <w:bottom w:val="single" w:color="auto" w:sz="4" w:space="0"/>
              <w:right w:val="single" w:color="auto" w:sz="4" w:space="0"/>
            </w:tcBorders>
            <w:shd w:val="clear" w:color="auto" w:fill="auto"/>
            <w:vAlign w:val="center"/>
          </w:tcPr>
          <w:p>
            <w:pPr>
              <w:widowControl/>
              <w:jc w:val="both"/>
              <w:rPr>
                <w:rFonts w:hint="eastAsia" w:ascii="宋体" w:hAnsi="宋体" w:eastAsia="宋体" w:cs="宋体"/>
                <w:color w:val="000000"/>
                <w:kern w:val="0"/>
                <w:sz w:val="24"/>
              </w:rPr>
            </w:pPr>
            <w:r>
              <w:rPr>
                <w:rFonts w:hint="eastAsia" w:ascii="宋体" w:hAnsi="宋体" w:eastAsia="宋体" w:cs="宋体"/>
                <w:color w:val="000000"/>
                <w:kern w:val="0"/>
                <w:sz w:val="24"/>
              </w:rPr>
              <w:t>信息面板</w:t>
            </w:r>
            <w:r>
              <w:rPr>
                <w:rFonts w:hint="eastAsia" w:ascii="宋体" w:hAnsi="宋体" w:eastAsia="宋体" w:cs="宋体"/>
                <w:color w:val="000000"/>
                <w:kern w:val="0"/>
                <w:sz w:val="24"/>
                <w:lang w:eastAsia="zh-CN"/>
              </w:rPr>
              <w:t>（含模块）</w:t>
            </w:r>
          </w:p>
        </w:tc>
        <w:tc>
          <w:tcPr>
            <w:tcW w:w="3096" w:type="dxa"/>
            <w:tcBorders>
              <w:top w:val="nil"/>
              <w:left w:val="nil"/>
              <w:bottom w:val="single" w:color="auto" w:sz="4" w:space="0"/>
              <w:right w:val="single" w:color="auto" w:sz="4" w:space="0"/>
            </w:tcBorders>
          </w:tcPr>
          <w:p>
            <w:pPr>
              <w:widowControl/>
              <w:jc w:val="center"/>
              <w:rPr>
                <w:color w:val="000000"/>
                <w:kern w:val="0"/>
                <w:sz w:val="22"/>
                <w:szCs w:val="22"/>
              </w:rPr>
            </w:pPr>
            <w:r>
              <w:rPr>
                <w:rFonts w:hint="eastAsia"/>
                <w:color w:val="000000"/>
                <w:sz w:val="22"/>
                <w:szCs w:val="22"/>
              </w:rPr>
              <w:t>IDC打线柱磷青铜镀镍,可接线径0.4-0.6mm.</w:t>
            </w:r>
            <w:r>
              <w:rPr>
                <w:rFonts w:hint="eastAsia"/>
                <w:color w:val="000000"/>
                <w:sz w:val="22"/>
                <w:szCs w:val="22"/>
              </w:rPr>
              <w:br w:type="textWrapping"/>
            </w:r>
            <w:r>
              <w:rPr>
                <w:rFonts w:hint="eastAsia"/>
                <w:color w:val="000000"/>
                <w:sz w:val="22"/>
                <w:szCs w:val="22"/>
              </w:rPr>
              <w:t>卡接重复次数&gt;250次</w:t>
            </w:r>
            <w:r>
              <w:rPr>
                <w:rFonts w:hint="eastAsia"/>
                <w:color w:val="000000"/>
                <w:sz w:val="22"/>
                <w:szCs w:val="22"/>
              </w:rPr>
              <w:br w:type="textWrapping"/>
            </w:r>
            <w:r>
              <w:rPr>
                <w:rFonts w:hint="eastAsia"/>
                <w:color w:val="000000"/>
                <w:sz w:val="22"/>
                <w:szCs w:val="22"/>
              </w:rPr>
              <w:t>插座插拔次数≥750次</w:t>
            </w:r>
            <w:r>
              <w:rPr>
                <w:rFonts w:hint="eastAsia"/>
                <w:color w:val="000000"/>
                <w:sz w:val="22"/>
                <w:szCs w:val="22"/>
              </w:rPr>
              <w:br w:type="textWrapping"/>
            </w:r>
            <w:r>
              <w:rPr>
                <w:rFonts w:hint="eastAsia"/>
                <w:color w:val="000000"/>
                <w:sz w:val="22"/>
                <w:szCs w:val="22"/>
              </w:rPr>
              <w:t>抗电强度DC1000V/(AC700V)1分钟无击穿</w:t>
            </w:r>
            <w:r>
              <w:rPr>
                <w:rFonts w:hint="eastAsia"/>
                <w:color w:val="000000"/>
                <w:sz w:val="22"/>
                <w:szCs w:val="22"/>
              </w:rPr>
              <w:br w:type="textWrapping"/>
            </w:r>
            <w:r>
              <w:rPr>
                <w:rFonts w:hint="eastAsia"/>
                <w:color w:val="000000"/>
                <w:sz w:val="22"/>
                <w:szCs w:val="22"/>
              </w:rPr>
              <w:t>接触针镀金厚度&gt;50U</w:t>
            </w:r>
            <w:r>
              <w:rPr>
                <w:rFonts w:hint="eastAsia"/>
                <w:color w:val="000000"/>
                <w:sz w:val="22"/>
                <w:szCs w:val="22"/>
              </w:rPr>
              <w:br w:type="textWrapping"/>
            </w:r>
            <w:r>
              <w:rPr>
                <w:rFonts w:hint="eastAsia"/>
                <w:color w:val="000000"/>
                <w:sz w:val="22"/>
                <w:szCs w:val="22"/>
              </w:rPr>
              <w:t>塑件材料: PC/PPO</w:t>
            </w:r>
          </w:p>
          <w:p>
            <w:pPr>
              <w:widowControl/>
              <w:jc w:val="center"/>
              <w:rPr>
                <w:rFonts w:hint="eastAsia" w:ascii="宋体" w:hAnsi="宋体" w:eastAsia="宋体" w:cs="宋体"/>
                <w:b/>
                <w:bCs/>
                <w:color w:val="000000"/>
                <w:kern w:val="0"/>
                <w:sz w:val="24"/>
              </w:rPr>
            </w:pP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4口</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个</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4</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水晶头</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lang w:eastAsia="zh-CN"/>
              </w:rPr>
            </w:pPr>
            <w:r>
              <w:rPr>
                <w:rFonts w:hint="eastAsia" w:ascii="宋体" w:hAnsi="宋体" w:eastAsia="宋体" w:cs="宋体"/>
                <w:b w:val="0"/>
                <w:bCs w:val="0"/>
                <w:color w:val="000000"/>
                <w:kern w:val="0"/>
                <w:sz w:val="24"/>
                <w:lang w:eastAsia="zh-CN"/>
              </w:rPr>
              <w:t>超五类</w:t>
            </w:r>
            <w:r>
              <w:rPr>
                <w:rFonts w:hint="eastAsia" w:ascii="宋体" w:hAnsi="宋体" w:eastAsia="宋体" w:cs="宋体"/>
                <w:b w:val="0"/>
                <w:bCs w:val="0"/>
                <w:color w:val="000000"/>
                <w:kern w:val="0"/>
                <w:sz w:val="24"/>
                <w:lang w:val="en-US" w:eastAsia="zh-CN"/>
              </w:rPr>
              <w:t>RJ45非屏蔽</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b w:val="0"/>
                <w:bCs w:val="0"/>
                <w:color w:val="000000"/>
                <w:kern w:val="0"/>
                <w:sz w:val="24"/>
                <w:lang w:eastAsia="zh-CN"/>
              </w:rPr>
              <w:t>超五类</w:t>
            </w:r>
            <w:r>
              <w:rPr>
                <w:rFonts w:hint="eastAsia" w:ascii="宋体" w:hAnsi="宋体" w:eastAsia="宋体" w:cs="宋体"/>
                <w:b w:val="0"/>
                <w:bCs w:val="0"/>
                <w:color w:val="000000"/>
                <w:kern w:val="0"/>
                <w:sz w:val="24"/>
                <w:lang w:val="en-US" w:eastAsia="zh-CN"/>
              </w:rPr>
              <w:t>RJ45</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个</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300</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5</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线槽</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rPr>
            </w:pPr>
            <w:r>
              <w:rPr>
                <w:rFonts w:hint="eastAsia" w:ascii="宋体" w:hAnsi="宋体" w:eastAsia="宋体" w:cs="宋体"/>
                <w:color w:val="000000"/>
                <w:kern w:val="0"/>
                <w:sz w:val="24"/>
              </w:rPr>
              <w:t>PVC 40mm*20mm</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PVC 40mm*20mm</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米</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30</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6</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线槽</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rPr>
            </w:pPr>
            <w:r>
              <w:rPr>
                <w:rFonts w:hint="eastAsia" w:ascii="宋体" w:hAnsi="宋体" w:eastAsia="宋体" w:cs="宋体"/>
                <w:color w:val="000000"/>
                <w:kern w:val="0"/>
                <w:sz w:val="24"/>
              </w:rPr>
              <w:t>PVC 30mm*15mm</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PVC 30mm*15mm</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米</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100</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7</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地槽</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rPr>
            </w:pPr>
            <w:r>
              <w:rPr>
                <w:rFonts w:hint="eastAsia" w:ascii="宋体" w:hAnsi="宋体" w:eastAsia="宋体" w:cs="宋体"/>
                <w:color w:val="000000"/>
                <w:kern w:val="0"/>
                <w:sz w:val="24"/>
              </w:rPr>
              <w:t>自粘 铝合金 48mm</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自粘 铝合金 48mm</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米</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30</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8</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地槽</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rPr>
            </w:pPr>
            <w:r>
              <w:rPr>
                <w:rFonts w:hint="eastAsia" w:ascii="宋体" w:hAnsi="宋体" w:eastAsia="宋体" w:cs="宋体"/>
                <w:color w:val="000000"/>
                <w:kern w:val="0"/>
                <w:sz w:val="24"/>
              </w:rPr>
              <w:t>自粘 铝合金 60mm</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自粘 铝合金 60mm</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米</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30</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9</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48口POE交换机</w:t>
            </w:r>
          </w:p>
        </w:tc>
        <w:tc>
          <w:tcPr>
            <w:tcW w:w="3096" w:type="dxa"/>
            <w:tcBorders>
              <w:top w:val="nil"/>
              <w:left w:val="nil"/>
              <w:bottom w:val="single" w:color="auto" w:sz="4" w:space="0"/>
              <w:right w:val="single" w:color="auto" w:sz="4" w:space="0"/>
            </w:tcBorders>
          </w:tcPr>
          <w:p>
            <w:pPr>
              <w:widowControl/>
              <w:jc w:val="center"/>
              <w:rPr>
                <w:color w:val="000000"/>
                <w:kern w:val="0"/>
                <w:sz w:val="22"/>
                <w:szCs w:val="22"/>
              </w:rPr>
            </w:pPr>
            <w:r>
              <w:rPr>
                <w:rFonts w:hint="eastAsia"/>
                <w:color w:val="000000"/>
                <w:sz w:val="22"/>
                <w:szCs w:val="22"/>
              </w:rPr>
              <w:t>48个10/100/1000Base-T以太网端口，4个复用的千兆SFP Combo</w:t>
            </w:r>
            <w:r>
              <w:rPr>
                <w:rFonts w:hint="eastAsia"/>
                <w:color w:val="000000"/>
                <w:sz w:val="22"/>
                <w:szCs w:val="22"/>
              </w:rPr>
              <w:br w:type="textWrapping"/>
            </w:r>
            <w:r>
              <w:rPr>
                <w:rFonts w:hint="eastAsia"/>
                <w:color w:val="000000"/>
                <w:sz w:val="22"/>
                <w:szCs w:val="22"/>
              </w:rPr>
              <w:t>可插拔双电源，交流供电、支持iStack堆叠、三层交换机</w:t>
            </w:r>
            <w:r>
              <w:rPr>
                <w:rFonts w:hint="eastAsia"/>
                <w:color w:val="000000"/>
                <w:sz w:val="22"/>
                <w:szCs w:val="22"/>
              </w:rPr>
              <w:br w:type="textWrapping"/>
            </w:r>
            <w:r>
              <w:rPr>
                <w:rFonts w:hint="eastAsia"/>
                <w:color w:val="000000"/>
                <w:sz w:val="22"/>
                <w:szCs w:val="22"/>
              </w:rPr>
              <w:t>支持PoE+</w:t>
            </w:r>
            <w:r>
              <w:rPr>
                <w:rFonts w:hint="eastAsia"/>
                <w:color w:val="000000"/>
                <w:sz w:val="22"/>
                <w:szCs w:val="22"/>
              </w:rPr>
              <w:br w:type="textWrapping"/>
            </w:r>
            <w:r>
              <w:rPr>
                <w:rFonts w:hint="eastAsia"/>
                <w:color w:val="000000"/>
                <w:sz w:val="22"/>
                <w:szCs w:val="22"/>
              </w:rPr>
              <w:t>包转发率：108Mpps</w:t>
            </w:r>
            <w:r>
              <w:rPr>
                <w:rFonts w:hint="eastAsia"/>
                <w:color w:val="000000"/>
                <w:sz w:val="22"/>
                <w:szCs w:val="22"/>
              </w:rPr>
              <w:br w:type="textWrapping"/>
            </w:r>
            <w:r>
              <w:rPr>
                <w:rFonts w:hint="eastAsia"/>
                <w:color w:val="000000"/>
                <w:sz w:val="22"/>
                <w:szCs w:val="22"/>
              </w:rPr>
              <w:t>交换容量：256Gbps</w:t>
            </w:r>
          </w:p>
          <w:p>
            <w:pPr>
              <w:widowControl/>
              <w:jc w:val="center"/>
              <w:rPr>
                <w:rFonts w:hint="eastAsia" w:ascii="宋体" w:hAnsi="宋体" w:eastAsia="宋体" w:cs="宋体"/>
                <w:b/>
                <w:bCs/>
                <w:color w:val="000000"/>
                <w:kern w:val="0"/>
                <w:sz w:val="24"/>
              </w:rPr>
            </w:pP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S5700-48TP-PWR-SI</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台</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2</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24口POE交换机</w:t>
            </w:r>
          </w:p>
        </w:tc>
        <w:tc>
          <w:tcPr>
            <w:tcW w:w="3096" w:type="dxa"/>
            <w:tcBorders>
              <w:top w:val="nil"/>
              <w:left w:val="nil"/>
              <w:bottom w:val="single" w:color="auto" w:sz="4" w:space="0"/>
              <w:right w:val="single" w:color="auto" w:sz="4" w:space="0"/>
            </w:tcBorders>
          </w:tcPr>
          <w:p>
            <w:pPr>
              <w:widowControl/>
              <w:jc w:val="center"/>
              <w:rPr>
                <w:color w:val="000000"/>
                <w:kern w:val="0"/>
                <w:sz w:val="22"/>
                <w:szCs w:val="22"/>
              </w:rPr>
            </w:pPr>
            <w:r>
              <w:rPr>
                <w:rFonts w:hint="eastAsia"/>
                <w:color w:val="000000"/>
                <w:sz w:val="22"/>
                <w:szCs w:val="22"/>
              </w:rPr>
              <w:t>24个10/100/1000Base-T以太网端口，4个复用的千兆SFP Combo，上行支持4×1000Base-X SFP、2×10GE SFP+、4×10GE SFP+插卡</w:t>
            </w:r>
            <w:r>
              <w:rPr>
                <w:rFonts w:hint="eastAsia"/>
                <w:color w:val="000000"/>
                <w:sz w:val="22"/>
                <w:szCs w:val="22"/>
              </w:rPr>
              <w:br w:type="textWrapping"/>
            </w:r>
            <w:r>
              <w:rPr>
                <w:rFonts w:hint="eastAsia"/>
                <w:color w:val="000000"/>
                <w:sz w:val="22"/>
                <w:szCs w:val="22"/>
              </w:rPr>
              <w:t>可插拔双电源，交流供电、支持iStack堆叠、三层交换机</w:t>
            </w:r>
            <w:r>
              <w:rPr>
                <w:rFonts w:hint="eastAsia"/>
                <w:color w:val="000000"/>
                <w:sz w:val="22"/>
                <w:szCs w:val="22"/>
              </w:rPr>
              <w:br w:type="textWrapping"/>
            </w:r>
            <w:r>
              <w:rPr>
                <w:rFonts w:hint="eastAsia"/>
                <w:color w:val="000000"/>
                <w:sz w:val="22"/>
                <w:szCs w:val="22"/>
              </w:rPr>
              <w:t>支持PoE+</w:t>
            </w:r>
            <w:r>
              <w:rPr>
                <w:rFonts w:hint="eastAsia"/>
                <w:color w:val="000000"/>
                <w:sz w:val="22"/>
                <w:szCs w:val="22"/>
              </w:rPr>
              <w:br w:type="textWrapping"/>
            </w:r>
            <w:r>
              <w:rPr>
                <w:rFonts w:hint="eastAsia"/>
                <w:color w:val="000000"/>
                <w:sz w:val="22"/>
                <w:szCs w:val="22"/>
              </w:rPr>
              <w:t>包转发率：102Mpps</w:t>
            </w:r>
            <w:r>
              <w:rPr>
                <w:rFonts w:hint="eastAsia"/>
                <w:color w:val="000000"/>
                <w:sz w:val="22"/>
                <w:szCs w:val="22"/>
              </w:rPr>
              <w:br w:type="textWrapping"/>
            </w:r>
            <w:r>
              <w:rPr>
                <w:rFonts w:hint="eastAsia"/>
                <w:color w:val="000000"/>
                <w:sz w:val="22"/>
                <w:szCs w:val="22"/>
              </w:rPr>
              <w:t>交换容量：256Gbps</w:t>
            </w:r>
          </w:p>
          <w:p>
            <w:pPr>
              <w:widowControl/>
              <w:jc w:val="center"/>
              <w:rPr>
                <w:rFonts w:hint="eastAsia" w:ascii="宋体" w:hAnsi="宋体" w:eastAsia="宋体" w:cs="宋体"/>
                <w:b/>
                <w:bCs/>
                <w:color w:val="000000"/>
                <w:kern w:val="0"/>
                <w:sz w:val="24"/>
              </w:rPr>
            </w:pP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S5700-28C-PWR-SI</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台</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11</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电源模块</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lang w:val="en-US" w:eastAsia="zh-CN"/>
              </w:rPr>
            </w:pPr>
            <w:r>
              <w:rPr>
                <w:rFonts w:hint="eastAsia" w:ascii="宋体" w:hAnsi="宋体" w:eastAsia="宋体" w:cs="宋体"/>
                <w:b w:val="0"/>
                <w:bCs w:val="0"/>
                <w:color w:val="000000"/>
                <w:kern w:val="0"/>
                <w:sz w:val="24"/>
                <w:lang w:val="en-US" w:eastAsia="zh-CN"/>
              </w:rPr>
              <w:t>150W交流</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LS5M100PWA00</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块</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6</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2</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配线架</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lang w:val="en-US" w:eastAsia="zh-CN"/>
              </w:rPr>
            </w:pPr>
            <w:r>
              <w:rPr>
                <w:rFonts w:hint="eastAsia" w:ascii="宋体" w:hAnsi="宋体" w:eastAsia="宋体" w:cs="宋体"/>
                <w:b w:val="0"/>
                <w:bCs w:val="0"/>
                <w:color w:val="000000"/>
                <w:kern w:val="0"/>
                <w:sz w:val="24"/>
                <w:lang w:val="en-US" w:eastAsia="zh-CN"/>
              </w:rPr>
              <w:t>24口</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24口</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个</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4</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3</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理线器</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lang w:eastAsia="zh-CN"/>
              </w:rPr>
            </w:pPr>
            <w:r>
              <w:rPr>
                <w:rFonts w:hint="eastAsia" w:ascii="宋体" w:hAnsi="宋体" w:eastAsia="宋体" w:cs="宋体"/>
                <w:b w:val="0"/>
                <w:bCs w:val="0"/>
                <w:color w:val="000000"/>
                <w:kern w:val="0"/>
                <w:sz w:val="24"/>
                <w:lang w:eastAsia="zh-CN"/>
              </w:rPr>
              <w:t>理线器</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理线器</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个</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6</w:t>
            </w:r>
          </w:p>
        </w:tc>
      </w:tr>
      <w:tr>
        <w:tblPrEx>
          <w:tblLayout w:type="fixed"/>
          <w:tblCellMar>
            <w:top w:w="0" w:type="dxa"/>
            <w:left w:w="108" w:type="dxa"/>
            <w:bottom w:w="0" w:type="dxa"/>
            <w:right w:w="108" w:type="dxa"/>
          </w:tblCellMar>
        </w:tblPrEx>
        <w:trPr>
          <w:trHeight w:val="944"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4</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以太网堆叠接口板</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rPr>
            </w:pPr>
            <w:r>
              <w:rPr>
                <w:rFonts w:hint="eastAsia" w:ascii="宋体" w:hAnsi="宋体" w:eastAsia="宋体" w:cs="宋体"/>
                <w:color w:val="000000"/>
                <w:kern w:val="0"/>
                <w:sz w:val="24"/>
              </w:rPr>
              <w:t>以太网堆叠接口板(含堆叠卡,100cm堆叠电缆)</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ES5D001VST00</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块</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3</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5</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无线AP</w:t>
            </w:r>
          </w:p>
        </w:tc>
        <w:tc>
          <w:tcPr>
            <w:tcW w:w="3096" w:type="dxa"/>
            <w:tcBorders>
              <w:top w:val="nil"/>
              <w:left w:val="nil"/>
              <w:bottom w:val="single" w:color="auto" w:sz="4" w:space="0"/>
              <w:right w:val="single" w:color="auto" w:sz="4" w:space="0"/>
            </w:tcBorders>
          </w:tcPr>
          <w:p>
            <w:pPr>
              <w:widowControl/>
              <w:jc w:val="center"/>
              <w:rPr>
                <w:color w:val="000000"/>
                <w:kern w:val="0"/>
                <w:sz w:val="22"/>
                <w:szCs w:val="22"/>
              </w:rPr>
            </w:pPr>
            <w:r>
              <w:rPr>
                <w:rFonts w:hint="eastAsia"/>
                <w:color w:val="000000"/>
                <w:sz w:val="22"/>
                <w:szCs w:val="22"/>
              </w:rPr>
              <w:t>工作模式：FAP AP和FIT AP。FIT AP模式下AP自动上线功能</w:t>
            </w:r>
            <w:r>
              <w:rPr>
                <w:rFonts w:hint="eastAsia"/>
                <w:color w:val="000000"/>
                <w:sz w:val="22"/>
                <w:szCs w:val="22"/>
              </w:rPr>
              <w:br w:type="textWrapping"/>
            </w:r>
            <w:r>
              <w:rPr>
                <w:rFonts w:hint="eastAsia"/>
                <w:color w:val="000000"/>
                <w:sz w:val="22"/>
                <w:szCs w:val="22"/>
              </w:rPr>
              <w:t>支持频段：2.4GHz和5GHz</w:t>
            </w:r>
            <w:r>
              <w:rPr>
                <w:rFonts w:hint="eastAsia"/>
                <w:color w:val="000000"/>
                <w:sz w:val="22"/>
                <w:szCs w:val="22"/>
              </w:rPr>
              <w:br w:type="textWrapping"/>
            </w:r>
            <w:r>
              <w:rPr>
                <w:rFonts w:hint="eastAsia"/>
                <w:color w:val="000000"/>
                <w:sz w:val="22"/>
                <w:szCs w:val="22"/>
              </w:rPr>
              <w:t>IEEE 802.11a/b/g/n/ac、支持3×3MIMO、双以太网接口的链路聚合、负载均衡、多种认证模式</w:t>
            </w:r>
          </w:p>
          <w:p>
            <w:pPr>
              <w:widowControl/>
              <w:jc w:val="center"/>
              <w:rPr>
                <w:rFonts w:hint="eastAsia" w:ascii="宋体" w:hAnsi="宋体" w:eastAsia="宋体" w:cs="宋体"/>
                <w:b/>
                <w:bCs/>
                <w:color w:val="000000"/>
                <w:kern w:val="0"/>
                <w:sz w:val="24"/>
              </w:rPr>
            </w:pP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AP5030DN-DC</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台</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10</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6</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光电转换器</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rPr>
            </w:pPr>
            <w:r>
              <w:rPr>
                <w:rFonts w:hint="eastAsia" w:ascii="宋体" w:hAnsi="宋体" w:eastAsia="宋体" w:cs="宋体"/>
                <w:color w:val="000000"/>
                <w:kern w:val="0"/>
                <w:sz w:val="24"/>
              </w:rPr>
              <w:t>多模双纤SC接口</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多模双纤SC接口</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对</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6</w:t>
            </w:r>
          </w:p>
        </w:tc>
      </w:tr>
      <w:tr>
        <w:tblPrEx>
          <w:tblLayout w:type="fixed"/>
          <w:tblCellMar>
            <w:top w:w="0" w:type="dxa"/>
            <w:left w:w="108" w:type="dxa"/>
            <w:bottom w:w="0" w:type="dxa"/>
            <w:right w:w="108" w:type="dxa"/>
          </w:tblCellMar>
        </w:tblPrEx>
        <w:trPr>
          <w:trHeight w:val="459" w:hRule="atLeast"/>
        </w:trPr>
        <w:tc>
          <w:tcPr>
            <w:tcW w:w="8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7</w:t>
            </w:r>
          </w:p>
        </w:tc>
        <w:tc>
          <w:tcPr>
            <w:tcW w:w="142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光电转换器</w:t>
            </w:r>
          </w:p>
        </w:tc>
        <w:tc>
          <w:tcPr>
            <w:tcW w:w="3096" w:type="dxa"/>
            <w:tcBorders>
              <w:top w:val="nil"/>
              <w:left w:val="nil"/>
              <w:bottom w:val="single" w:color="auto" w:sz="4" w:space="0"/>
              <w:right w:val="single" w:color="auto" w:sz="4" w:space="0"/>
            </w:tcBorders>
          </w:tcPr>
          <w:p>
            <w:pPr>
              <w:widowControl/>
              <w:jc w:val="center"/>
              <w:rPr>
                <w:rFonts w:hint="eastAsia" w:ascii="宋体" w:hAnsi="宋体" w:eastAsia="宋体" w:cs="宋体"/>
                <w:b/>
                <w:bCs/>
                <w:color w:val="000000"/>
                <w:kern w:val="0"/>
                <w:sz w:val="24"/>
              </w:rPr>
            </w:pPr>
            <w:r>
              <w:rPr>
                <w:rFonts w:hint="eastAsia" w:ascii="宋体" w:hAnsi="宋体" w:eastAsia="宋体" w:cs="宋体"/>
                <w:color w:val="000000"/>
                <w:kern w:val="0"/>
                <w:sz w:val="24"/>
              </w:rPr>
              <w:t>多模单线SC接口</w:t>
            </w:r>
          </w:p>
        </w:tc>
        <w:tc>
          <w:tcPr>
            <w:tcW w:w="11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多模单线SC接口</w:t>
            </w:r>
          </w:p>
        </w:tc>
        <w:tc>
          <w:tcPr>
            <w:tcW w:w="96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对</w:t>
            </w:r>
          </w:p>
        </w:tc>
        <w:tc>
          <w:tcPr>
            <w:tcW w:w="733"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6</w:t>
            </w:r>
          </w:p>
        </w:tc>
      </w:tr>
    </w:tbl>
    <w:p>
      <w:pPr>
        <w:rPr>
          <w:rFonts w:hint="eastAsia"/>
          <w:sz w:val="28"/>
          <w:szCs w:val="28"/>
        </w:rPr>
      </w:pPr>
    </w:p>
    <w:p>
      <w:pPr>
        <w:ind w:firstLine="560" w:firstLineChars="200"/>
        <w:rPr>
          <w:sz w:val="28"/>
          <w:szCs w:val="28"/>
        </w:rPr>
      </w:pPr>
      <w:r>
        <w:rPr>
          <w:rFonts w:hint="eastAsia"/>
          <w:sz w:val="28"/>
          <w:szCs w:val="28"/>
        </w:rPr>
        <w:t>2.4合同工期为</w:t>
      </w:r>
      <w:r>
        <w:rPr>
          <w:rFonts w:hint="eastAsia"/>
          <w:sz w:val="28"/>
          <w:szCs w:val="28"/>
          <w:lang w:val="en-US" w:eastAsia="zh-CN"/>
        </w:rPr>
        <w:t>2</w:t>
      </w:r>
      <w:r>
        <w:rPr>
          <w:rFonts w:hint="eastAsia"/>
          <w:sz w:val="28"/>
          <w:szCs w:val="28"/>
        </w:rPr>
        <w:t>个月。</w:t>
      </w:r>
    </w:p>
    <w:p>
      <w:pPr>
        <w:pStyle w:val="2"/>
      </w:pPr>
      <w:r>
        <w:rPr>
          <w:rFonts w:hint="eastAsia"/>
        </w:rPr>
        <w:t>三、详细技术要求</w:t>
      </w:r>
      <w:bookmarkStart w:id="8" w:name="_GoBack"/>
      <w:bookmarkEnd w:id="8"/>
    </w:p>
    <w:p>
      <w:pPr>
        <w:ind w:firstLine="560" w:firstLineChars="200"/>
        <w:rPr>
          <w:sz w:val="28"/>
          <w:szCs w:val="28"/>
        </w:rPr>
      </w:pPr>
      <w:r>
        <w:rPr>
          <w:rFonts w:hint="eastAsia"/>
          <w:sz w:val="28"/>
          <w:szCs w:val="28"/>
        </w:rPr>
        <w:t>3.1每个工位铺设一根超五类网线汇总到弱电机房，每个无线AP铺设一根超五类网线汇总到弱点机房；地面到房顶间铺设线槽，地面到工位间铺设地槽；房间内安装信息面板；弱电机房内安装理线架及配线架。</w:t>
      </w:r>
    </w:p>
    <w:p>
      <w:pPr>
        <w:ind w:firstLine="560" w:firstLineChars="200"/>
        <w:rPr>
          <w:sz w:val="28"/>
          <w:szCs w:val="28"/>
        </w:rPr>
      </w:pPr>
      <w:r>
        <w:rPr>
          <w:rFonts w:hint="eastAsia"/>
          <w:sz w:val="28"/>
          <w:szCs w:val="28"/>
        </w:rPr>
        <w:t>3.2楼内安装无线AP（具体位置以现场勘查为准），安装调试网络交换机。</w:t>
      </w:r>
    </w:p>
    <w:p>
      <w:pPr>
        <w:ind w:firstLine="560" w:firstLineChars="200"/>
        <w:rPr>
          <w:sz w:val="28"/>
          <w:szCs w:val="28"/>
        </w:rPr>
      </w:pPr>
      <w:r>
        <w:rPr>
          <w:rFonts w:hint="eastAsia"/>
          <w:sz w:val="28"/>
          <w:szCs w:val="28"/>
        </w:rPr>
        <w:t>3.3所有的综合布线需按照《综合布线系统工程设计规范  GB50311-2007》进行设计施工。所有网线均放入线槽内，不外露明线。网线打标签，并与信息面板及配线架相对应。</w:t>
      </w:r>
      <w:r>
        <w:rPr>
          <w:rFonts w:hint="eastAsia"/>
          <w:sz w:val="28"/>
          <w:szCs w:val="28"/>
        </w:rPr>
        <w:br w:type="textWrapping"/>
      </w:r>
      <w:r>
        <w:rPr>
          <w:rFonts w:hint="eastAsia"/>
          <w:sz w:val="28"/>
          <w:szCs w:val="28"/>
        </w:rPr>
        <w:t xml:space="preserve">    3.4无线AP采用顶吊式安装方式，以达到最大覆盖面积及使用效果。</w:t>
      </w:r>
      <w:r>
        <w:rPr>
          <w:rFonts w:hint="eastAsia"/>
          <w:sz w:val="28"/>
          <w:szCs w:val="28"/>
          <w:lang w:val="en-US" w:eastAsia="zh-CN"/>
        </w:rPr>
        <w:t>AP采用瘦AP模式，统筹考虑与现有无线控制器的融合。</w:t>
      </w:r>
    </w:p>
    <w:p>
      <w:pPr>
        <w:ind w:firstLine="560" w:firstLineChars="200"/>
        <w:rPr>
          <w:sz w:val="28"/>
          <w:szCs w:val="28"/>
        </w:rPr>
      </w:pPr>
      <w:r>
        <w:rPr>
          <w:rFonts w:hint="eastAsia"/>
          <w:sz w:val="28"/>
          <w:szCs w:val="28"/>
        </w:rPr>
        <w:t>3.5网络交换机采用堆叠方式进行部署，双链路连接至上层交换机，增强网络的稳定性。</w:t>
      </w:r>
    </w:p>
    <w:p>
      <w:pPr>
        <w:pStyle w:val="2"/>
      </w:pPr>
      <w:r>
        <w:rPr>
          <w:rFonts w:hint="eastAsia"/>
        </w:rPr>
        <w:t>四、施工方向采购方提供的技术文件和图纸资料（但不限于此）</w:t>
      </w:r>
    </w:p>
    <w:p>
      <w:pPr>
        <w:ind w:firstLine="560" w:firstLineChars="200"/>
        <w:rPr>
          <w:sz w:val="28"/>
          <w:szCs w:val="28"/>
        </w:rPr>
      </w:pPr>
      <w:r>
        <w:rPr>
          <w:rFonts w:hint="eastAsia"/>
          <w:sz w:val="28"/>
          <w:szCs w:val="28"/>
        </w:rPr>
        <w:t>4.1设备主要部件材质的合格证明。</w:t>
      </w:r>
    </w:p>
    <w:p>
      <w:pPr>
        <w:ind w:firstLine="560" w:firstLineChars="200"/>
        <w:rPr>
          <w:sz w:val="28"/>
          <w:szCs w:val="28"/>
        </w:rPr>
      </w:pPr>
      <w:r>
        <w:rPr>
          <w:rFonts w:hint="eastAsia"/>
          <w:sz w:val="28"/>
          <w:szCs w:val="28"/>
        </w:rPr>
        <w:t>4.2计划的文件、图纸交付安排，与技术联络安排。</w:t>
      </w:r>
    </w:p>
    <w:p>
      <w:pPr>
        <w:ind w:firstLine="560" w:firstLineChars="200"/>
        <w:rPr>
          <w:sz w:val="28"/>
          <w:szCs w:val="28"/>
        </w:rPr>
      </w:pPr>
      <w:r>
        <w:rPr>
          <w:rFonts w:hint="eastAsia"/>
          <w:sz w:val="28"/>
          <w:szCs w:val="28"/>
        </w:rPr>
        <w:t>4.3技术资料包括图纸、安装使用说明书及其他技术资料，质量检验证书、产品合格证书、交货清单等。</w:t>
      </w:r>
      <w:bookmarkStart w:id="0" w:name="_Toc290627882"/>
      <w:bookmarkEnd w:id="0"/>
      <w:bookmarkStart w:id="1" w:name="_Toc285541759"/>
      <w:bookmarkEnd w:id="1"/>
      <w:bookmarkStart w:id="2" w:name="_Toc290563986"/>
      <w:bookmarkEnd w:id="2"/>
      <w:bookmarkStart w:id="3" w:name="_Toc282520387"/>
      <w:bookmarkEnd w:id="3"/>
    </w:p>
    <w:p>
      <w:pPr>
        <w:pStyle w:val="2"/>
      </w:pPr>
      <w:bookmarkStart w:id="4" w:name="_Toc21963"/>
      <w:r>
        <w:rPr>
          <w:rFonts w:hint="eastAsia"/>
        </w:rPr>
        <w:t>五、施工方案及过程控制</w:t>
      </w:r>
      <w:bookmarkEnd w:id="4"/>
    </w:p>
    <w:p>
      <w:pPr>
        <w:ind w:firstLine="560" w:firstLineChars="200"/>
        <w:rPr>
          <w:sz w:val="28"/>
          <w:szCs w:val="28"/>
        </w:rPr>
      </w:pPr>
      <w:r>
        <w:rPr>
          <w:rFonts w:hint="eastAsia"/>
          <w:sz w:val="28"/>
          <w:szCs w:val="28"/>
        </w:rPr>
        <w:t>5.1施工方应根据现场勘查结果制定施工组织方案。本升级项目总工期自合同签订之日开始2个月完成设备安装调试。自合同签订之日开始15天内，投标人在投标时应列出所有设备的安装调试工期计划、图纸资料，并应明确各项工作是否影响办公，如有影响请说明影响时间。</w:t>
      </w:r>
    </w:p>
    <w:p>
      <w:pPr>
        <w:ind w:firstLine="560" w:firstLineChars="200"/>
        <w:rPr>
          <w:sz w:val="28"/>
          <w:szCs w:val="28"/>
        </w:rPr>
      </w:pPr>
      <w:r>
        <w:rPr>
          <w:rFonts w:hint="eastAsia"/>
          <w:sz w:val="28"/>
          <w:szCs w:val="28"/>
        </w:rPr>
        <w:t xml:space="preserve">5.2施工方在施工前需向采购方进行施工申请，在得到采购方的同意后方可进行施工。由于采购方的原因导致施工方无法进行现场施工时，本升级项目总工期相应顺延，但现场实施升级工期和影响办公时间仍不得超出上述要求。 </w:t>
      </w:r>
    </w:p>
    <w:p>
      <w:pPr>
        <w:ind w:firstLine="560" w:firstLineChars="200"/>
        <w:rPr>
          <w:sz w:val="28"/>
          <w:szCs w:val="28"/>
        </w:rPr>
      </w:pPr>
      <w:r>
        <w:rPr>
          <w:rFonts w:hint="eastAsia"/>
          <w:sz w:val="28"/>
          <w:szCs w:val="28"/>
        </w:rPr>
        <w:t>5.3施工前要做好准备，所有材料运抵现场，待采购方确认后进行施工。</w:t>
      </w:r>
    </w:p>
    <w:p>
      <w:pPr>
        <w:ind w:firstLine="560" w:firstLineChars="200"/>
        <w:rPr>
          <w:sz w:val="28"/>
          <w:szCs w:val="28"/>
        </w:rPr>
      </w:pPr>
      <w:r>
        <w:rPr>
          <w:rFonts w:hint="eastAsia"/>
          <w:sz w:val="28"/>
          <w:szCs w:val="28"/>
        </w:rPr>
        <w:t>5.4在每项工作开始和终结及含有隐蔽工程的工作结束时，施工方均应通知采购方负责人进行现场确认和验收。</w:t>
      </w:r>
    </w:p>
    <w:p>
      <w:pPr>
        <w:pStyle w:val="2"/>
      </w:pPr>
      <w:bookmarkStart w:id="5" w:name="_Toc26316"/>
      <w:r>
        <w:rPr>
          <w:rFonts w:hint="eastAsia"/>
        </w:rPr>
        <w:t>六、项目验收</w:t>
      </w:r>
      <w:bookmarkEnd w:id="5"/>
    </w:p>
    <w:p>
      <w:pPr>
        <w:ind w:firstLine="560" w:firstLineChars="200"/>
        <w:rPr>
          <w:sz w:val="28"/>
          <w:szCs w:val="28"/>
        </w:rPr>
      </w:pPr>
      <w:r>
        <w:rPr>
          <w:rFonts w:hint="eastAsia"/>
          <w:sz w:val="28"/>
          <w:szCs w:val="28"/>
        </w:rPr>
        <w:t>6.1在合同生效30天内施工方须提交调试大纲并征得采购方批准，在设备安装完毕的基础上，施工方应按合同规定进行确认，并进行设备试运转、有负荷联动试运转，并应由采购方证明并记录，施工方建议的其它试验也可以进行。</w:t>
      </w:r>
    </w:p>
    <w:p>
      <w:pPr>
        <w:ind w:firstLine="560" w:firstLineChars="200"/>
        <w:rPr>
          <w:sz w:val="28"/>
          <w:szCs w:val="28"/>
        </w:rPr>
      </w:pPr>
      <w:r>
        <w:rPr>
          <w:rFonts w:hint="eastAsia"/>
          <w:sz w:val="28"/>
          <w:szCs w:val="28"/>
        </w:rPr>
        <w:t>6.2采购方根据设备的实际运行情况和施工方提出的书面验收申请组织相关部门按照国家规范、合同及相关文件要求进行验收。如果由于施工方原因造成设备运行不稳定或不能满足合同要求时，采购方有权不予验收，直到达到要求。</w:t>
      </w:r>
    </w:p>
    <w:p>
      <w:pPr>
        <w:pStyle w:val="2"/>
      </w:pPr>
      <w:bookmarkStart w:id="6" w:name="_Toc8913"/>
      <w:bookmarkStart w:id="7" w:name="_Toc24379"/>
      <w:r>
        <w:rPr>
          <w:rFonts w:hint="eastAsia"/>
        </w:rPr>
        <w:t>七、质量保证及服务承诺</w:t>
      </w:r>
      <w:bookmarkEnd w:id="6"/>
      <w:bookmarkEnd w:id="7"/>
    </w:p>
    <w:p>
      <w:pPr>
        <w:ind w:firstLine="560" w:firstLineChars="200"/>
        <w:rPr>
          <w:sz w:val="28"/>
          <w:szCs w:val="28"/>
        </w:rPr>
      </w:pPr>
      <w:r>
        <w:rPr>
          <w:rFonts w:hint="eastAsia"/>
          <w:sz w:val="28"/>
          <w:szCs w:val="28"/>
        </w:rPr>
        <w:t>7.1凡在开箱检验、安装调试、设备试运转过程中发现的设备质量问题，由施工方负责处理，实行包修、包换、包退直至产品符合质量要求，施工方承担修理、调换、退货发生的一切费用和采购方的直接经济损失。</w:t>
      </w:r>
    </w:p>
    <w:p>
      <w:pPr>
        <w:ind w:firstLine="560" w:firstLineChars="200"/>
        <w:rPr>
          <w:sz w:val="28"/>
          <w:szCs w:val="28"/>
        </w:rPr>
      </w:pPr>
      <w:r>
        <w:rPr>
          <w:rFonts w:hint="eastAsia"/>
          <w:sz w:val="28"/>
          <w:szCs w:val="28"/>
        </w:rPr>
        <w:t>7.2质保期限：项目验收合格后12个月。</w:t>
      </w:r>
    </w:p>
    <w:p>
      <w:pPr>
        <w:ind w:firstLine="560" w:firstLineChars="200"/>
        <w:rPr>
          <w:rFonts w:hint="eastAsia"/>
          <w:sz w:val="28"/>
          <w:szCs w:val="28"/>
        </w:rPr>
      </w:pPr>
      <w:r>
        <w:rPr>
          <w:rFonts w:hint="eastAsia"/>
          <w:sz w:val="28"/>
          <w:szCs w:val="28"/>
        </w:rPr>
        <w:t>7.3工程交付后在保修期内出现了问题，施工方在接到采购方通知后24小时内赶到现场，无偿进行返修或返工。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Lucida Console">
    <w:panose1 w:val="020B0609040504020204"/>
    <w:charset w:val="00"/>
    <w:family w:val="auto"/>
    <w:pitch w:val="default"/>
    <w:sig w:usb0="8000028F" w:usb1="00001800" w:usb2="00000000" w:usb3="00000000" w:csb0="0000001F" w:csb1="D7D7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ì.">
    <w:altName w:val="宋体"/>
    <w:panose1 w:val="00000000000000000000"/>
    <w:charset w:val="00"/>
    <w:family w:val="modern"/>
    <w:pitch w:val="default"/>
    <w:sig w:usb0="00000000" w:usb1="00000000" w:usb2="00000000" w:usb3="00000000" w:csb0="00040001" w:csb1="00000000"/>
  </w:font>
  <w:font w:name="幼圆">
    <w:panose1 w:val="02010509060101010101"/>
    <w:charset w:val="86"/>
    <w:family w:val="modern"/>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Garamond">
    <w:panose1 w:val="02020502050306020203"/>
    <w:charset w:val="00"/>
    <w:family w:val="roman"/>
    <w:pitch w:val="default"/>
    <w:sig w:usb0="00000007" w:usb1="00000000" w:usb2="00000000" w:usb3="00000000" w:csb0="00000093" w:csb1="00000000"/>
  </w:font>
  <w:font w:name="Verdana">
    <w:panose1 w:val="020B0604030504040204"/>
    <w:charset w:val="00"/>
    <w:family w:val="swiss"/>
    <w:pitch w:val="default"/>
    <w:sig w:usb0="A10006FF" w:usb1="4000205B" w:usb2="00000010" w:usb3="00000000" w:csb0="2000019F" w:csb1="00000000"/>
  </w:font>
  <w:font w:name="??">
    <w:altName w:val="Courier New"/>
    <w:panose1 w:val="00000000000000000000"/>
    <w:charset w:val="00"/>
    <w:family w:val="modern"/>
    <w:pitch w:val="default"/>
    <w:sig w:usb0="00000000" w:usb1="00000000" w:usb2="00000000" w:usb3="00000000" w:csb0="00040001" w:csb1="00000000"/>
  </w:font>
  <w:font w:name="永中黑体">
    <w:altName w:val="黑体"/>
    <w:panose1 w:val="02010600030101010101"/>
    <w:charset w:val="86"/>
    <w:family w:val="modern"/>
    <w:pitch w:val="default"/>
    <w:sig w:usb0="00000000" w:usb1="00000000" w:usb2="0000000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Century Gothic">
    <w:altName w:val="Century"/>
    <w:panose1 w:val="020B050202020202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Times New Roman Bold">
    <w:altName w:val="Times New Roman"/>
    <w:panose1 w:val="00000000000000000000"/>
    <w:charset w:val="00"/>
    <w:family w:val="roman"/>
    <w:pitch w:val="default"/>
    <w:sig w:usb0="00000000" w:usb1="00000000" w:usb2="00000000" w:usb3="00000000" w:csb0="00000001" w:csb1="00000000"/>
  </w:font>
  <w:font w:name="方正大黑简体2.">
    <w:altName w:val="黑体"/>
    <w:panose1 w:val="00000000000000000000"/>
    <w:charset w:val="86"/>
    <w:family w:val="swiss"/>
    <w:pitch w:val="default"/>
    <w:sig w:usb0="00000000" w:usb1="00000000" w:usb2="00000010" w:usb3="00000000" w:csb0="00040000" w:csb1="00000000"/>
  </w:font>
  <w:font w:name="MingLiU">
    <w:panose1 w:val="02020509000000000000"/>
    <w:charset w:val="88"/>
    <w:family w:val="modern"/>
    <w:pitch w:val="default"/>
    <w:sig w:usb0="A00002FF" w:usb1="28CFFCFA" w:usb2="00000016" w:usb3="00000000" w:csb0="00100001" w:csb1="00000000"/>
  </w:font>
  <w:font w:name="华文细黑">
    <w:panose1 w:val="02010600040101010101"/>
    <w:charset w:val="86"/>
    <w:family w:val="auto"/>
    <w:pitch w:val="default"/>
    <w:sig w:usb0="00000287" w:usb1="080F0000" w:usb2="00000000" w:usb3="00000000" w:csb0="0004009F" w:csb1="DFD70000"/>
  </w:font>
  <w:font w:name="长城仿宋">
    <w:altName w:val="宋体"/>
    <w:panose1 w:val="00000000000000000000"/>
    <w:charset w:val="86"/>
    <w:family w:val="modern"/>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汉鼎简大黑Arial Black">
    <w:altName w:val="宋体"/>
    <w:panose1 w:val="00000000000000000000"/>
    <w:charset w:val="86"/>
    <w:family w:val="auto"/>
    <w:pitch w:val="default"/>
    <w:sig w:usb0="00000000" w:usb1="00000000" w:usb2="00000010" w:usb3="00000000" w:csb0="00040000" w:csb1="00000000"/>
  </w:font>
  <w:font w:name="Helvetica">
    <w:panose1 w:val="020B0504020202030204"/>
    <w:charset w:val="00"/>
    <w:family w:val="swiss"/>
    <w:pitch w:val="default"/>
    <w:sig w:usb0="00000007" w:usb1="00000000" w:usb2="00000000" w:usb3="00000000" w:csb0="00000093" w:csb1="00000000"/>
  </w:font>
  <w:font w:name="Palatino">
    <w:panose1 w:val="02040602050305020304"/>
    <w:charset w:val="00"/>
    <w:family w:val="roman"/>
    <w:pitch w:val="default"/>
    <w:sig w:usb0="00000007" w:usb1="00000000" w:usb2="00000000" w:usb3="00000000" w:csb0="00000093" w:csb1="00000000"/>
  </w:font>
  <w:font w:name="仿宋体">
    <w:altName w:val="宋体"/>
    <w:panose1 w:val="00000000000000000000"/>
    <w:charset w:val="86"/>
    <w:family w:val="auto"/>
    <w:pitch w:val="default"/>
    <w:sig w:usb0="00000000" w:usb1="00000000" w:usb2="00000010" w:usb3="00000000" w:csb0="00040000" w:csb1="00000000"/>
  </w:font>
  <w:font w:name="汉鼎简中等线Arial">
    <w:altName w:val="宋体"/>
    <w:panose1 w:val="00000000000000000000"/>
    <w:charset w:val="86"/>
    <w:family w:val="auto"/>
    <w:pitch w:val="default"/>
    <w:sig w:usb0="00000000" w:usb1="00000000" w:usb2="00000010" w:usb3="00000000" w:csb0="00040000" w:csb1="00000000"/>
  </w:font>
  <w:font w:name="FuturaA Bk BT">
    <w:altName w:val="Arial"/>
    <w:panose1 w:val="00000000000000000000"/>
    <w:charset w:val="00"/>
    <w:family w:val="swiss"/>
    <w:pitch w:val="default"/>
    <w:sig w:usb0="00000000" w:usb1="00000000" w:usb2="00000000" w:usb3="00000000" w:csb0="00000001" w:csb1="00000000"/>
  </w:font>
  <w:font w:name="Arial Black">
    <w:panose1 w:val="020B0A04020102020204"/>
    <w:charset w:val="00"/>
    <w:family w:val="swiss"/>
    <w:pitch w:val="default"/>
    <w:sig w:usb0="00000287" w:usb1="00000000" w:usb2="00000000" w:usb3="00000000" w:csb0="2000009F" w:csb1="DFD70000"/>
  </w:font>
  <w:font w:name="սڌ弲̥">
    <w:altName w:val="宋体"/>
    <w:panose1 w:val="00000000000000000000"/>
    <w:charset w:val="86"/>
    <w:family w:val="roma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Siemens Sans">
    <w:altName w:val="Times New Roman"/>
    <w:panose1 w:val="00000000000000000000"/>
    <w:charset w:val="00"/>
    <w:family w:val="auto"/>
    <w:pitch w:val="default"/>
    <w:sig w:usb0="00000000" w:usb1="00000000" w:usb2="00000000" w:usb3="00000000" w:csb0="00000001" w:csb1="00000000"/>
  </w:font>
  <w:font w:name="Eras Medium ITC">
    <w:altName w:val="Segoe Print"/>
    <w:panose1 w:val="020B0602030504020804"/>
    <w:charset w:val="00"/>
    <w:family w:val="swiss"/>
    <w:pitch w:val="default"/>
    <w:sig w:usb0="00000000" w:usb1="00000000" w:usb2="00000000" w:usb3="00000000" w:csb0="20000001" w:csb1="00000000"/>
  </w:font>
  <w:font w:name="新宋体">
    <w:panose1 w:val="02010609030101010101"/>
    <w:charset w:val="86"/>
    <w:family w:val="modern"/>
    <w:pitch w:val="default"/>
    <w:sig w:usb0="00000003" w:usb1="288F0000" w:usb2="00000006" w:usb3="00000000" w:csb0="00040001" w:csb1="00000000"/>
  </w:font>
  <w:font w:name="PMingLiU">
    <w:panose1 w:val="02020500000000000000"/>
    <w:charset w:val="88"/>
    <w:family w:val="auto"/>
    <w:pitch w:val="default"/>
    <w:sig w:usb0="A00002FF" w:usb1="28CFFCFA" w:usb2="00000016" w:usb3="00000000" w:csb0="00100001" w:csb1="00000000"/>
  </w:font>
  <w:font w:name="楷体">
    <w:panose1 w:val="02010609060101010101"/>
    <w:charset w:val="86"/>
    <w:family w:val="auto"/>
    <w:pitch w:val="default"/>
    <w:sig w:usb0="800002BF" w:usb1="38CF7CFA" w:usb2="00000016" w:usb3="00000000" w:csb0="00040001" w:csb1="00000000"/>
  </w:font>
  <w:font w:name="Lucida Sans">
    <w:altName w:val="Lucida Sans Unicode"/>
    <w:panose1 w:val="020B0602030504020204"/>
    <w:charset w:val="00"/>
    <w:family w:val="auto"/>
    <w:pitch w:val="default"/>
    <w:sig w:usb0="00000000" w:usb1="00000000" w:usb2="00000000" w:usb3="00000000" w:csb0="20000001" w:csb1="00000000"/>
  </w:font>
  <w:font w:name="Palatino Linotype">
    <w:panose1 w:val="02040502050505030304"/>
    <w:charset w:val="00"/>
    <w:family w:val="auto"/>
    <w:pitch w:val="default"/>
    <w:sig w:usb0="E0000287" w:usb1="40000013" w:usb2="00000000" w:usb3="00000000" w:csb0="2000019F" w:csb1="00000000"/>
  </w:font>
  <w:font w:name="华文楷体">
    <w:panose1 w:val="02010600040101010101"/>
    <w:charset w:val="86"/>
    <w:family w:val="auto"/>
    <w:pitch w:val="default"/>
    <w:sig w:usb0="00000287" w:usb1="080F0000" w:usb2="00000000" w:usb3="00000000" w:csb0="0004009F" w:csb1="DFD7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Adobe 宋体 Std L">
    <w:altName w:val="宋体"/>
    <w:panose1 w:val="02020300000000000000"/>
    <w:charset w:val="86"/>
    <w:family w:val="auto"/>
    <w:pitch w:val="default"/>
    <w:sig w:usb0="00000000" w:usb1="00000000" w:usb2="00000016" w:usb3="00000000" w:csb0="00060007" w:csb1="00000000"/>
  </w:font>
  <w:font w:name="Webdings">
    <w:panose1 w:val="05030102010509060703"/>
    <w:charset w:val="02"/>
    <w:family w:val="roman"/>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 w:name="Lucida Sans Unicode">
    <w:panose1 w:val="020B0602030504020204"/>
    <w:charset w:val="00"/>
    <w:family w:val="auto"/>
    <w:pitch w:val="default"/>
    <w:sig w:usb0="80001AFF" w:usb1="0000396B" w:usb2="00000000" w:usb3="00000000" w:csb0="200000BF" w:csb1="D7F70000"/>
  </w:font>
  <w:font w:name="Century">
    <w:panose1 w:val="02040604050505020304"/>
    <w:charset w:val="00"/>
    <w:family w:val="auto"/>
    <w:pitch w:val="default"/>
    <w:sig w:usb0="00000287" w:usb1="00000000" w:usb2="00000000" w:usb3="00000000" w:csb0="2000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AE7BED"/>
    <w:rsid w:val="00331470"/>
    <w:rsid w:val="004D774A"/>
    <w:rsid w:val="006757EA"/>
    <w:rsid w:val="0086292B"/>
    <w:rsid w:val="00937BAE"/>
    <w:rsid w:val="00C22CD0"/>
    <w:rsid w:val="00DB7647"/>
    <w:rsid w:val="00ED3DC6"/>
    <w:rsid w:val="033C2E5A"/>
    <w:rsid w:val="050643FF"/>
    <w:rsid w:val="05225C86"/>
    <w:rsid w:val="09AA1DB7"/>
    <w:rsid w:val="0A600B33"/>
    <w:rsid w:val="0D97058C"/>
    <w:rsid w:val="0FD13755"/>
    <w:rsid w:val="14523197"/>
    <w:rsid w:val="1E9D471F"/>
    <w:rsid w:val="20724826"/>
    <w:rsid w:val="21A50639"/>
    <w:rsid w:val="21AB0F07"/>
    <w:rsid w:val="24D52A16"/>
    <w:rsid w:val="2A482145"/>
    <w:rsid w:val="2A590D3A"/>
    <w:rsid w:val="2B8A48DF"/>
    <w:rsid w:val="3151608C"/>
    <w:rsid w:val="33750080"/>
    <w:rsid w:val="370C5D9D"/>
    <w:rsid w:val="3AE107A9"/>
    <w:rsid w:val="3EBF2612"/>
    <w:rsid w:val="41AE7BED"/>
    <w:rsid w:val="420C4186"/>
    <w:rsid w:val="44B156EE"/>
    <w:rsid w:val="451D1F5F"/>
    <w:rsid w:val="45216BD7"/>
    <w:rsid w:val="464707D3"/>
    <w:rsid w:val="47A530CC"/>
    <w:rsid w:val="49CF3779"/>
    <w:rsid w:val="4BED4C93"/>
    <w:rsid w:val="4E9E04B8"/>
    <w:rsid w:val="4EA72544"/>
    <w:rsid w:val="568F1DAB"/>
    <w:rsid w:val="6151359F"/>
    <w:rsid w:val="66700375"/>
    <w:rsid w:val="6B9A0626"/>
    <w:rsid w:val="710910C8"/>
    <w:rsid w:val="71366970"/>
    <w:rsid w:val="724B1FB9"/>
    <w:rsid w:val="73017F95"/>
    <w:rsid w:val="74775B1C"/>
    <w:rsid w:val="755C79B0"/>
    <w:rsid w:val="758B14E9"/>
    <w:rsid w:val="762F1816"/>
    <w:rsid w:val="79C505A3"/>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28"/>
    </w:rPr>
  </w:style>
  <w:style w:type="character" w:default="1" w:styleId="3">
    <w:name w:val="Default Paragraph Font"/>
    <w:unhideWhenUsed/>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377</Words>
  <Characters>2153</Characters>
  <Lines>17</Lines>
  <Paragraphs>5</Paragraphs>
  <ScaleCrop>false</ScaleCrop>
  <LinksUpToDate>false</LinksUpToDate>
  <CharactersWithSpaces>2525</CharactersWithSpaces>
  <Application>WPS Office_10.8.0.5874_F1E327BC-269C-435d-A152-05C5408002CA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2017-04-12T05:14:00Z</dcterms:created>
  <dc:creator>dingweibing</dc:creator>
  <cp:lastModifiedBy>dingweibing</cp:lastModifiedBy>
  <dcterms:modified xsi:type="dcterms:W3CDTF">2017-04-28T06:31:57Z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2052-10.8.0.5874</vt:lpwstr>
  </property>
</Properties>
</file>