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425"/>
        </w:tabs>
        <w:spacing w:line="560" w:lineRule="exact"/>
        <w:ind w:firstLine="0" w:firstLineChars="0"/>
      </w:pPr>
      <w:r>
        <w:rPr>
          <w:rFonts w:hint="eastAsia" w:ascii="黑体" w:hAnsi="黑体" w:eastAsia="黑体" w:cs="黑体"/>
        </w:rPr>
        <w:t>附件</w:t>
      </w:r>
      <w:r>
        <w:rPr>
          <w:rFonts w:hint="eastAsia"/>
        </w:rPr>
        <w:t>：</w:t>
      </w:r>
    </w:p>
    <w:p>
      <w:pPr>
        <w:jc w:val="center"/>
        <w:rPr>
          <w:rFonts w:hint="eastAsia" w:ascii="仿宋_GB2312" w:hAnsi="宋体" w:eastAsia="仿宋_GB2312"/>
          <w:b/>
          <w:bCs/>
          <w:color w:val="000000"/>
          <w:sz w:val="28"/>
          <w:szCs w:val="28"/>
        </w:rPr>
      </w:pPr>
      <w:r>
        <w:rPr>
          <w:rFonts w:hint="eastAsia" w:ascii="仿宋_GB2312" w:hAnsi="宋体" w:eastAsia="仿宋_GB2312"/>
          <w:color w:val="000000"/>
          <w:sz w:val="28"/>
          <w:szCs w:val="28"/>
        </w:rPr>
        <w:t xml:space="preserve">   </w:t>
      </w:r>
      <w:r>
        <w:rPr>
          <w:rFonts w:hint="eastAsia" w:ascii="仿宋_GB2312" w:hAnsi="宋体" w:eastAsia="仿宋_GB2312"/>
          <w:b/>
          <w:bCs/>
          <w:color w:val="000000"/>
          <w:sz w:val="28"/>
          <w:szCs w:val="28"/>
        </w:rPr>
        <w:t xml:space="preserve"> </w:t>
      </w:r>
    </w:p>
    <w:p>
      <w:pPr>
        <w:jc w:val="center"/>
        <w:rPr>
          <w:rFonts w:hint="eastAsia" w:ascii="宋体" w:hAnsi="宋体" w:eastAsia="宋体" w:cs="宋体"/>
          <w:sz w:val="36"/>
          <w:szCs w:val="36"/>
        </w:rPr>
      </w:pPr>
      <w:bookmarkStart w:id="11" w:name="_GoBack"/>
      <w:r>
        <w:rPr>
          <w:rFonts w:hint="eastAsia" w:ascii="宋体" w:hAnsi="宋体" w:eastAsia="宋体" w:cs="宋体"/>
          <w:sz w:val="36"/>
          <w:szCs w:val="36"/>
          <w:lang w:eastAsia="zh-CN"/>
        </w:rPr>
        <w:t>翻车机减速机</w:t>
      </w:r>
      <w:r>
        <w:rPr>
          <w:rFonts w:hint="eastAsia" w:ascii="宋体" w:hAnsi="宋体" w:eastAsia="宋体" w:cs="宋体"/>
          <w:sz w:val="36"/>
          <w:szCs w:val="36"/>
        </w:rPr>
        <w:t>外委维修技术规格书</w:t>
      </w:r>
    </w:p>
    <w:bookmarkEnd w:id="11"/>
    <w:p>
      <w:pPr>
        <w:jc w:val="center"/>
        <w:rPr>
          <w:rFonts w:hint="eastAsia" w:ascii="宋体" w:hAnsi="宋体" w:eastAsia="宋体" w:cs="宋体"/>
          <w:sz w:val="32"/>
          <w:szCs w:val="32"/>
          <w:lang w:val="en-US" w:eastAsia="zh-CN"/>
        </w:rPr>
      </w:pPr>
    </w:p>
    <w:p>
      <w:p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一：物料编码：10654250</w:t>
      </w:r>
    </w:p>
    <w:p>
      <w:pPr>
        <w:spacing w:line="360" w:lineRule="auto"/>
        <w:ind w:left="2380" w:leftChars="200" w:hanging="1960" w:hangingChars="7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二：物料描述：减速器\3Sg280So G25647\i=21.9\无逆止器\右出轴  </w:t>
      </w:r>
    </w:p>
    <w:p>
      <w:pPr>
        <w:spacing w:line="360" w:lineRule="auto"/>
        <w:ind w:firstLine="48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三：物料数量：1台</w:t>
      </w:r>
    </w:p>
    <w:p>
      <w:pPr>
        <w:spacing w:line="360" w:lineRule="auto"/>
        <w:ind w:firstLine="48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四：维修内容：</w:t>
      </w:r>
    </w:p>
    <w:tbl>
      <w:tblPr>
        <w:tblStyle w:val="7"/>
        <w:tblW w:w="85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1"/>
        <w:gridCol w:w="1646"/>
        <w:gridCol w:w="1399"/>
        <w:gridCol w:w="2617"/>
        <w:gridCol w:w="1332"/>
        <w:gridCol w:w="81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bookmarkStart w:id="0" w:name="OLE_LINK20"/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维修部位代码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型号/参数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维修内容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31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齿轮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Φ431.8/162*115；m=6，z=68；硬度HR58+2淬硬深度1.3mm磨削/抛光；</w:t>
            </w:r>
            <w:bookmarkStart w:id="1" w:name="OLE_LINK10"/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17CrNiMo6</w:t>
            </w:r>
            <w:bookmarkEnd w:id="1"/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34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轴承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23032CC/W33（SKF）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35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轴承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23032CC/W33（SKF）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43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骨架油封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175*205*15BA NBR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55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齿轮（与轴一体）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Φ151.5*350；m=6，z=22；硬度HR58+2淬硬深度1.3mm磨削/抛光；17CrNiMo6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56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齿轮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Φ311.46/121*80；m=4.5，z=64；硬度HR58+2淬硬深度1.0mm磨削/抛光；17CrNiMo6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bookmarkStart w:id="2" w:name="OLE_LINK5" w:colFirst="2" w:colLast="5"/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59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轴承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22224E（SKF）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bookmarkEnd w:id="2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60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轴承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22224E（SKF）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70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齿轮（与轴一体）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Φ104.98*533；m=4.5，z=20；硬度HR58+2淬硬深度1.0mm磨削/抛光；17CrNiMo6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bookmarkStart w:id="3" w:name="OLE_LINK7" w:colFirst="2" w:colLast="5"/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74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轴承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33215（SKF）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bookmarkEnd w:id="3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75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轴承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33215（SKF）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78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骨架油封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85*110*12BA SL NBR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bookmarkStart w:id="4" w:name="OLE_LINK8" w:colFirst="2" w:colLast="4"/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101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轴承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33212（SKF）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bookmarkEnd w:id="4"/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102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轴承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33212（SKF）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105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骨架油封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68*90*10BA SL NBR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646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118</w:t>
            </w:r>
          </w:p>
        </w:tc>
        <w:tc>
          <w:tcPr>
            <w:tcW w:w="1399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骨架油封</w:t>
            </w:r>
          </w:p>
        </w:tc>
        <w:tc>
          <w:tcPr>
            <w:tcW w:w="2617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35*52*10BA SL NBR</w:t>
            </w:r>
          </w:p>
        </w:tc>
        <w:tc>
          <w:tcPr>
            <w:tcW w:w="1332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更换</w:t>
            </w:r>
          </w:p>
        </w:tc>
        <w:tc>
          <w:tcPr>
            <w:tcW w:w="815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</w:tr>
      <w:bookmarkEnd w:id="0"/>
    </w:tbl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备注：维修部位代码见图纸附件；型号/参数见图纸附件。所列项目型号、图纸等与实物产生冲突时，以实物为准。维修完毕后出具CAD图纸，随实验报告一起交付甲方。</w:t>
      </w:r>
    </w:p>
    <w:p>
      <w:pPr>
        <w:spacing w:line="360" w:lineRule="auto"/>
        <w:ind w:firstLine="56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五：维修技术要求</w:t>
      </w:r>
    </w:p>
    <w:p>
      <w:pPr>
        <w:numPr>
          <w:ilvl w:val="0"/>
          <w:numId w:val="1"/>
        </w:numPr>
        <w:spacing w:line="360" w:lineRule="auto"/>
        <w:ind w:firstLine="56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减速机整体清洗，清除油污及灰尘，涂刷与原颜色一致的油漆。铭牌、轴禁止刷漆。</w:t>
      </w:r>
    </w:p>
    <w:p>
      <w:pPr>
        <w:numPr>
          <w:ilvl w:val="0"/>
          <w:numId w:val="1"/>
        </w:numPr>
        <w:spacing w:line="360" w:lineRule="auto"/>
        <w:ind w:firstLine="56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输入输出轴出厂时做防锈处理，防护牢固，防止磕碰。</w:t>
      </w:r>
    </w:p>
    <w:p>
      <w:pPr>
        <w:numPr>
          <w:ilvl w:val="0"/>
          <w:numId w:val="1"/>
        </w:numPr>
        <w:spacing w:line="360" w:lineRule="auto"/>
        <w:ind w:firstLine="56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减速机壳体、端盖螺栓紧固力矩等按图纸要求进行。</w:t>
      </w:r>
    </w:p>
    <w:p>
      <w:pPr>
        <w:numPr>
          <w:ilvl w:val="0"/>
          <w:numId w:val="1"/>
        </w:numPr>
        <w:spacing w:line="360" w:lineRule="auto"/>
        <w:ind w:firstLine="56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减速机装配时轴承安装最终间隙按图纸要求进行（1：0.07-0.1mm；2:0.075-0.105mm；3:0.2-0.3mm；4:0.2-0.3mm）。</w:t>
      </w:r>
    </w:p>
    <w:p>
      <w:pPr>
        <w:numPr>
          <w:ilvl w:val="0"/>
          <w:numId w:val="1"/>
        </w:numPr>
        <w:spacing w:line="360" w:lineRule="auto"/>
        <w:ind w:firstLine="56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齿轮材质、加工符合技术要求，并出具检测报告。</w:t>
      </w:r>
    </w:p>
    <w:p>
      <w:pPr>
        <w:numPr>
          <w:ilvl w:val="0"/>
          <w:numId w:val="1"/>
        </w:numPr>
        <w:spacing w:line="360" w:lineRule="auto"/>
        <w:ind w:firstLine="56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在减速机适当位置固定维修铭牌，维修铭牌样式见附件一。</w:t>
      </w:r>
    </w:p>
    <w:p>
      <w:pPr>
        <w:numPr>
          <w:ilvl w:val="0"/>
          <w:numId w:val="0"/>
        </w:numPr>
        <w:spacing w:line="360" w:lineRule="auto"/>
        <w:ind w:firstLine="56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六：减速机实验</w:t>
      </w:r>
    </w:p>
    <w:p>
      <w:pPr>
        <w:numPr>
          <w:ilvl w:val="0"/>
          <w:numId w:val="0"/>
        </w:numPr>
        <w:spacing w:line="360" w:lineRule="auto"/>
        <w:ind w:firstLine="56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1.空载实验按照</w:t>
      </w:r>
      <w:bookmarkStart w:id="5" w:name="OLE_LINK16"/>
      <w:r>
        <w:rPr>
          <w:rFonts w:hint="eastAsia" w:ascii="仿宋_GB2312" w:eastAsia="仿宋_GB2312"/>
          <w:sz w:val="28"/>
          <w:szCs w:val="28"/>
          <w:lang w:val="en-US" w:eastAsia="zh-CN"/>
        </w:rPr>
        <w:t>JB/T9050.3—1999  圆柱齿轮减速器加载试验方法</w:t>
      </w:r>
      <w:bookmarkEnd w:id="5"/>
      <w:r>
        <w:rPr>
          <w:rFonts w:hint="eastAsia" w:ascii="仿宋_GB2312" w:eastAsia="仿宋_GB2312"/>
          <w:sz w:val="28"/>
          <w:szCs w:val="28"/>
          <w:lang w:val="en-US" w:eastAsia="zh-CN"/>
        </w:rPr>
        <w:t>中表一空载实验内容进行，并满足要求，并出具实验报告。</w:t>
      </w:r>
    </w:p>
    <w:p>
      <w:pPr>
        <w:spacing w:line="360" w:lineRule="auto"/>
        <w:ind w:firstLine="48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2.重载实验按照JB/T9050.3—1999  圆柱齿轮减速器加载试验方法中表一中序号8/9/10项目进行实验（包含轴承、润滑油温度、温升；噪声、振动；齿面接触率等项目），并符合要求，出具实验报告。</w:t>
      </w:r>
    </w:p>
    <w:p>
      <w:pPr>
        <w:spacing w:line="360" w:lineRule="auto"/>
        <w:ind w:firstLine="48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3.维修更换的齿轮、轴等备件出具CAD图纸。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六：适用国标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1.JB/T9050.1-1999   圆柱齿轮减速器通用技术条件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2.GB/T4879—1985     防锈包装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3.JB/T5000.8—1998  重型机械通用技术条件锻件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4.</w:t>
      </w:r>
      <w:bookmarkStart w:id="6" w:name="OLE_LINK17"/>
      <w:bookmarkStart w:id="7" w:name="OLE_LINK18"/>
      <w:r>
        <w:rPr>
          <w:rFonts w:hint="eastAsia" w:ascii="仿宋_GB2312" w:eastAsia="仿宋_GB2312"/>
          <w:sz w:val="28"/>
          <w:szCs w:val="28"/>
          <w:lang w:val="en-US" w:eastAsia="zh-CN"/>
        </w:rPr>
        <w:t>GB/T6404—</w:t>
      </w:r>
      <w:bookmarkEnd w:id="6"/>
      <w:r>
        <w:rPr>
          <w:rFonts w:hint="eastAsia" w:ascii="仿宋_GB2312" w:eastAsia="仿宋_GB2312"/>
          <w:sz w:val="28"/>
          <w:szCs w:val="28"/>
          <w:lang w:val="en-US" w:eastAsia="zh-CN"/>
        </w:rPr>
        <w:t>2005</w:t>
      </w:r>
      <w:bookmarkEnd w:id="7"/>
      <w:r>
        <w:rPr>
          <w:rFonts w:hint="eastAsia" w:ascii="仿宋_GB2312" w:eastAsia="仿宋_GB2312"/>
          <w:sz w:val="28"/>
          <w:szCs w:val="28"/>
          <w:lang w:val="en-US" w:eastAsia="zh-CN"/>
        </w:rPr>
        <w:t>     齿轮装置噪声声功率级测定方法</w:t>
      </w:r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5.</w:t>
      </w:r>
      <w:bookmarkStart w:id="8" w:name="OLE_LINK15"/>
      <w:r>
        <w:rPr>
          <w:rFonts w:hint="eastAsia" w:ascii="仿宋_GB2312" w:eastAsia="仿宋_GB2312"/>
          <w:sz w:val="28"/>
          <w:szCs w:val="28"/>
          <w:lang w:val="en-US" w:eastAsia="zh-CN"/>
        </w:rPr>
        <w:t>JB/T9050.3</w:t>
      </w:r>
      <w:bookmarkStart w:id="9" w:name="OLE_LINK14"/>
      <w:r>
        <w:rPr>
          <w:rFonts w:hint="eastAsia" w:ascii="仿宋_GB2312" w:eastAsia="仿宋_GB2312"/>
          <w:sz w:val="28"/>
          <w:szCs w:val="28"/>
          <w:lang w:val="en-US" w:eastAsia="zh-CN"/>
        </w:rPr>
        <w:t>—</w:t>
      </w:r>
      <w:bookmarkEnd w:id="9"/>
      <w:r>
        <w:rPr>
          <w:rFonts w:hint="eastAsia" w:ascii="仿宋_GB2312" w:eastAsia="仿宋_GB2312"/>
          <w:sz w:val="28"/>
          <w:szCs w:val="28"/>
          <w:lang w:val="en-US" w:eastAsia="zh-CN"/>
        </w:rPr>
        <w:t>1999  圆柱齿轮减速器加载试验方法</w:t>
      </w:r>
      <w:bookmarkEnd w:id="8"/>
    </w:p>
    <w:p>
      <w:pPr>
        <w:numPr>
          <w:ilvl w:val="0"/>
          <w:numId w:val="0"/>
        </w:numPr>
        <w:spacing w:line="360" w:lineRule="auto"/>
        <w:ind w:firstLine="560" w:firstLineChars="200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6.</w:t>
      </w:r>
      <w:bookmarkStart w:id="10" w:name="OLE_LINK19"/>
      <w:r>
        <w:rPr>
          <w:rFonts w:hint="eastAsia" w:ascii="仿宋_GB2312" w:eastAsia="仿宋_GB2312"/>
          <w:sz w:val="28"/>
          <w:szCs w:val="28"/>
          <w:lang w:val="en-US" w:eastAsia="zh-CN"/>
        </w:rPr>
        <w:t>GB/T8543—1987</w:t>
      </w:r>
      <w:bookmarkEnd w:id="10"/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验收实验中齿轮装置机械振动的测定</w:t>
      </w:r>
    </w:p>
    <w:p>
      <w:pPr>
        <w:spacing w:line="360" w:lineRule="auto"/>
        <w:jc w:val="both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</w:p>
    <w:p>
      <w:pPr>
        <w:spacing w:line="360" w:lineRule="auto"/>
        <w:jc w:val="both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</w:p>
    <w:p>
      <w:pPr>
        <w:spacing w:line="360" w:lineRule="auto"/>
        <w:jc w:val="both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</w:p>
    <w:p>
      <w:pPr>
        <w:spacing w:line="360" w:lineRule="auto"/>
        <w:jc w:val="both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</w:p>
    <w:p>
      <w:pPr>
        <w:spacing w:line="360" w:lineRule="auto"/>
        <w:jc w:val="both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</w:p>
    <w:p>
      <w:pPr>
        <w:spacing w:line="360" w:lineRule="auto"/>
        <w:jc w:val="both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</w:p>
    <w:p>
      <w:pPr>
        <w:spacing w:line="360" w:lineRule="auto"/>
        <w:jc w:val="both"/>
        <w:rPr>
          <w:rFonts w:hint="eastAsia" w:ascii="仿宋" w:hAnsi="仿宋" w:eastAsia="仿宋" w:cs="仿宋"/>
          <w:kern w:val="0"/>
          <w:sz w:val="28"/>
          <w:szCs w:val="28"/>
          <w:lang w:eastAsia="zh-CN"/>
        </w:rPr>
      </w:pPr>
    </w:p>
    <w:p>
      <w:pPr>
        <w:spacing w:line="360" w:lineRule="auto"/>
        <w:jc w:val="both"/>
        <w:rPr>
          <w:rFonts w:ascii="仿宋" w:hAnsi="仿宋" w:eastAsia="仿宋" w:cs="仿宋"/>
          <w:kern w:val="0"/>
          <w:sz w:val="28"/>
          <w:szCs w:val="28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eastAsia="zh-CN"/>
        </w:rPr>
        <w:t>附件一：维修</w:t>
      </w:r>
      <w:r>
        <w:rPr>
          <w:rFonts w:hint="eastAsia" w:ascii="仿宋" w:hAnsi="仿宋" w:eastAsia="仿宋" w:cs="仿宋"/>
          <w:kern w:val="0"/>
          <w:sz w:val="28"/>
          <w:szCs w:val="28"/>
        </w:rPr>
        <w:t>铭牌样式</w:t>
      </w:r>
    </w:p>
    <w:tbl>
      <w:tblPr>
        <w:tblStyle w:val="6"/>
        <w:tblW w:w="8095" w:type="dxa"/>
        <w:jc w:val="center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0"/>
        <w:gridCol w:w="2359"/>
        <w:gridCol w:w="1134"/>
        <w:gridCol w:w="3522"/>
      </w:tblGrid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维修内容</w:t>
            </w:r>
          </w:p>
        </w:tc>
        <w:tc>
          <w:tcPr>
            <w:tcW w:w="70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型号</w:t>
            </w:r>
          </w:p>
        </w:tc>
        <w:tc>
          <w:tcPr>
            <w:tcW w:w="70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物料编码</w:t>
            </w:r>
          </w:p>
        </w:tc>
        <w:tc>
          <w:tcPr>
            <w:tcW w:w="23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重量</w:t>
            </w:r>
          </w:p>
        </w:tc>
        <w:tc>
          <w:tcPr>
            <w:tcW w:w="352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出厂日期</w:t>
            </w:r>
          </w:p>
        </w:tc>
        <w:tc>
          <w:tcPr>
            <w:tcW w:w="70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维修厂家</w:t>
            </w:r>
          </w:p>
        </w:tc>
        <w:tc>
          <w:tcPr>
            <w:tcW w:w="70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  <w:jc w:val="center"/>
        </w:trPr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</w:rPr>
              <w:t>电话等</w:t>
            </w:r>
          </w:p>
        </w:tc>
        <w:tc>
          <w:tcPr>
            <w:tcW w:w="7015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spacing w:line="360" w:lineRule="auto"/>
              <w:rPr>
                <w:rFonts w:ascii="仿宋" w:hAnsi="仿宋" w:eastAsia="仿宋" w:cs="仿宋"/>
                <w:kern w:val="0"/>
                <w:sz w:val="24"/>
              </w:rPr>
            </w:pPr>
          </w:p>
        </w:tc>
      </w:tr>
    </w:tbl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drawing>
          <wp:inline distT="0" distB="0" distL="114300" distR="114300">
            <wp:extent cx="5266055" cy="7021830"/>
            <wp:effectExtent l="0" t="0" r="10795" b="7620"/>
            <wp:docPr id="5" name="图片 1" descr="IMG_20170424_132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IMG_20170424_13230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218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减速机损坏图片（二级减速）</w:t>
      </w: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drawing>
          <wp:inline distT="0" distB="0" distL="114300" distR="114300">
            <wp:extent cx="5266055" cy="7021830"/>
            <wp:effectExtent l="0" t="0" r="10795" b="7620"/>
            <wp:docPr id="6" name="图片 2" descr="IMG_20170424_132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" descr="IMG_20170424_13240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70218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减速机损坏图片（三级减速）</w:t>
      </w:r>
    </w:p>
    <w:p>
      <w:pPr>
        <w:rPr>
          <w:rFonts w:ascii="仿宋_GB2312" w:eastAsia="仿宋_GB2312"/>
          <w:sz w:val="32"/>
          <w:szCs w:val="32"/>
        </w:rPr>
      </w:pPr>
    </w:p>
    <w:p>
      <w:r>
        <mc:AlternateContent>
          <mc:Choice Requires="wps">
            <w:drawing>
              <wp:inline distT="0" distB="0" distL="114300" distR="114300">
                <wp:extent cx="635" cy="0"/>
                <wp:effectExtent l="0" t="0" r="0" b="0"/>
                <wp:docPr id="7" name="图片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635" cy="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</a:ln>
                      </wps:spPr>
                      <wps:bodyPr upright="1"/>
                    </wps:wsp>
                  </a:graphicData>
                </a:graphic>
              </wp:inline>
            </w:drawing>
          </mc:Choice>
          <mc:Fallback>
            <w:pict>
              <v:rect id="图片 3" o:spid="_x0000_s1026" o:spt="1" style="height:0pt;width:0.05pt;" filled="f" stroked="f" coordsize="21600,21600" o:gfxdata="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">
                <v:path/>
                <v:fill on="f" focussize="0,0"/>
                <v:stroke on="f"/>
                <v:imagedata o:title=""/>
                <o:lock v:ext="edit" aspectratio="t"/>
                <w10:wrap type="none"/>
                <w10:anchorlock/>
              </v:rect>
            </w:pict>
          </mc:Fallback>
        </mc:AlternateContent>
      </w:r>
    </w:p>
    <w:p>
      <w:pPr>
        <w:rPr>
          <w:rFonts w:hint="eastAsia" w:eastAsia="宋体"/>
          <w:lang w:eastAsia="zh-CN"/>
        </w:rPr>
      </w:pPr>
      <w:r>
        <w:rPr>
          <w:rFonts w:hint="eastAsia"/>
          <w:lang w:eastAsia="zh-CN"/>
        </w:rPr>
        <w:t>减速机图纸：</w:t>
      </w:r>
    </w:p>
    <w:p>
      <w:r>
        <w:drawing>
          <wp:inline distT="0" distB="0" distL="114300" distR="114300">
            <wp:extent cx="5606415" cy="3959225"/>
            <wp:effectExtent l="0" t="0" r="13335" b="3175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06415" cy="3959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614670" cy="3018790"/>
            <wp:effectExtent l="0" t="0" r="5080" b="10160"/>
            <wp:docPr id="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4670" cy="3018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613400" cy="3004820"/>
            <wp:effectExtent l="0" t="0" r="6350" b="5080"/>
            <wp:docPr id="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3004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611495" cy="3007995"/>
            <wp:effectExtent l="0" t="0" r="8255" b="1905"/>
            <wp:docPr id="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1495" cy="30079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613400" cy="3017520"/>
            <wp:effectExtent l="0" t="0" r="6350" b="11430"/>
            <wp:docPr id="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3400" cy="3017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612130" cy="3028315"/>
            <wp:effectExtent l="0" t="0" r="7620" b="63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0283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608955" cy="3013075"/>
            <wp:effectExtent l="0" t="0" r="10795" b="1587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08955" cy="3013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614670" cy="3018790"/>
            <wp:effectExtent l="0" t="0" r="5080" b="10160"/>
            <wp:docPr id="1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4670" cy="3018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608955" cy="3013075"/>
            <wp:effectExtent l="0" t="0" r="10795" b="15875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08955" cy="3013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/>
    <w:sectPr>
      <w:headerReference r:id="rId3" w:type="default"/>
      <w:footerReference r:id="rId4" w:type="default"/>
      <w:pgSz w:w="11906" w:h="16838"/>
      <w:pgMar w:top="2098" w:right="1474" w:bottom="1984" w:left="1588" w:header="851" w:footer="992" w:gutter="0"/>
      <w:pgNumType w:fmt="decimal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DB5BD"/>
    <w:multiLevelType w:val="singleLevel"/>
    <w:tmpl w:val="58FDB5BD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F267F7"/>
    <w:rsid w:val="48F267F7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uiPriority w:val="0"/>
    <w:pPr>
      <w:tabs>
        <w:tab w:val="left" w:pos="7020"/>
      </w:tabs>
      <w:spacing w:line="400" w:lineRule="exact"/>
      <w:ind w:firstLine="640" w:firstLineChars="200"/>
    </w:pPr>
    <w:rPr>
      <w:rFonts w:ascii="仿宋_GB2312" w:hAnsi="宋体" w:eastAsia="仿宋_GB2312" w:cs="Times New Roman"/>
      <w:sz w:val="32"/>
      <w:szCs w:val="24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sh</Company>
  <Pages>1</Pages>
  <Words>0</Words>
  <Characters>0</Characters>
  <Lines>0</Lines>
  <Paragraphs>0</Paragraphs>
  <ScaleCrop>false</ScaleCrop>
  <LinksUpToDate>false</LinksUpToDate>
  <CharactersWithSpaces>0</CharactersWithSpaces>
  <Application>WPS Office_10.8.0.5874_F1E327BC-269C-435d-A152-05C5408002CA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2017-05-08T08:56:00Z</dcterms:created>
  <dc:creator>Administrator</dc:creator>
  <cp:lastModifiedBy>Administrator</cp:lastModifiedBy>
  <dcterms:modified xsi:type="dcterms:W3CDTF">2017-05-08T08:56:44Z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2052-10.8.0.5874</vt:lpwstr>
  </property>
</Properties>
</file>