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tabs>
          <w:tab w:val="left" w:pos="425"/>
        </w:tabs>
        <w:adjustRightInd w:val="0"/>
        <w:snapToGrid w:val="0"/>
        <w:spacing w:line="560" w:lineRule="exact"/>
        <w:rPr>
          <w:szCs w:val="32"/>
        </w:rPr>
      </w:pPr>
      <w:r>
        <w:rPr>
          <w:rFonts w:hint="eastAsia"/>
          <w:szCs w:val="32"/>
        </w:rPr>
        <w:t>报价要求：</w:t>
      </w:r>
    </w:p>
    <w:p>
      <w:pPr>
        <w:pStyle w:val="6"/>
        <w:tabs>
          <w:tab w:val="left" w:pos="425"/>
        </w:tabs>
        <w:adjustRightInd w:val="0"/>
        <w:snapToGrid w:val="0"/>
        <w:spacing w:line="560" w:lineRule="exact"/>
        <w:rPr>
          <w:szCs w:val="32"/>
        </w:rPr>
      </w:pPr>
      <w:r>
        <w:rPr>
          <w:rFonts w:hint="eastAsia"/>
          <w:szCs w:val="32"/>
        </w:rPr>
        <w:t>参与本项目的供应商应综合考虑服务发生的人工、材料、机械设备及现场临建、水、电等费用综合报价（含利润、税金）等完成本项目相关工作，报价包括但不限于以下内容：</w:t>
      </w:r>
    </w:p>
    <w:p>
      <w:pPr>
        <w:pStyle w:val="6"/>
        <w:tabs>
          <w:tab w:val="left" w:pos="425"/>
        </w:tabs>
        <w:adjustRightInd w:val="0"/>
        <w:snapToGrid w:val="0"/>
        <w:spacing w:line="560" w:lineRule="exact"/>
        <w:rPr>
          <w:szCs w:val="32"/>
        </w:rPr>
      </w:pPr>
      <w:r>
        <w:rPr>
          <w:szCs w:val="32"/>
        </w:rPr>
        <w:t>1.</w:t>
      </w:r>
      <w:r>
        <w:rPr>
          <w:rFonts w:hint="eastAsia"/>
          <w:szCs w:val="32"/>
        </w:rPr>
        <w:t>根据要求需建设的必要的临时设施而发生的费用（如水电源接通、排水、搭设脚手架、临时支撑等）；</w:t>
      </w:r>
    </w:p>
    <w:p>
      <w:pPr>
        <w:pStyle w:val="6"/>
        <w:tabs>
          <w:tab w:val="left" w:pos="425"/>
        </w:tabs>
        <w:adjustRightInd w:val="0"/>
        <w:snapToGrid w:val="0"/>
        <w:spacing w:line="560" w:lineRule="exact"/>
        <w:rPr>
          <w:szCs w:val="32"/>
        </w:rPr>
      </w:pPr>
      <w:r>
        <w:rPr>
          <w:szCs w:val="32"/>
        </w:rPr>
        <w:t>2.</w:t>
      </w:r>
      <w:r>
        <w:rPr>
          <w:rFonts w:hint="eastAsia"/>
          <w:szCs w:val="32"/>
        </w:rPr>
        <w:t>设备及机具拆装采取的措施；</w:t>
      </w:r>
    </w:p>
    <w:p>
      <w:pPr>
        <w:pStyle w:val="6"/>
        <w:tabs>
          <w:tab w:val="left" w:pos="425"/>
        </w:tabs>
        <w:adjustRightInd w:val="0"/>
        <w:snapToGrid w:val="0"/>
        <w:spacing w:line="560" w:lineRule="exact"/>
        <w:rPr>
          <w:szCs w:val="32"/>
        </w:rPr>
      </w:pPr>
      <w:r>
        <w:rPr>
          <w:szCs w:val="32"/>
        </w:rPr>
        <w:t>3.</w:t>
      </w:r>
      <w:r>
        <w:rPr>
          <w:rFonts w:hint="eastAsia"/>
          <w:szCs w:val="32"/>
        </w:rPr>
        <w:t>本项目实施中可能发生的安全问题的治理防范措施费；</w:t>
      </w:r>
    </w:p>
    <w:p>
      <w:pPr>
        <w:pStyle w:val="6"/>
        <w:tabs>
          <w:tab w:val="left" w:pos="425"/>
        </w:tabs>
        <w:adjustRightInd w:val="0"/>
        <w:snapToGrid w:val="0"/>
        <w:spacing w:line="560" w:lineRule="exact"/>
        <w:rPr>
          <w:szCs w:val="32"/>
        </w:rPr>
      </w:pPr>
      <w:r>
        <w:rPr>
          <w:szCs w:val="32"/>
        </w:rPr>
        <w:t>4.</w:t>
      </w:r>
      <w:r>
        <w:rPr>
          <w:rFonts w:hint="eastAsia"/>
          <w:szCs w:val="32"/>
        </w:rPr>
        <w:t>合同中各类风险费用（如技术参数变化、防风、防火、防雨等）；</w:t>
      </w:r>
    </w:p>
    <w:p>
      <w:pPr>
        <w:pStyle w:val="6"/>
        <w:tabs>
          <w:tab w:val="left" w:pos="425"/>
        </w:tabs>
        <w:adjustRightInd w:val="0"/>
        <w:snapToGrid w:val="0"/>
        <w:spacing w:line="560" w:lineRule="exact"/>
        <w:rPr>
          <w:szCs w:val="32"/>
        </w:rPr>
      </w:pPr>
      <w:r>
        <w:rPr>
          <w:szCs w:val="32"/>
        </w:rPr>
        <w:t>5.</w:t>
      </w:r>
      <w:r>
        <w:rPr>
          <w:rFonts w:hint="eastAsia"/>
          <w:szCs w:val="32"/>
        </w:rPr>
        <w:t>垃圾废弃物清理搬运、施工区域清扫及为满足招标人规定的文明施工要求所发生的费用；</w:t>
      </w:r>
    </w:p>
    <w:p>
      <w:pPr>
        <w:pStyle w:val="6"/>
        <w:tabs>
          <w:tab w:val="left" w:pos="425"/>
        </w:tabs>
        <w:adjustRightInd w:val="0"/>
        <w:snapToGrid w:val="0"/>
        <w:spacing w:line="560" w:lineRule="exact"/>
        <w:rPr>
          <w:szCs w:val="32"/>
        </w:rPr>
      </w:pPr>
      <w:r>
        <w:rPr>
          <w:szCs w:val="32"/>
        </w:rPr>
        <w:t>6.</w:t>
      </w:r>
      <w:r>
        <w:rPr>
          <w:rFonts w:hint="eastAsia"/>
          <w:szCs w:val="32"/>
        </w:rPr>
        <w:t>投标人认为为完成本项目所必需的其它费用；</w:t>
      </w:r>
    </w:p>
    <w:p>
      <w:pPr>
        <w:pStyle w:val="6"/>
        <w:tabs>
          <w:tab w:val="left" w:pos="425"/>
        </w:tabs>
        <w:adjustRightInd w:val="0"/>
        <w:snapToGrid w:val="0"/>
        <w:spacing w:line="560" w:lineRule="exact"/>
        <w:rPr>
          <w:szCs w:val="32"/>
        </w:rPr>
      </w:pPr>
      <w:r>
        <w:rPr>
          <w:szCs w:val="32"/>
        </w:rPr>
        <w:t>7.</w:t>
      </w:r>
      <w:r>
        <w:rPr>
          <w:rFonts w:hint="eastAsia"/>
          <w:szCs w:val="32"/>
        </w:rPr>
        <w:t>本项目的报价全部采用人民币含税价格（需提供增值税专用发票）。</w:t>
      </w:r>
    </w:p>
    <w:p>
      <w:pPr>
        <w:snapToGrid w:val="0"/>
        <w:spacing w:line="480" w:lineRule="exact"/>
        <w:jc w:val="center"/>
        <w:rPr>
          <w:rFonts w:asciiTheme="minorEastAsia" w:hAnsiTheme="minorEastAsia"/>
        </w:rPr>
        <w:sectPr>
          <w:headerReference r:id="rId5" w:type="first"/>
          <w:footerReference r:id="rId8" w:type="first"/>
          <w:headerReference r:id="rId3" w:type="default"/>
          <w:footerReference r:id="rId6" w:type="default"/>
          <w:headerReference r:id="rId4" w:type="even"/>
          <w:footerReference r:id="rId7" w:type="even"/>
          <w:pgSz w:w="11906" w:h="16838"/>
          <w:pgMar w:top="1701" w:right="1531" w:bottom="1701" w:left="1531" w:header="851" w:footer="992" w:gutter="0"/>
          <w:cols w:space="720" w:num="1"/>
          <w:titlePg/>
          <w:docGrid w:type="lines" w:linePitch="326" w:charSpace="0"/>
        </w:sectPr>
      </w:pPr>
    </w:p>
    <w:p>
      <w:pPr>
        <w:snapToGrid w:val="0"/>
        <w:spacing w:line="480" w:lineRule="exact"/>
        <w:jc w:val="center"/>
        <w:rPr>
          <w:rFonts w:asciiTheme="minorEastAsia" w:hAnsiTheme="minorEastAsia"/>
        </w:rPr>
      </w:pPr>
    </w:p>
    <w:p>
      <w:pPr>
        <w:snapToGrid w:val="0"/>
        <w:spacing w:line="480" w:lineRule="exact"/>
        <w:jc w:val="center"/>
        <w:rPr>
          <w:rFonts w:asciiTheme="minorEastAsia" w:hAnsiTheme="minorEastAsia"/>
        </w:rPr>
      </w:pPr>
    </w:p>
    <w:p>
      <w:pPr>
        <w:snapToGrid w:val="0"/>
        <w:spacing w:line="480" w:lineRule="exact"/>
        <w:jc w:val="center"/>
        <w:rPr>
          <w:rFonts w:asciiTheme="minorEastAsia" w:hAnsiTheme="minorEastAsia"/>
        </w:rPr>
      </w:pPr>
    </w:p>
    <w:p>
      <w:pPr>
        <w:snapToGrid w:val="0"/>
        <w:spacing w:line="480" w:lineRule="exact"/>
        <w:jc w:val="center"/>
        <w:rPr>
          <w:rFonts w:asciiTheme="minorEastAsia" w:hAnsiTheme="minorEastAsia"/>
        </w:rPr>
      </w:pPr>
    </w:p>
    <w:p>
      <w:pPr>
        <w:snapToGrid w:val="0"/>
        <w:spacing w:line="480" w:lineRule="exact"/>
        <w:jc w:val="center"/>
        <w:rPr>
          <w:rFonts w:asciiTheme="minorEastAsia" w:hAnsiTheme="minorEastAsia"/>
        </w:rPr>
      </w:pPr>
    </w:p>
    <w:p>
      <w:pPr>
        <w:adjustRightInd w:val="0"/>
        <w:snapToGrid w:val="0"/>
        <w:spacing w:line="360" w:lineRule="auto"/>
        <w:jc w:val="center"/>
        <w:rPr>
          <w:rFonts w:hint="eastAsia" w:ascii="黑体" w:hAnsi="宋体" w:eastAsia="黑体"/>
          <w:b/>
          <w:bCs/>
          <w:spacing w:val="6"/>
          <w:sz w:val="36"/>
          <w:szCs w:val="36"/>
        </w:rPr>
      </w:pPr>
      <w:r>
        <w:rPr>
          <w:rFonts w:hint="eastAsia" w:ascii="黑体" w:hAnsi="宋体" w:eastAsia="黑体"/>
          <w:b/>
          <w:bCs/>
          <w:spacing w:val="6"/>
          <w:sz w:val="36"/>
          <w:szCs w:val="36"/>
        </w:rPr>
        <w:t>黄骅港电机国产化改造项目技术规格书</w:t>
      </w: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rPr>
      </w:pPr>
    </w:p>
    <w:p>
      <w:pPr>
        <w:adjustRightInd w:val="0"/>
        <w:snapToGrid w:val="0"/>
        <w:spacing w:line="360" w:lineRule="auto"/>
        <w:jc w:val="center"/>
        <w:rPr>
          <w:rFonts w:hint="eastAsia" w:ascii="宋体" w:hAnsi="宋体"/>
          <w:b/>
          <w:spacing w:val="6"/>
          <w:sz w:val="32"/>
          <w:szCs w:val="32"/>
        </w:rPr>
      </w:pPr>
    </w:p>
    <w:p>
      <w:pPr>
        <w:adjustRightInd w:val="0"/>
        <w:snapToGrid w:val="0"/>
        <w:spacing w:line="360" w:lineRule="auto"/>
        <w:jc w:val="center"/>
        <w:rPr>
          <w:rFonts w:hint="eastAsia" w:ascii="宋体" w:hAnsi="宋体"/>
          <w:b/>
          <w:bCs/>
          <w:spacing w:val="6"/>
          <w:sz w:val="32"/>
          <w:szCs w:val="32"/>
        </w:rPr>
      </w:pPr>
      <w:r>
        <w:rPr>
          <w:rFonts w:hint="eastAsia" w:ascii="宋体" w:hAnsi="宋体"/>
          <w:b/>
          <w:bCs/>
          <w:spacing w:val="6"/>
          <w:sz w:val="32"/>
          <w:szCs w:val="32"/>
        </w:rPr>
        <w:t>神华黄骅港务公司</w:t>
      </w:r>
    </w:p>
    <w:p>
      <w:pPr>
        <w:adjustRightInd w:val="0"/>
        <w:snapToGrid w:val="0"/>
        <w:spacing w:line="360" w:lineRule="auto"/>
        <w:jc w:val="center"/>
        <w:rPr>
          <w:rFonts w:hint="eastAsia" w:ascii="宋体" w:hAnsi="宋体"/>
          <w:b/>
          <w:sz w:val="32"/>
          <w:szCs w:val="32"/>
        </w:rPr>
      </w:pPr>
      <w:r>
        <w:rPr>
          <w:rFonts w:hint="eastAsia" w:ascii="宋体" w:hAnsi="宋体"/>
          <w:b/>
          <w:spacing w:val="6"/>
          <w:sz w:val="32"/>
          <w:szCs w:val="32"/>
        </w:rPr>
        <w:t>2017年</w:t>
      </w:r>
      <w:r>
        <w:rPr>
          <w:rFonts w:hint="eastAsia" w:ascii="宋体" w:hAnsi="宋体"/>
          <w:b/>
          <w:spacing w:val="6"/>
          <w:sz w:val="32"/>
          <w:szCs w:val="32"/>
          <w:lang w:val="en-US" w:eastAsia="zh-CN"/>
        </w:rPr>
        <w:t>4</w:t>
      </w:r>
      <w:r>
        <w:rPr>
          <w:rFonts w:hint="eastAsia" w:ascii="宋体" w:hAnsi="宋体"/>
          <w:b/>
          <w:spacing w:val="6"/>
          <w:sz w:val="32"/>
          <w:szCs w:val="32"/>
        </w:rPr>
        <w:t>月</w:t>
      </w:r>
    </w:p>
    <w:p>
      <w:pPr>
        <w:spacing w:after="240" w:line="560" w:lineRule="exact"/>
        <w:ind w:firstLine="315" w:firstLineChars="150"/>
        <w:jc w:val="center"/>
        <w:rPr>
          <w:rFonts w:ascii="宋体" w:hAnsi="宋体"/>
          <w:b/>
          <w:szCs w:val="21"/>
        </w:rPr>
        <w:sectPr>
          <w:pgSz w:w="11906" w:h="16838"/>
          <w:pgMar w:top="1701" w:right="1531" w:bottom="1701" w:left="1531" w:header="851" w:footer="992" w:gutter="0"/>
          <w:cols w:space="720" w:num="1"/>
          <w:titlePg/>
          <w:docGrid w:type="lines" w:linePitch="326" w:charSpace="0"/>
        </w:sectPr>
      </w:pPr>
    </w:p>
    <w:p>
      <w:pPr>
        <w:spacing w:line="560" w:lineRule="exact"/>
        <w:outlineLvl w:val="0"/>
        <w:rPr>
          <w:rFonts w:ascii="宋体"/>
          <w:b/>
          <w:bCs/>
          <w:sz w:val="28"/>
        </w:rPr>
      </w:pPr>
      <w:bookmarkStart w:id="0" w:name="_Toc376968404"/>
      <w:bookmarkStart w:id="1" w:name="_Toc384969130"/>
      <w:bookmarkStart w:id="2" w:name="_Toc468881966"/>
      <w:r>
        <w:rPr>
          <w:rFonts w:hint="eastAsia" w:ascii="宋体"/>
          <w:b/>
          <w:bCs/>
          <w:sz w:val="28"/>
        </w:rPr>
        <w:t>1.总则</w:t>
      </w:r>
      <w:bookmarkEnd w:id="0"/>
    </w:p>
    <w:p>
      <w:pPr>
        <w:spacing w:line="560" w:lineRule="exact"/>
        <w:ind w:firstLine="560" w:firstLineChars="200"/>
        <w:outlineLvl w:val="0"/>
        <w:rPr>
          <w:rFonts w:ascii="宋体"/>
          <w:bCs/>
          <w:sz w:val="28"/>
        </w:rPr>
      </w:pPr>
      <w:r>
        <w:rPr>
          <w:rFonts w:hint="eastAsia" w:ascii="宋体"/>
          <w:bCs/>
          <w:sz w:val="28"/>
        </w:rPr>
        <w:t>1.1本规格书适用于神华黄骅港务有限责任公司电机国产化改造项目的基本技术要求和主要技术参数的有关条款，并非该项目的所有细节。投标方应仔细阅读，如发现有疑问、不详和矛盾之处，请立即与神华黄骅港务有限公司(以下简称招标方)联系。</w:t>
      </w:r>
    </w:p>
    <w:p>
      <w:pPr>
        <w:spacing w:line="560" w:lineRule="exact"/>
        <w:ind w:firstLine="560" w:firstLineChars="200"/>
        <w:outlineLvl w:val="0"/>
        <w:rPr>
          <w:rFonts w:ascii="宋体"/>
          <w:bCs/>
          <w:sz w:val="28"/>
        </w:rPr>
      </w:pPr>
      <w:r>
        <w:rPr>
          <w:rFonts w:hint="eastAsia" w:ascii="宋体"/>
          <w:bCs/>
          <w:sz w:val="28"/>
        </w:rPr>
        <w:t>上述项目施工于神华黄骅港务有限公司一</w:t>
      </w:r>
      <w:r>
        <w:rPr>
          <w:rFonts w:hint="eastAsia" w:ascii="宋体"/>
          <w:bCs/>
          <w:sz w:val="28"/>
          <w:lang w:eastAsia="zh-CN"/>
        </w:rPr>
        <w:t>、二</w:t>
      </w:r>
      <w:r>
        <w:rPr>
          <w:rFonts w:hint="eastAsia" w:ascii="宋体"/>
          <w:bCs/>
          <w:sz w:val="28"/>
        </w:rPr>
        <w:t>期堆场及三期筒仓。</w:t>
      </w:r>
    </w:p>
    <w:p>
      <w:pPr>
        <w:spacing w:line="560" w:lineRule="exact"/>
        <w:ind w:firstLine="560" w:firstLineChars="200"/>
        <w:outlineLvl w:val="0"/>
        <w:rPr>
          <w:rFonts w:ascii="宋体"/>
          <w:bCs/>
          <w:sz w:val="28"/>
        </w:rPr>
      </w:pPr>
      <w:r>
        <w:rPr>
          <w:rFonts w:hint="eastAsia" w:ascii="宋体"/>
          <w:bCs/>
          <w:sz w:val="28"/>
        </w:rPr>
        <w:t>1.2本规格书所使用的标准如与投标方所执行的标准发生矛盾时，按较高标准执行。</w:t>
      </w:r>
    </w:p>
    <w:p>
      <w:pPr>
        <w:spacing w:line="560" w:lineRule="exact"/>
        <w:ind w:firstLine="560" w:firstLineChars="200"/>
        <w:outlineLvl w:val="0"/>
        <w:rPr>
          <w:rFonts w:ascii="宋体"/>
          <w:bCs/>
          <w:sz w:val="28"/>
        </w:rPr>
      </w:pPr>
      <w:r>
        <w:rPr>
          <w:rFonts w:hint="eastAsia" w:ascii="宋体"/>
          <w:bCs/>
          <w:sz w:val="28"/>
        </w:rPr>
        <w:t>1.3在签订合同后，招标方有</w:t>
      </w:r>
      <w:bookmarkStart w:id="16" w:name="_GoBack"/>
      <w:bookmarkEnd w:id="16"/>
      <w:r>
        <w:rPr>
          <w:rFonts w:hint="eastAsia" w:ascii="宋体"/>
          <w:bCs/>
          <w:sz w:val="28"/>
        </w:rPr>
        <w:t>权提出因标准、规范和规程发生变化而产生的一些修订要求，具体事项宜由双方共同协商确定。</w:t>
      </w:r>
    </w:p>
    <w:p>
      <w:pPr>
        <w:spacing w:line="560" w:lineRule="exact"/>
        <w:ind w:firstLine="560" w:firstLineChars="200"/>
        <w:outlineLvl w:val="0"/>
        <w:rPr>
          <w:rFonts w:ascii="宋体"/>
          <w:bCs/>
          <w:sz w:val="28"/>
        </w:rPr>
      </w:pPr>
      <w:r>
        <w:rPr>
          <w:rFonts w:hint="eastAsia" w:ascii="宋体"/>
          <w:bCs/>
          <w:sz w:val="28"/>
        </w:rPr>
        <w:t>1.4 如果投标方没有以书面形式对本规格书的条文提出异议，则意味着投标方提供的设备完全符合本规格书的要求。</w:t>
      </w:r>
    </w:p>
    <w:p>
      <w:pPr>
        <w:spacing w:line="560" w:lineRule="exact"/>
        <w:ind w:firstLine="560" w:firstLineChars="200"/>
        <w:outlineLvl w:val="0"/>
        <w:rPr>
          <w:rFonts w:hint="eastAsia" w:ascii="宋体"/>
          <w:bCs/>
          <w:sz w:val="28"/>
        </w:rPr>
      </w:pPr>
      <w:r>
        <w:rPr>
          <w:rFonts w:hint="eastAsia" w:ascii="宋体"/>
          <w:bCs/>
          <w:sz w:val="28"/>
        </w:rPr>
        <w:t>1.5本规格书经双方确认后作为订货合同的技术附件，与合同正文具有同等效力。</w:t>
      </w:r>
      <w:bookmarkEnd w:id="1"/>
      <w:bookmarkStart w:id="3" w:name="_Toc384969131"/>
    </w:p>
    <w:p>
      <w:pPr>
        <w:spacing w:line="560" w:lineRule="exact"/>
        <w:outlineLvl w:val="0"/>
        <w:rPr>
          <w:rFonts w:hint="eastAsia" w:ascii="宋体"/>
          <w:b/>
          <w:bCs/>
          <w:sz w:val="28"/>
        </w:rPr>
      </w:pPr>
      <w:r>
        <w:rPr>
          <w:rFonts w:hint="eastAsia" w:ascii="宋体"/>
          <w:b/>
          <w:bCs/>
          <w:sz w:val="28"/>
        </w:rPr>
        <w:t>2.工程概况</w:t>
      </w:r>
    </w:p>
    <w:bookmarkEnd w:id="2"/>
    <w:bookmarkEnd w:id="3"/>
    <w:p>
      <w:pPr>
        <w:snapToGrid w:val="0"/>
        <w:spacing w:line="360" w:lineRule="auto"/>
        <w:ind w:firstLine="560" w:firstLineChars="200"/>
        <w:rPr>
          <w:rFonts w:hint="eastAsia" w:ascii="宋体"/>
          <w:bCs/>
          <w:sz w:val="28"/>
        </w:rPr>
      </w:pPr>
      <w:r>
        <w:rPr>
          <w:rFonts w:hint="eastAsia" w:ascii="宋体"/>
          <w:bCs/>
          <w:sz w:val="28"/>
        </w:rPr>
        <w:t>2.1供货范围</w:t>
      </w:r>
    </w:p>
    <w:p>
      <w:pPr>
        <w:snapToGrid w:val="0"/>
        <w:spacing w:line="360" w:lineRule="auto"/>
        <w:ind w:firstLine="560" w:firstLineChars="200"/>
        <w:rPr>
          <w:rFonts w:hint="eastAsia" w:ascii="宋体"/>
          <w:bCs/>
          <w:sz w:val="28"/>
        </w:rPr>
      </w:pPr>
      <w:r>
        <w:rPr>
          <w:rFonts w:hint="eastAsia" w:ascii="宋体"/>
          <w:bCs/>
          <w:sz w:val="28"/>
        </w:rPr>
        <w:t>投标方应提供国产电机的设计、制造、运输、交货、</w:t>
      </w:r>
      <w:r>
        <w:rPr>
          <w:rFonts w:hint="eastAsia" w:ascii="宋体"/>
          <w:bCs/>
          <w:sz w:val="28"/>
          <w:lang w:eastAsia="zh-CN"/>
        </w:rPr>
        <w:t>安装、指导</w:t>
      </w:r>
      <w:r>
        <w:rPr>
          <w:rFonts w:hint="eastAsia" w:ascii="宋体"/>
          <w:bCs/>
          <w:sz w:val="28"/>
        </w:rPr>
        <w:t>及售后服务等其他必要的技术服务。</w:t>
      </w:r>
    </w:p>
    <w:p>
      <w:pPr>
        <w:snapToGrid w:val="0"/>
        <w:spacing w:line="360" w:lineRule="auto"/>
        <w:ind w:firstLine="560" w:firstLineChars="200"/>
        <w:rPr>
          <w:rFonts w:hint="eastAsia" w:ascii="宋体"/>
          <w:bCs/>
          <w:sz w:val="28"/>
        </w:rPr>
      </w:pPr>
      <w:r>
        <w:rPr>
          <w:rFonts w:hint="eastAsia" w:ascii="宋体"/>
          <w:bCs/>
          <w:sz w:val="28"/>
        </w:rPr>
        <w:t>详细供货范围见下表：</w:t>
      </w:r>
      <w:bookmarkStart w:id="4" w:name="_Toc468881967"/>
      <w:bookmarkStart w:id="5" w:name="_Toc384969137"/>
    </w:p>
    <w:tbl>
      <w:tblPr>
        <w:tblStyle w:val="14"/>
        <w:tblW w:w="9431" w:type="dxa"/>
        <w:jc w:val="center"/>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2982"/>
        <w:gridCol w:w="1418"/>
        <w:gridCol w:w="3160"/>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jc w:val="center"/>
        </w:trPr>
        <w:tc>
          <w:tcPr>
            <w:tcW w:w="856" w:type="dxa"/>
            <w:vAlign w:val="center"/>
          </w:tcPr>
          <w:p>
            <w:pPr>
              <w:spacing w:line="360" w:lineRule="auto"/>
              <w:jc w:val="center"/>
              <w:rPr>
                <w:rFonts w:ascii="宋体"/>
                <w:b/>
                <w:szCs w:val="21"/>
              </w:rPr>
            </w:pPr>
            <w:r>
              <w:rPr>
                <w:rFonts w:hint="eastAsia" w:ascii="宋体" w:hAnsi="宋体"/>
                <w:b/>
                <w:szCs w:val="21"/>
              </w:rPr>
              <w:t>序号</w:t>
            </w:r>
          </w:p>
        </w:tc>
        <w:tc>
          <w:tcPr>
            <w:tcW w:w="2982" w:type="dxa"/>
            <w:vAlign w:val="center"/>
          </w:tcPr>
          <w:p>
            <w:pPr>
              <w:spacing w:line="360" w:lineRule="auto"/>
              <w:jc w:val="center"/>
              <w:rPr>
                <w:rFonts w:ascii="宋体"/>
                <w:b/>
                <w:sz w:val="24"/>
              </w:rPr>
            </w:pPr>
            <w:r>
              <w:rPr>
                <w:rFonts w:hint="eastAsia" w:ascii="宋体" w:hAnsi="宋体"/>
                <w:b/>
                <w:sz w:val="24"/>
              </w:rPr>
              <w:t>物料描述</w:t>
            </w:r>
          </w:p>
        </w:tc>
        <w:tc>
          <w:tcPr>
            <w:tcW w:w="1418" w:type="dxa"/>
            <w:vAlign w:val="center"/>
          </w:tcPr>
          <w:p>
            <w:pPr>
              <w:spacing w:line="360" w:lineRule="auto"/>
              <w:jc w:val="center"/>
              <w:rPr>
                <w:rFonts w:ascii="宋体" w:hAnsi="宋体"/>
                <w:b/>
                <w:sz w:val="24"/>
              </w:rPr>
            </w:pPr>
            <w:r>
              <w:rPr>
                <w:rFonts w:hint="eastAsia" w:ascii="宋体" w:hAnsi="宋体"/>
                <w:b/>
                <w:sz w:val="24"/>
              </w:rPr>
              <w:t>数量</w:t>
            </w:r>
            <w:r>
              <w:rPr>
                <w:rFonts w:ascii="宋体" w:hAnsi="宋体"/>
                <w:b/>
                <w:sz w:val="24"/>
              </w:rPr>
              <w:t>(</w:t>
            </w:r>
            <w:r>
              <w:rPr>
                <w:rFonts w:hint="eastAsia" w:ascii="宋体" w:hAnsi="宋体"/>
                <w:b/>
                <w:sz w:val="24"/>
              </w:rPr>
              <w:t>套</w:t>
            </w:r>
            <w:r>
              <w:rPr>
                <w:rFonts w:ascii="宋体" w:hAnsi="宋体"/>
                <w:b/>
                <w:sz w:val="24"/>
              </w:rPr>
              <w:t>)</w:t>
            </w:r>
          </w:p>
        </w:tc>
        <w:tc>
          <w:tcPr>
            <w:tcW w:w="3160" w:type="dxa"/>
            <w:vAlign w:val="center"/>
          </w:tcPr>
          <w:p>
            <w:pPr>
              <w:spacing w:line="360" w:lineRule="auto"/>
              <w:jc w:val="center"/>
              <w:rPr>
                <w:rFonts w:ascii="宋体"/>
                <w:b/>
                <w:sz w:val="24"/>
              </w:rPr>
            </w:pPr>
            <w:r>
              <w:rPr>
                <w:rFonts w:hint="eastAsia" w:ascii="宋体" w:hAnsi="宋体"/>
                <w:b/>
                <w:sz w:val="24"/>
              </w:rPr>
              <w:t>参数</w:t>
            </w:r>
          </w:p>
        </w:tc>
        <w:tc>
          <w:tcPr>
            <w:tcW w:w="1015" w:type="dxa"/>
            <w:vAlign w:val="center"/>
          </w:tcPr>
          <w:p>
            <w:pPr>
              <w:spacing w:line="360" w:lineRule="auto"/>
              <w:jc w:val="center"/>
              <w:rPr>
                <w:rFonts w:asci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56" w:type="dxa"/>
            <w:vAlign w:val="center"/>
          </w:tcPr>
          <w:p>
            <w:pPr>
              <w:spacing w:line="360" w:lineRule="auto"/>
              <w:jc w:val="center"/>
              <w:rPr>
                <w:rFonts w:ascii="宋体" w:hAnsi="宋体"/>
                <w:sz w:val="24"/>
              </w:rPr>
            </w:pPr>
            <w:r>
              <w:rPr>
                <w:rFonts w:ascii="宋体" w:hAnsi="宋体"/>
                <w:sz w:val="24"/>
              </w:rPr>
              <w:t>1</w:t>
            </w:r>
          </w:p>
        </w:tc>
        <w:tc>
          <w:tcPr>
            <w:tcW w:w="2982" w:type="dxa"/>
            <w:vAlign w:val="center"/>
          </w:tcPr>
          <w:p>
            <w:pPr>
              <w:widowControl/>
              <w:jc w:val="center"/>
              <w:textAlignment w:val="center"/>
              <w:rPr>
                <w:rFonts w:ascii="宋体" w:hAnsi="宋体" w:cs="宋体"/>
                <w:kern w:val="0"/>
                <w:sz w:val="24"/>
              </w:rPr>
            </w:pPr>
            <w:r>
              <w:rPr>
                <w:rFonts w:hint="eastAsia"/>
                <w:szCs w:val="32"/>
                <w:lang w:eastAsia="zh-CN"/>
              </w:rPr>
              <w:t>一二期</w:t>
            </w:r>
            <w:r>
              <w:rPr>
                <w:rFonts w:hint="eastAsia"/>
                <w:szCs w:val="32"/>
                <w:lang w:val="en-US" w:eastAsia="zh-CN"/>
              </w:rPr>
              <w:t>6000T/h取料机(三菱设计）</w:t>
            </w:r>
            <w:r>
              <w:rPr>
                <w:rFonts w:hint="eastAsia"/>
                <w:szCs w:val="32"/>
                <w:lang w:eastAsia="zh-CN"/>
              </w:rPr>
              <w:t>行走电机</w:t>
            </w:r>
          </w:p>
        </w:tc>
        <w:tc>
          <w:tcPr>
            <w:tcW w:w="1418" w:type="dxa"/>
            <w:vAlign w:val="center"/>
          </w:tcPr>
          <w:p>
            <w:pPr>
              <w:widowControl/>
              <w:jc w:val="center"/>
              <w:textAlignment w:val="center"/>
              <w:rPr>
                <w:rFonts w:hint="eastAsia"/>
                <w:szCs w:val="32"/>
                <w:lang w:eastAsia="zh-CN"/>
              </w:rPr>
            </w:pPr>
            <w:r>
              <w:rPr>
                <w:rFonts w:hint="eastAsia"/>
                <w:szCs w:val="32"/>
                <w:lang w:val="en-US" w:eastAsia="zh-CN"/>
              </w:rPr>
              <w:t>50</w:t>
            </w:r>
          </w:p>
        </w:tc>
        <w:tc>
          <w:tcPr>
            <w:tcW w:w="3160" w:type="dxa"/>
            <w:vAlign w:val="center"/>
          </w:tcPr>
          <w:p>
            <w:pPr>
              <w:widowControl/>
              <w:jc w:val="center"/>
              <w:textAlignment w:val="center"/>
              <w:rPr>
                <w:rFonts w:hint="eastAsia"/>
                <w:szCs w:val="32"/>
                <w:lang w:eastAsia="zh-CN"/>
              </w:rPr>
            </w:pPr>
            <w:r>
              <w:rPr>
                <w:rFonts w:hint="eastAsia"/>
                <w:szCs w:val="32"/>
                <w:lang w:eastAsia="zh-CN"/>
              </w:rPr>
              <w:t>详见技术要求</w:t>
            </w:r>
          </w:p>
        </w:tc>
        <w:tc>
          <w:tcPr>
            <w:tcW w:w="1015" w:type="dxa"/>
            <w:vAlign w:val="center"/>
          </w:tcPr>
          <w:p>
            <w:pPr>
              <w:widowControl/>
              <w:jc w:val="center"/>
              <w:textAlignment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56" w:type="dxa"/>
            <w:vAlign w:val="center"/>
          </w:tcPr>
          <w:p>
            <w:pPr>
              <w:spacing w:line="360" w:lineRule="auto"/>
              <w:jc w:val="center"/>
              <w:rPr>
                <w:rFonts w:ascii="宋体" w:hAnsi="宋体"/>
                <w:sz w:val="24"/>
              </w:rPr>
            </w:pPr>
            <w:r>
              <w:rPr>
                <w:rFonts w:ascii="宋体" w:hAnsi="宋体"/>
                <w:sz w:val="24"/>
              </w:rPr>
              <w:t>2</w:t>
            </w:r>
          </w:p>
        </w:tc>
        <w:tc>
          <w:tcPr>
            <w:tcW w:w="2982" w:type="dxa"/>
            <w:vAlign w:val="center"/>
          </w:tcPr>
          <w:p>
            <w:pPr>
              <w:widowControl/>
              <w:jc w:val="center"/>
              <w:textAlignment w:val="center"/>
              <w:rPr>
                <w:rFonts w:ascii="宋体" w:hAnsi="宋体" w:cs="宋体"/>
                <w:kern w:val="0"/>
                <w:sz w:val="24"/>
              </w:rPr>
            </w:pPr>
            <w:r>
              <w:rPr>
                <w:rFonts w:hint="eastAsia"/>
                <w:szCs w:val="32"/>
                <w:lang w:eastAsia="zh-CN"/>
              </w:rPr>
              <w:t>三期筒仓活化给料机振动电机</w:t>
            </w:r>
          </w:p>
        </w:tc>
        <w:tc>
          <w:tcPr>
            <w:tcW w:w="1418" w:type="dxa"/>
            <w:vAlign w:val="center"/>
          </w:tcPr>
          <w:p>
            <w:pPr>
              <w:widowControl/>
              <w:jc w:val="center"/>
              <w:textAlignment w:val="center"/>
              <w:rPr>
                <w:rFonts w:hint="eastAsia"/>
                <w:szCs w:val="32"/>
                <w:lang w:eastAsia="zh-CN"/>
              </w:rPr>
            </w:pPr>
            <w:r>
              <w:rPr>
                <w:rFonts w:hint="eastAsia"/>
                <w:szCs w:val="32"/>
                <w:lang w:val="en-US" w:eastAsia="zh-CN"/>
              </w:rPr>
              <w:t>10</w:t>
            </w:r>
          </w:p>
        </w:tc>
        <w:tc>
          <w:tcPr>
            <w:tcW w:w="3160" w:type="dxa"/>
            <w:vAlign w:val="center"/>
          </w:tcPr>
          <w:p>
            <w:pPr>
              <w:widowControl/>
              <w:jc w:val="center"/>
              <w:textAlignment w:val="center"/>
              <w:rPr>
                <w:rFonts w:hint="eastAsia"/>
                <w:szCs w:val="32"/>
                <w:lang w:eastAsia="zh-CN"/>
              </w:rPr>
            </w:pPr>
            <w:r>
              <w:rPr>
                <w:rFonts w:hint="eastAsia"/>
                <w:szCs w:val="32"/>
                <w:lang w:eastAsia="zh-CN"/>
              </w:rPr>
              <w:t>详见技术要求</w:t>
            </w:r>
          </w:p>
        </w:tc>
        <w:tc>
          <w:tcPr>
            <w:tcW w:w="1015" w:type="dxa"/>
            <w:vAlign w:val="center"/>
          </w:tcPr>
          <w:p>
            <w:pPr>
              <w:widowControl/>
              <w:jc w:val="both"/>
              <w:textAlignment w:val="center"/>
              <w:rPr>
                <w:rFonts w:ascii="宋体" w:hAnsi="宋体" w:cs="宋体"/>
                <w:kern w:val="0"/>
                <w:szCs w:val="21"/>
              </w:rPr>
            </w:pPr>
          </w:p>
        </w:tc>
      </w:tr>
    </w:tbl>
    <w:p>
      <w:pPr>
        <w:snapToGrid w:val="0"/>
        <w:spacing w:line="360" w:lineRule="auto"/>
        <w:ind w:firstLine="560" w:firstLineChars="200"/>
        <w:rPr>
          <w:rFonts w:hint="eastAsia" w:ascii="宋体"/>
          <w:bCs/>
          <w:sz w:val="28"/>
        </w:rPr>
      </w:pPr>
      <w:r>
        <w:rPr>
          <w:rFonts w:hint="eastAsia" w:ascii="宋体"/>
          <w:bCs/>
          <w:sz w:val="28"/>
        </w:rPr>
        <w:t>2.2总体要求</w:t>
      </w:r>
      <w:bookmarkEnd w:id="4"/>
      <w:bookmarkEnd w:id="5"/>
    </w:p>
    <w:p>
      <w:pPr>
        <w:snapToGrid w:val="0"/>
        <w:spacing w:line="360" w:lineRule="auto"/>
        <w:ind w:firstLine="560" w:firstLineChars="200"/>
        <w:rPr>
          <w:rFonts w:hint="eastAsia" w:ascii="宋体"/>
          <w:bCs/>
          <w:sz w:val="28"/>
        </w:rPr>
      </w:pPr>
      <w:r>
        <w:rPr>
          <w:rFonts w:hint="eastAsia" w:ascii="宋体"/>
          <w:bCs/>
          <w:sz w:val="28"/>
        </w:rPr>
        <w:t>2.2.1投标方提供设备的设计、制造、包装、运输、储存、安装、调试和验收应遵循相应的国际、国内标准和规范。</w:t>
      </w:r>
    </w:p>
    <w:p>
      <w:pPr>
        <w:snapToGrid w:val="0"/>
        <w:spacing w:line="360" w:lineRule="auto"/>
        <w:ind w:firstLine="560" w:firstLineChars="200"/>
        <w:rPr>
          <w:rFonts w:hint="eastAsia" w:ascii="宋体"/>
          <w:bCs/>
          <w:sz w:val="28"/>
        </w:rPr>
      </w:pPr>
      <w:r>
        <w:rPr>
          <w:rFonts w:hint="eastAsia" w:ascii="宋体"/>
          <w:bCs/>
          <w:sz w:val="28"/>
        </w:rPr>
        <w:t>2.2.2招标方不会因使用投标人所提供的设备而受到第三方关于专利、商标等知识产权侵犯的投诉。</w:t>
      </w:r>
    </w:p>
    <w:p>
      <w:pPr>
        <w:snapToGrid w:val="0"/>
        <w:spacing w:line="360" w:lineRule="auto"/>
        <w:ind w:firstLine="560" w:firstLineChars="200"/>
        <w:rPr>
          <w:rFonts w:hint="eastAsia" w:ascii="宋体"/>
          <w:bCs/>
          <w:sz w:val="28"/>
        </w:rPr>
      </w:pPr>
      <w:r>
        <w:rPr>
          <w:rFonts w:hint="eastAsia" w:ascii="宋体"/>
          <w:bCs/>
          <w:sz w:val="28"/>
        </w:rPr>
        <w:t>2.2.3投标方提供的产品必须满足黄骅港现场工作环境要求,针对现场各种工况提供可行的电机安装方案。</w:t>
      </w:r>
      <w:bookmarkStart w:id="6" w:name="_Toc468881968"/>
      <w:bookmarkStart w:id="7" w:name="_Toc384969138"/>
    </w:p>
    <w:p>
      <w:pPr>
        <w:snapToGrid w:val="0"/>
        <w:spacing w:line="360" w:lineRule="auto"/>
        <w:ind w:firstLine="560" w:firstLineChars="200"/>
        <w:rPr>
          <w:rFonts w:hint="eastAsia" w:ascii="宋体"/>
          <w:bCs/>
          <w:sz w:val="28"/>
        </w:rPr>
      </w:pPr>
      <w:r>
        <w:rPr>
          <w:rFonts w:hint="eastAsia" w:ascii="宋体"/>
          <w:bCs/>
          <w:sz w:val="28"/>
        </w:rPr>
        <w:t>2.3技术要求</w:t>
      </w:r>
      <w:bookmarkEnd w:id="6"/>
      <w:bookmarkEnd w:id="7"/>
    </w:p>
    <w:p>
      <w:pPr>
        <w:snapToGrid w:val="0"/>
        <w:spacing w:line="360" w:lineRule="auto"/>
        <w:ind w:firstLine="840" w:firstLineChars="300"/>
        <w:rPr>
          <w:rFonts w:hint="eastAsia" w:ascii="宋体"/>
          <w:bCs/>
          <w:sz w:val="28"/>
          <w:highlight w:val="none"/>
        </w:rPr>
      </w:pPr>
      <w:r>
        <w:rPr>
          <w:rFonts w:hint="eastAsia" w:ascii="宋体"/>
          <w:bCs/>
          <w:sz w:val="28"/>
          <w:highlight w:val="none"/>
        </w:rPr>
        <w:t xml:space="preserve">2.3.1 </w:t>
      </w:r>
      <w:r>
        <w:rPr>
          <w:rFonts w:hint="eastAsia" w:ascii="宋体"/>
          <w:bCs/>
          <w:sz w:val="28"/>
          <w:highlight w:val="none"/>
          <w:lang w:eastAsia="zh-CN"/>
        </w:rPr>
        <w:t>一二期</w:t>
      </w:r>
      <w:r>
        <w:rPr>
          <w:rFonts w:hint="eastAsia" w:ascii="宋体"/>
          <w:bCs/>
          <w:sz w:val="28"/>
          <w:highlight w:val="none"/>
          <w:lang w:val="en-US" w:eastAsia="zh-CN"/>
        </w:rPr>
        <w:t>6000T/h取料机(三菱设计）</w:t>
      </w:r>
      <w:r>
        <w:rPr>
          <w:rFonts w:hint="eastAsia" w:ascii="宋体"/>
          <w:bCs/>
          <w:sz w:val="28"/>
          <w:highlight w:val="none"/>
          <w:lang w:eastAsia="zh-CN"/>
        </w:rPr>
        <w:t>行走电机</w:t>
      </w:r>
    </w:p>
    <w:p>
      <w:pPr>
        <w:spacing w:line="360" w:lineRule="auto"/>
        <w:ind w:left="856"/>
        <w:rPr>
          <w:rFonts w:hint="eastAsia" w:ascii="宋体"/>
          <w:bCs/>
          <w:sz w:val="28"/>
          <w:highlight w:val="none"/>
        </w:rPr>
      </w:pPr>
      <w:r>
        <w:rPr>
          <w:rFonts w:hint="eastAsia" w:ascii="宋体"/>
          <w:bCs/>
          <w:sz w:val="28"/>
          <w:highlight w:val="none"/>
        </w:rPr>
        <w:t>1、变频电机参数：</w:t>
      </w:r>
    </w:p>
    <w:p>
      <w:pPr>
        <w:spacing w:line="360" w:lineRule="auto"/>
        <w:ind w:left="856"/>
        <w:rPr>
          <w:rFonts w:hint="eastAsia" w:ascii="宋体" w:eastAsia="宋体"/>
          <w:bCs/>
          <w:sz w:val="28"/>
          <w:highlight w:val="none"/>
          <w:lang w:val="en-US" w:eastAsia="zh-CN"/>
        </w:rPr>
      </w:pPr>
      <w:r>
        <w:rPr>
          <w:rFonts w:hint="eastAsia" w:ascii="宋体"/>
          <w:bCs/>
          <w:sz w:val="28"/>
          <w:highlight w:val="none"/>
          <w:lang w:val="en-US" w:eastAsia="zh-CN"/>
        </w:rPr>
        <w:t>型号：HBY132S-4-5.5-XE</w:t>
      </w:r>
    </w:p>
    <w:p>
      <w:pPr>
        <w:spacing w:line="360" w:lineRule="auto"/>
        <w:ind w:left="856"/>
        <w:rPr>
          <w:rFonts w:hint="eastAsia" w:ascii="宋体"/>
          <w:bCs/>
          <w:sz w:val="28"/>
          <w:highlight w:val="none"/>
        </w:rPr>
      </w:pPr>
      <w:r>
        <w:rPr>
          <w:rFonts w:hint="eastAsia" w:ascii="宋体"/>
          <w:bCs/>
          <w:sz w:val="28"/>
          <w:highlight w:val="none"/>
        </w:rPr>
        <w:t>频率：15-50HZ                        电压：130-380V</w:t>
      </w:r>
    </w:p>
    <w:p>
      <w:pPr>
        <w:spacing w:line="360" w:lineRule="auto"/>
        <w:ind w:left="856"/>
        <w:rPr>
          <w:rFonts w:hint="eastAsia" w:ascii="宋体"/>
          <w:bCs/>
          <w:sz w:val="28"/>
          <w:highlight w:val="none"/>
        </w:rPr>
      </w:pPr>
      <w:r>
        <w:rPr>
          <w:rFonts w:hint="eastAsia" w:ascii="宋体"/>
          <w:bCs/>
          <w:sz w:val="28"/>
          <w:highlight w:val="none"/>
        </w:rPr>
        <w:t>电流：12.5A                          转速：390-1440转/分</w:t>
      </w:r>
    </w:p>
    <w:p>
      <w:pPr>
        <w:spacing w:line="360" w:lineRule="auto"/>
        <w:ind w:left="856"/>
        <w:rPr>
          <w:rFonts w:hint="eastAsia" w:ascii="宋体"/>
          <w:bCs/>
          <w:sz w:val="28"/>
          <w:highlight w:val="none"/>
        </w:rPr>
      </w:pPr>
      <w:r>
        <w:rPr>
          <w:rFonts w:hint="eastAsia" w:ascii="宋体"/>
          <w:bCs/>
          <w:sz w:val="28"/>
          <w:highlight w:val="none"/>
        </w:rPr>
        <w:t>底座：132S                           防护等级： IP54</w:t>
      </w:r>
    </w:p>
    <w:p>
      <w:pPr>
        <w:spacing w:line="360" w:lineRule="auto"/>
        <w:ind w:left="856"/>
        <w:rPr>
          <w:rFonts w:hint="eastAsia" w:ascii="宋体"/>
          <w:bCs/>
          <w:sz w:val="28"/>
          <w:highlight w:val="none"/>
        </w:rPr>
      </w:pPr>
      <w:r>
        <w:rPr>
          <w:rFonts w:hint="eastAsia" w:ascii="宋体"/>
          <w:bCs/>
          <w:sz w:val="28"/>
          <w:highlight w:val="none"/>
        </w:rPr>
        <w:t>绝缘等级：F                          功率：5.5KW</w:t>
      </w:r>
    </w:p>
    <w:p>
      <w:pPr>
        <w:spacing w:line="360" w:lineRule="auto"/>
        <w:ind w:left="856"/>
        <w:rPr>
          <w:rFonts w:hint="eastAsia" w:ascii="宋体"/>
          <w:bCs/>
          <w:sz w:val="28"/>
          <w:highlight w:val="none"/>
        </w:rPr>
      </w:pPr>
      <w:r>
        <w:rPr>
          <w:rFonts w:hint="eastAsia" w:ascii="宋体"/>
          <w:bCs/>
          <w:sz w:val="28"/>
          <w:highlight w:val="none"/>
        </w:rPr>
        <w:t xml:space="preserve">工作制：连续工作                     轴径：38mm     </w:t>
      </w:r>
    </w:p>
    <w:p>
      <w:pPr>
        <w:spacing w:line="360" w:lineRule="auto"/>
        <w:ind w:left="856"/>
        <w:rPr>
          <w:rFonts w:hint="eastAsia" w:ascii="宋体"/>
          <w:bCs/>
          <w:sz w:val="28"/>
          <w:highlight w:val="none"/>
        </w:rPr>
      </w:pPr>
      <w:r>
        <w:rPr>
          <w:rFonts w:hint="eastAsia" w:ascii="宋体"/>
          <w:bCs/>
          <w:sz w:val="28"/>
          <w:highlight w:val="none"/>
        </w:rPr>
        <w:t>平键尺寸： 10×8×60 mm                轴承型号：6207和6308</w:t>
      </w:r>
    </w:p>
    <w:p>
      <w:pPr>
        <w:spacing w:line="360" w:lineRule="auto"/>
        <w:ind w:left="856"/>
        <w:jc w:val="left"/>
        <w:rPr>
          <w:rFonts w:hint="eastAsia" w:ascii="宋体" w:hAnsi="宋体"/>
          <w:sz w:val="24"/>
          <w:highlight w:val="none"/>
        </w:rPr>
      </w:pPr>
      <w:r>
        <w:rPr>
          <w:rFonts w:hint="eastAsia" w:ascii="宋体"/>
          <w:bCs/>
          <w:sz w:val="28"/>
          <w:highlight w:val="none"/>
        </w:rPr>
        <w:t>2、变频电机安装尺寸：参见附件1，仅供参考，以现场实际测量为准</w:t>
      </w:r>
      <w:r>
        <w:rPr>
          <w:rFonts w:hint="eastAsia" w:ascii="宋体"/>
          <w:bCs/>
          <w:sz w:val="28"/>
          <w:highlight w:val="none"/>
          <w:lang w:eastAsia="zh-CN"/>
        </w:rPr>
        <w:t>，轴承品牌为</w:t>
      </w:r>
      <w:r>
        <w:rPr>
          <w:rFonts w:hint="eastAsia" w:ascii="宋体"/>
          <w:bCs/>
          <w:sz w:val="28"/>
          <w:highlight w:val="none"/>
          <w:lang w:val="en-US" w:eastAsia="zh-CN"/>
        </w:rPr>
        <w:t>SKF</w:t>
      </w:r>
      <w:r>
        <w:rPr>
          <w:rFonts w:hint="eastAsia" w:ascii="宋体"/>
          <w:bCs/>
          <w:sz w:val="28"/>
          <w:highlight w:val="none"/>
          <w:lang w:eastAsia="zh-CN"/>
        </w:rPr>
        <w:t>。</w:t>
      </w:r>
    </w:p>
    <w:p>
      <w:pPr>
        <w:spacing w:line="360" w:lineRule="auto"/>
        <w:ind w:left="856"/>
        <w:rPr>
          <w:rFonts w:hint="eastAsia" w:ascii="宋体"/>
          <w:bCs/>
          <w:sz w:val="28"/>
          <w:highlight w:val="none"/>
        </w:rPr>
      </w:pPr>
      <w:r>
        <w:rPr>
          <w:rFonts w:hint="eastAsia" w:ascii="宋体"/>
          <w:bCs/>
          <w:sz w:val="28"/>
          <w:highlight w:val="none"/>
        </w:rPr>
        <w:t xml:space="preserve">2.3.2 </w:t>
      </w:r>
      <w:r>
        <w:rPr>
          <w:rFonts w:hint="eastAsia" w:ascii="宋体"/>
          <w:bCs/>
          <w:sz w:val="28"/>
          <w:highlight w:val="none"/>
          <w:lang w:eastAsia="zh-CN"/>
        </w:rPr>
        <w:t>三期筒仓活化给料机</w:t>
      </w:r>
      <w:r>
        <w:rPr>
          <w:rFonts w:hint="eastAsia" w:ascii="宋体"/>
          <w:bCs/>
          <w:sz w:val="28"/>
          <w:highlight w:val="none"/>
          <w:lang w:val="en-US" w:eastAsia="zh-CN"/>
        </w:rPr>
        <w:t>振动电机</w:t>
      </w:r>
    </w:p>
    <w:p>
      <w:pPr>
        <w:numPr>
          <w:ilvl w:val="0"/>
          <w:numId w:val="1"/>
        </w:numPr>
        <w:spacing w:line="360" w:lineRule="auto"/>
        <w:ind w:left="856"/>
        <w:rPr>
          <w:rFonts w:hint="eastAsia" w:ascii="宋体"/>
          <w:bCs/>
          <w:sz w:val="28"/>
          <w:highlight w:val="none"/>
        </w:rPr>
      </w:pPr>
      <w:r>
        <w:rPr>
          <w:rFonts w:hint="eastAsia" w:ascii="宋体"/>
          <w:bCs/>
          <w:sz w:val="28"/>
          <w:highlight w:val="none"/>
        </w:rPr>
        <w:t>电机参数</w:t>
      </w:r>
    </w:p>
    <w:p>
      <w:pPr>
        <w:numPr>
          <w:ilvl w:val="0"/>
          <w:numId w:val="0"/>
        </w:numPr>
        <w:spacing w:line="360" w:lineRule="auto"/>
        <w:rPr>
          <w:rFonts w:hint="eastAsia" w:ascii="宋体" w:eastAsia="宋体"/>
          <w:bCs/>
          <w:sz w:val="28"/>
          <w:highlight w:val="none"/>
          <w:lang w:val="en-US" w:eastAsia="zh-CN"/>
        </w:rPr>
      </w:pPr>
      <w:r>
        <w:rPr>
          <w:rFonts w:hint="eastAsia" w:ascii="宋体"/>
          <w:bCs/>
          <w:sz w:val="28"/>
          <w:highlight w:val="none"/>
          <w:lang w:val="en-US" w:eastAsia="zh-CN"/>
        </w:rPr>
        <w:t xml:space="preserve">      型号：HBY200L-6-9.5-ED</w:t>
      </w:r>
    </w:p>
    <w:p>
      <w:pPr>
        <w:spacing w:line="360" w:lineRule="auto"/>
        <w:ind w:left="856"/>
        <w:rPr>
          <w:rFonts w:hint="eastAsia" w:ascii="宋体"/>
          <w:bCs/>
          <w:sz w:val="28"/>
          <w:highlight w:val="none"/>
        </w:rPr>
      </w:pPr>
      <w:r>
        <w:rPr>
          <w:rFonts w:hint="eastAsia" w:ascii="宋体"/>
          <w:bCs/>
          <w:sz w:val="28"/>
          <w:highlight w:val="none"/>
        </w:rPr>
        <w:t>频率：50HZ                            电压：380V</w:t>
      </w:r>
    </w:p>
    <w:p>
      <w:pPr>
        <w:spacing w:line="360" w:lineRule="auto"/>
        <w:ind w:left="856"/>
        <w:rPr>
          <w:rFonts w:hint="eastAsia" w:ascii="宋体"/>
          <w:bCs/>
          <w:sz w:val="28"/>
          <w:highlight w:val="none"/>
        </w:rPr>
      </w:pPr>
      <w:r>
        <w:rPr>
          <w:rFonts w:hint="eastAsia" w:ascii="宋体"/>
          <w:bCs/>
          <w:sz w:val="28"/>
          <w:highlight w:val="none"/>
        </w:rPr>
        <w:t>电流：21.5A                           功率：9.5KW</w:t>
      </w:r>
    </w:p>
    <w:p>
      <w:pPr>
        <w:spacing w:line="360" w:lineRule="auto"/>
        <w:ind w:left="856"/>
        <w:rPr>
          <w:rFonts w:hint="eastAsia" w:ascii="宋体"/>
          <w:bCs/>
          <w:sz w:val="28"/>
          <w:highlight w:val="none"/>
          <w:lang w:val="en-US" w:eastAsia="zh-CN"/>
        </w:rPr>
      </w:pPr>
      <w:r>
        <w:rPr>
          <w:rFonts w:hint="eastAsia" w:ascii="宋体"/>
          <w:bCs/>
          <w:sz w:val="28"/>
          <w:highlight w:val="none"/>
        </w:rPr>
        <w:t>最大转速：1500转/分                  防护等级：IP</w:t>
      </w:r>
      <w:r>
        <w:rPr>
          <w:rFonts w:hint="eastAsia" w:ascii="宋体"/>
          <w:bCs/>
          <w:sz w:val="28"/>
          <w:highlight w:val="none"/>
          <w:lang w:val="en-US" w:eastAsia="zh-CN"/>
        </w:rPr>
        <w:t>65</w:t>
      </w:r>
    </w:p>
    <w:p>
      <w:pPr>
        <w:spacing w:line="360" w:lineRule="auto"/>
        <w:ind w:left="856"/>
        <w:rPr>
          <w:rFonts w:hint="eastAsia" w:ascii="宋体"/>
          <w:bCs/>
          <w:sz w:val="28"/>
          <w:highlight w:val="none"/>
          <w:lang w:val="en-US" w:eastAsia="zh-CN"/>
        </w:rPr>
      </w:pPr>
      <w:r>
        <w:rPr>
          <w:rFonts w:hint="eastAsia" w:ascii="宋体"/>
          <w:bCs/>
          <w:sz w:val="28"/>
          <w:highlight w:val="none"/>
          <w:lang w:val="en-US" w:eastAsia="zh-CN"/>
        </w:rPr>
        <w:t>底座：160L                           工作制：连续工作</w:t>
      </w:r>
    </w:p>
    <w:p>
      <w:pPr>
        <w:spacing w:line="360" w:lineRule="auto"/>
        <w:ind w:left="856"/>
        <w:rPr>
          <w:rFonts w:hint="eastAsia" w:ascii="宋体"/>
          <w:bCs/>
          <w:sz w:val="28"/>
          <w:highlight w:val="none"/>
          <w:lang w:val="en-US" w:eastAsia="zh-CN"/>
        </w:rPr>
      </w:pPr>
      <w:r>
        <w:rPr>
          <w:rFonts w:hint="eastAsia" w:ascii="宋体"/>
          <w:bCs/>
          <w:sz w:val="28"/>
          <w:highlight w:val="none"/>
          <w:lang w:val="en-US" w:eastAsia="zh-CN"/>
        </w:rPr>
        <w:t>绝缘等级：F级                        轴承型号：22318E</w:t>
      </w:r>
    </w:p>
    <w:p>
      <w:pPr>
        <w:spacing w:line="360" w:lineRule="auto"/>
        <w:ind w:left="856"/>
        <w:rPr>
          <w:rFonts w:hint="eastAsia" w:ascii="宋体"/>
          <w:bCs/>
          <w:color w:val="FF0000"/>
          <w:sz w:val="28"/>
          <w:highlight w:val="none"/>
        </w:rPr>
      </w:pPr>
      <w:r>
        <w:rPr>
          <w:rFonts w:hint="eastAsia" w:ascii="宋体"/>
          <w:bCs/>
          <w:sz w:val="28"/>
          <w:highlight w:val="none"/>
        </w:rPr>
        <w:t>2、电机安装尺寸：参见附件2，仅供参考，以现场实际测量为准</w:t>
      </w:r>
      <w:r>
        <w:rPr>
          <w:rFonts w:hint="eastAsia" w:ascii="宋体"/>
          <w:bCs/>
          <w:sz w:val="28"/>
          <w:highlight w:val="none"/>
          <w:lang w:eastAsia="zh-CN"/>
        </w:rPr>
        <w:t>，轴承品牌为</w:t>
      </w:r>
      <w:r>
        <w:rPr>
          <w:rFonts w:hint="eastAsia" w:ascii="宋体"/>
          <w:bCs/>
          <w:sz w:val="28"/>
          <w:highlight w:val="none"/>
          <w:lang w:val="en-US" w:eastAsia="zh-CN"/>
        </w:rPr>
        <w:t>SKF</w:t>
      </w:r>
      <w:r>
        <w:rPr>
          <w:rFonts w:hint="eastAsia" w:ascii="宋体"/>
          <w:bCs/>
          <w:sz w:val="28"/>
          <w:highlight w:val="none"/>
          <w:lang w:eastAsia="zh-CN"/>
        </w:rPr>
        <w:t>。</w:t>
      </w:r>
    </w:p>
    <w:p>
      <w:pPr>
        <w:spacing w:line="560" w:lineRule="exact"/>
        <w:ind w:firstLine="560" w:firstLineChars="200"/>
        <w:outlineLvl w:val="0"/>
        <w:rPr>
          <w:rFonts w:ascii="宋体"/>
          <w:bCs/>
          <w:sz w:val="28"/>
        </w:rPr>
      </w:pPr>
      <w:r>
        <w:rPr>
          <w:rFonts w:hint="eastAsia" w:ascii="宋体"/>
          <w:bCs/>
          <w:sz w:val="28"/>
        </w:rPr>
        <w:t>2.4现场条件</w:t>
      </w:r>
    </w:p>
    <w:p>
      <w:pPr>
        <w:spacing w:line="560" w:lineRule="exact"/>
        <w:ind w:firstLine="560" w:firstLineChars="200"/>
        <w:outlineLvl w:val="0"/>
        <w:rPr>
          <w:rFonts w:ascii="宋体"/>
          <w:bCs/>
          <w:sz w:val="28"/>
        </w:rPr>
      </w:pPr>
      <w:r>
        <w:rPr>
          <w:rFonts w:hint="eastAsia" w:ascii="宋体"/>
          <w:bCs/>
          <w:sz w:val="28"/>
        </w:rPr>
        <w:t>2.4.1港口地理位置</w:t>
      </w:r>
    </w:p>
    <w:p>
      <w:pPr>
        <w:spacing w:line="560" w:lineRule="exact"/>
        <w:ind w:firstLine="560" w:firstLineChars="200"/>
        <w:outlineLvl w:val="0"/>
        <w:rPr>
          <w:rFonts w:ascii="宋体"/>
          <w:bCs/>
          <w:sz w:val="28"/>
        </w:rPr>
      </w:pPr>
      <w:r>
        <w:rPr>
          <w:rFonts w:hint="eastAsia" w:ascii="宋体"/>
          <w:bCs/>
          <w:sz w:val="28"/>
        </w:rPr>
        <w:t>黄骅港位于中国河北省沧州市区以东约90km的渤海之滨，地处环渤海经济区的中部。漳卫新河与宣惠河交汇的大口河在此处入海。海上北距天津112km，东距龙口约280km；陆上西距黄骅市45km，朔（州）黄（骅）铁路直通港内。</w:t>
      </w:r>
    </w:p>
    <w:p>
      <w:pPr>
        <w:spacing w:line="560" w:lineRule="exact"/>
        <w:ind w:firstLine="560" w:firstLineChars="200"/>
        <w:outlineLvl w:val="0"/>
        <w:rPr>
          <w:rFonts w:ascii="宋体"/>
          <w:bCs/>
          <w:sz w:val="28"/>
        </w:rPr>
      </w:pPr>
      <w:r>
        <w:rPr>
          <w:rFonts w:hint="eastAsia" w:ascii="宋体"/>
          <w:bCs/>
          <w:sz w:val="28"/>
        </w:rPr>
        <w:t>2.4.2自然条件</w:t>
      </w:r>
    </w:p>
    <w:p>
      <w:pPr>
        <w:spacing w:line="560" w:lineRule="exact"/>
        <w:ind w:firstLine="560" w:firstLineChars="200"/>
        <w:outlineLvl w:val="0"/>
        <w:rPr>
          <w:rFonts w:ascii="宋体"/>
          <w:bCs/>
          <w:sz w:val="28"/>
        </w:rPr>
      </w:pPr>
      <w:r>
        <w:rPr>
          <w:rFonts w:hint="eastAsia" w:ascii="宋体"/>
          <w:bCs/>
          <w:sz w:val="28"/>
        </w:rPr>
        <w:t>1、气象条件</w:t>
      </w:r>
    </w:p>
    <w:p>
      <w:pPr>
        <w:spacing w:line="560" w:lineRule="exact"/>
        <w:ind w:firstLine="560" w:firstLineChars="200"/>
        <w:outlineLvl w:val="0"/>
        <w:rPr>
          <w:rFonts w:ascii="宋体"/>
          <w:bCs/>
          <w:sz w:val="28"/>
        </w:rPr>
      </w:pPr>
      <w:r>
        <w:rPr>
          <w:rFonts w:hint="eastAsia" w:ascii="宋体"/>
          <w:bCs/>
          <w:sz w:val="28"/>
        </w:rPr>
        <w:t>（1）风况</w:t>
      </w:r>
    </w:p>
    <w:p>
      <w:pPr>
        <w:spacing w:line="560" w:lineRule="exact"/>
        <w:ind w:firstLine="560" w:firstLineChars="200"/>
        <w:outlineLvl w:val="0"/>
        <w:rPr>
          <w:rFonts w:ascii="宋体"/>
          <w:bCs/>
          <w:sz w:val="28"/>
        </w:rPr>
      </w:pPr>
      <w:r>
        <w:rPr>
          <w:rFonts w:hint="eastAsia" w:ascii="宋体"/>
          <w:bCs/>
          <w:sz w:val="28"/>
        </w:rPr>
        <w:t>常风向：南南西（SSW），出现频率为11.1%。</w:t>
      </w:r>
    </w:p>
    <w:p>
      <w:pPr>
        <w:spacing w:line="560" w:lineRule="exact"/>
        <w:ind w:firstLine="560" w:firstLineChars="200"/>
        <w:outlineLvl w:val="0"/>
        <w:rPr>
          <w:rFonts w:ascii="宋体"/>
          <w:bCs/>
          <w:sz w:val="28"/>
        </w:rPr>
      </w:pPr>
      <w:r>
        <w:rPr>
          <w:rFonts w:hint="eastAsia" w:ascii="宋体"/>
          <w:bCs/>
          <w:sz w:val="28"/>
        </w:rPr>
        <w:t>强风向：东北东（ENE），出现频率为0.4%。</w:t>
      </w:r>
    </w:p>
    <w:p>
      <w:pPr>
        <w:spacing w:line="560" w:lineRule="exact"/>
        <w:ind w:firstLine="560" w:firstLineChars="200"/>
        <w:outlineLvl w:val="0"/>
        <w:rPr>
          <w:rFonts w:ascii="宋体"/>
          <w:bCs/>
          <w:sz w:val="28"/>
        </w:rPr>
      </w:pPr>
      <w:r>
        <w:rPr>
          <w:rFonts w:hint="eastAsia" w:ascii="宋体"/>
          <w:bCs/>
          <w:sz w:val="28"/>
        </w:rPr>
        <w:t>瞬时极大风速：＞40m/s</w:t>
      </w:r>
    </w:p>
    <w:p>
      <w:pPr>
        <w:spacing w:line="560" w:lineRule="exact"/>
        <w:ind w:firstLine="560" w:firstLineChars="200"/>
        <w:outlineLvl w:val="0"/>
        <w:rPr>
          <w:rFonts w:ascii="宋体"/>
          <w:bCs/>
          <w:sz w:val="28"/>
        </w:rPr>
      </w:pPr>
      <w:r>
        <w:rPr>
          <w:rFonts w:hint="eastAsia" w:ascii="宋体"/>
          <w:bCs/>
          <w:sz w:val="28"/>
        </w:rPr>
        <w:t>（2）降水</w:t>
      </w:r>
    </w:p>
    <w:p>
      <w:pPr>
        <w:spacing w:line="560" w:lineRule="exact"/>
        <w:ind w:firstLine="560" w:firstLineChars="200"/>
        <w:outlineLvl w:val="0"/>
        <w:rPr>
          <w:rFonts w:ascii="宋体"/>
          <w:bCs/>
          <w:sz w:val="28"/>
        </w:rPr>
      </w:pPr>
      <w:r>
        <w:rPr>
          <w:rFonts w:hint="eastAsia" w:ascii="宋体"/>
          <w:bCs/>
          <w:sz w:val="28"/>
        </w:rPr>
        <w:t>年平均降水量：</w:t>
      </w:r>
      <w:r>
        <w:rPr>
          <w:rFonts w:hint="eastAsia" w:ascii="宋体"/>
          <w:bCs/>
          <w:sz w:val="28"/>
        </w:rPr>
        <w:tab/>
      </w:r>
      <w:r>
        <w:rPr>
          <w:rFonts w:hint="eastAsia" w:ascii="宋体"/>
          <w:bCs/>
          <w:sz w:val="28"/>
        </w:rPr>
        <w:tab/>
      </w:r>
      <w:r>
        <w:rPr>
          <w:rFonts w:hint="eastAsia" w:ascii="宋体"/>
          <w:bCs/>
          <w:sz w:val="28"/>
        </w:rPr>
        <w:t>501mm</w:t>
      </w:r>
    </w:p>
    <w:p>
      <w:pPr>
        <w:spacing w:line="560" w:lineRule="exact"/>
        <w:ind w:firstLine="560" w:firstLineChars="200"/>
        <w:outlineLvl w:val="0"/>
        <w:rPr>
          <w:rFonts w:ascii="宋体"/>
          <w:bCs/>
          <w:sz w:val="28"/>
        </w:rPr>
      </w:pPr>
      <w:r>
        <w:rPr>
          <w:rFonts w:hint="eastAsia" w:ascii="宋体"/>
          <w:bCs/>
          <w:sz w:val="28"/>
        </w:rPr>
        <w:t>历年最大年降水量：</w:t>
      </w:r>
      <w:r>
        <w:rPr>
          <w:rFonts w:hint="eastAsia" w:ascii="宋体"/>
          <w:bCs/>
          <w:sz w:val="28"/>
        </w:rPr>
        <w:tab/>
      </w:r>
      <w:r>
        <w:rPr>
          <w:rFonts w:hint="eastAsia" w:ascii="宋体"/>
          <w:bCs/>
          <w:sz w:val="28"/>
        </w:rPr>
        <w:t>719.4mm</w:t>
      </w:r>
    </w:p>
    <w:p>
      <w:pPr>
        <w:spacing w:line="560" w:lineRule="exact"/>
        <w:ind w:firstLine="560" w:firstLineChars="200"/>
        <w:outlineLvl w:val="0"/>
        <w:rPr>
          <w:rFonts w:ascii="宋体"/>
          <w:bCs/>
          <w:sz w:val="28"/>
        </w:rPr>
      </w:pPr>
      <w:r>
        <w:rPr>
          <w:rFonts w:hint="eastAsia" w:ascii="宋体"/>
          <w:bCs/>
          <w:sz w:val="28"/>
        </w:rPr>
        <w:t>历年最小年降水量：</w:t>
      </w:r>
      <w:r>
        <w:rPr>
          <w:rFonts w:hint="eastAsia" w:ascii="宋体"/>
          <w:bCs/>
          <w:sz w:val="28"/>
        </w:rPr>
        <w:tab/>
      </w:r>
      <w:r>
        <w:rPr>
          <w:rFonts w:hint="eastAsia" w:ascii="宋体"/>
          <w:bCs/>
          <w:sz w:val="28"/>
        </w:rPr>
        <w:t>336.8mm</w:t>
      </w:r>
    </w:p>
    <w:p>
      <w:pPr>
        <w:spacing w:line="560" w:lineRule="exact"/>
        <w:ind w:firstLine="560" w:firstLineChars="200"/>
        <w:outlineLvl w:val="0"/>
        <w:rPr>
          <w:rFonts w:ascii="宋体"/>
          <w:bCs/>
          <w:sz w:val="28"/>
        </w:rPr>
      </w:pPr>
      <w:r>
        <w:rPr>
          <w:rFonts w:hint="eastAsia" w:ascii="宋体"/>
          <w:bCs/>
          <w:sz w:val="28"/>
        </w:rPr>
        <w:t>历年最大日降水量：</w:t>
      </w:r>
      <w:r>
        <w:rPr>
          <w:rFonts w:hint="eastAsia" w:ascii="宋体"/>
          <w:bCs/>
          <w:sz w:val="28"/>
        </w:rPr>
        <w:tab/>
      </w:r>
      <w:r>
        <w:rPr>
          <w:rFonts w:hint="eastAsia" w:ascii="宋体"/>
          <w:bCs/>
          <w:sz w:val="28"/>
        </w:rPr>
        <w:t>136.8mm</w:t>
      </w:r>
    </w:p>
    <w:p>
      <w:pPr>
        <w:spacing w:line="560" w:lineRule="exact"/>
        <w:ind w:firstLine="560" w:firstLineChars="200"/>
        <w:outlineLvl w:val="0"/>
        <w:rPr>
          <w:rFonts w:ascii="宋体"/>
          <w:bCs/>
          <w:sz w:val="28"/>
        </w:rPr>
      </w:pPr>
      <w:r>
        <w:rPr>
          <w:rFonts w:hint="eastAsia" w:ascii="宋体"/>
          <w:bCs/>
          <w:sz w:val="28"/>
        </w:rPr>
        <w:t>降水量主要集中在6、7、8三个月，占全年降水量的70%以上。年内日降水量大于25.0mm的天数平均5天，最多7天。</w:t>
      </w:r>
    </w:p>
    <w:p>
      <w:pPr>
        <w:spacing w:line="560" w:lineRule="exact"/>
        <w:ind w:firstLine="560" w:firstLineChars="200"/>
        <w:outlineLvl w:val="0"/>
        <w:rPr>
          <w:rFonts w:ascii="宋体"/>
          <w:bCs/>
          <w:sz w:val="28"/>
        </w:rPr>
      </w:pPr>
      <w:r>
        <w:rPr>
          <w:rFonts w:hint="eastAsia" w:ascii="宋体"/>
          <w:bCs/>
          <w:sz w:val="28"/>
        </w:rPr>
        <w:t>最大积雪深度：</w:t>
      </w:r>
      <w:r>
        <w:rPr>
          <w:rFonts w:hint="eastAsia" w:ascii="宋体"/>
          <w:bCs/>
          <w:sz w:val="28"/>
        </w:rPr>
        <w:tab/>
      </w:r>
      <w:r>
        <w:rPr>
          <w:rFonts w:hint="eastAsia" w:ascii="宋体"/>
          <w:bCs/>
          <w:sz w:val="28"/>
        </w:rPr>
        <w:t>21cm</w:t>
      </w:r>
    </w:p>
    <w:p>
      <w:pPr>
        <w:spacing w:line="560" w:lineRule="exact"/>
        <w:ind w:firstLine="560" w:firstLineChars="200"/>
        <w:outlineLvl w:val="0"/>
        <w:rPr>
          <w:rFonts w:ascii="宋体"/>
          <w:bCs/>
          <w:sz w:val="28"/>
        </w:rPr>
      </w:pPr>
      <w:r>
        <w:rPr>
          <w:rFonts w:hint="eastAsia" w:ascii="宋体"/>
          <w:bCs/>
          <w:sz w:val="28"/>
        </w:rPr>
        <w:t>（3）气温</w:t>
      </w:r>
    </w:p>
    <w:p>
      <w:pPr>
        <w:spacing w:line="560" w:lineRule="exact"/>
        <w:ind w:firstLine="560" w:firstLineChars="200"/>
        <w:outlineLvl w:val="0"/>
        <w:rPr>
          <w:rFonts w:ascii="宋体"/>
          <w:bCs/>
          <w:sz w:val="28"/>
        </w:rPr>
      </w:pPr>
      <w:r>
        <w:rPr>
          <w:rFonts w:hint="eastAsia" w:ascii="宋体"/>
          <w:bCs/>
          <w:sz w:val="28"/>
        </w:rPr>
        <w:t>多年平均气温：</w:t>
      </w:r>
      <w:r>
        <w:rPr>
          <w:rFonts w:hint="eastAsia" w:ascii="宋体"/>
          <w:bCs/>
          <w:sz w:val="28"/>
        </w:rPr>
        <w:tab/>
      </w:r>
      <w:r>
        <w:rPr>
          <w:rFonts w:hint="eastAsia" w:ascii="宋体"/>
          <w:bCs/>
          <w:sz w:val="28"/>
        </w:rPr>
        <w:tab/>
      </w:r>
      <w:r>
        <w:rPr>
          <w:rFonts w:hint="eastAsia" w:ascii="宋体"/>
          <w:bCs/>
          <w:sz w:val="28"/>
        </w:rPr>
        <w:t>12.2℃</w:t>
      </w:r>
    </w:p>
    <w:p>
      <w:pPr>
        <w:spacing w:line="560" w:lineRule="exact"/>
        <w:ind w:firstLine="560" w:firstLineChars="200"/>
        <w:outlineLvl w:val="0"/>
        <w:rPr>
          <w:rFonts w:ascii="宋体"/>
          <w:bCs/>
          <w:sz w:val="28"/>
        </w:rPr>
      </w:pPr>
      <w:r>
        <w:rPr>
          <w:rFonts w:hint="eastAsia" w:ascii="宋体"/>
          <w:bCs/>
          <w:sz w:val="28"/>
        </w:rPr>
        <w:t>多年平均最高气温：</w:t>
      </w:r>
      <w:r>
        <w:rPr>
          <w:rFonts w:hint="eastAsia" w:ascii="宋体"/>
          <w:bCs/>
          <w:sz w:val="28"/>
        </w:rPr>
        <w:tab/>
      </w:r>
      <w:r>
        <w:rPr>
          <w:rFonts w:hint="eastAsia" w:ascii="宋体"/>
          <w:bCs/>
          <w:sz w:val="28"/>
        </w:rPr>
        <w:t>17.3℃</w:t>
      </w:r>
    </w:p>
    <w:p>
      <w:pPr>
        <w:spacing w:line="560" w:lineRule="exact"/>
        <w:ind w:firstLine="560" w:firstLineChars="200"/>
        <w:outlineLvl w:val="0"/>
        <w:rPr>
          <w:rFonts w:ascii="宋体"/>
          <w:bCs/>
          <w:sz w:val="28"/>
        </w:rPr>
      </w:pPr>
      <w:r>
        <w:rPr>
          <w:rFonts w:hint="eastAsia" w:ascii="宋体"/>
          <w:bCs/>
          <w:sz w:val="28"/>
        </w:rPr>
        <w:t>多年平均最低气温：</w:t>
      </w:r>
      <w:r>
        <w:rPr>
          <w:rFonts w:hint="eastAsia" w:ascii="宋体"/>
          <w:bCs/>
          <w:sz w:val="28"/>
        </w:rPr>
        <w:tab/>
      </w:r>
      <w:r>
        <w:rPr>
          <w:rFonts w:hint="eastAsia" w:ascii="宋体"/>
          <w:bCs/>
          <w:sz w:val="28"/>
        </w:rPr>
        <w:t>7.8℃</w:t>
      </w:r>
    </w:p>
    <w:p>
      <w:pPr>
        <w:spacing w:line="560" w:lineRule="exact"/>
        <w:ind w:firstLine="560" w:firstLineChars="200"/>
        <w:outlineLvl w:val="0"/>
        <w:rPr>
          <w:rFonts w:ascii="宋体"/>
          <w:bCs/>
          <w:sz w:val="28"/>
        </w:rPr>
      </w:pPr>
      <w:r>
        <w:rPr>
          <w:rFonts w:hint="eastAsia" w:ascii="宋体"/>
          <w:bCs/>
          <w:sz w:val="28"/>
        </w:rPr>
        <w:t>历年极端最高气温：</w:t>
      </w:r>
      <w:r>
        <w:rPr>
          <w:rFonts w:hint="eastAsia" w:ascii="宋体"/>
          <w:bCs/>
          <w:sz w:val="28"/>
        </w:rPr>
        <w:tab/>
      </w:r>
      <w:r>
        <w:rPr>
          <w:rFonts w:hint="eastAsia" w:ascii="宋体"/>
          <w:bCs/>
          <w:sz w:val="28"/>
        </w:rPr>
        <w:t>40.0℃</w:t>
      </w:r>
    </w:p>
    <w:p>
      <w:pPr>
        <w:spacing w:line="560" w:lineRule="exact"/>
        <w:ind w:firstLine="560" w:firstLineChars="200"/>
        <w:outlineLvl w:val="0"/>
        <w:rPr>
          <w:rFonts w:ascii="宋体"/>
          <w:bCs/>
          <w:sz w:val="28"/>
        </w:rPr>
      </w:pPr>
      <w:r>
        <w:rPr>
          <w:rFonts w:hint="eastAsia" w:ascii="宋体"/>
          <w:bCs/>
          <w:sz w:val="28"/>
        </w:rPr>
        <w:t>历年极端最低气温：</w:t>
      </w:r>
      <w:r>
        <w:rPr>
          <w:rFonts w:hint="eastAsia" w:ascii="宋体"/>
          <w:bCs/>
          <w:sz w:val="28"/>
        </w:rPr>
        <w:tab/>
      </w:r>
      <w:r>
        <w:rPr>
          <w:rFonts w:hint="eastAsia" w:ascii="宋体"/>
          <w:bCs/>
          <w:sz w:val="28"/>
        </w:rPr>
        <w:t>-19.5℃</w:t>
      </w:r>
    </w:p>
    <w:p>
      <w:pPr>
        <w:spacing w:line="560" w:lineRule="exact"/>
        <w:ind w:firstLine="560" w:firstLineChars="200"/>
        <w:outlineLvl w:val="0"/>
        <w:rPr>
          <w:rFonts w:ascii="宋体"/>
          <w:bCs/>
          <w:sz w:val="28"/>
        </w:rPr>
      </w:pPr>
      <w:r>
        <w:rPr>
          <w:rFonts w:hint="eastAsia" w:ascii="宋体"/>
          <w:bCs/>
          <w:sz w:val="28"/>
        </w:rPr>
        <w:t>年日平均气温低于-5℃的天数为71天，低于-10℃的天数为23.8天。</w:t>
      </w:r>
    </w:p>
    <w:p>
      <w:pPr>
        <w:spacing w:line="560" w:lineRule="exact"/>
        <w:ind w:firstLine="560" w:firstLineChars="200"/>
        <w:outlineLvl w:val="0"/>
        <w:rPr>
          <w:rFonts w:ascii="宋体"/>
          <w:bCs/>
          <w:sz w:val="28"/>
        </w:rPr>
      </w:pPr>
      <w:r>
        <w:rPr>
          <w:rFonts w:hint="eastAsia" w:ascii="宋体"/>
          <w:bCs/>
          <w:sz w:val="28"/>
        </w:rPr>
        <w:t>（4）雾</w:t>
      </w:r>
    </w:p>
    <w:p>
      <w:pPr>
        <w:spacing w:line="560" w:lineRule="exact"/>
        <w:ind w:firstLine="560" w:firstLineChars="200"/>
        <w:outlineLvl w:val="0"/>
        <w:rPr>
          <w:rFonts w:ascii="宋体"/>
          <w:bCs/>
          <w:sz w:val="28"/>
        </w:rPr>
      </w:pPr>
      <w:r>
        <w:rPr>
          <w:rFonts w:hint="eastAsia" w:ascii="宋体"/>
          <w:bCs/>
          <w:sz w:val="28"/>
        </w:rPr>
        <w:t>雾日多发生在秋、冬两季。年平均雾日数为12.2天，最多20天。</w:t>
      </w:r>
    </w:p>
    <w:p>
      <w:pPr>
        <w:spacing w:line="560" w:lineRule="exact"/>
        <w:ind w:firstLine="560" w:firstLineChars="200"/>
        <w:outlineLvl w:val="0"/>
        <w:rPr>
          <w:rFonts w:ascii="宋体"/>
          <w:bCs/>
          <w:sz w:val="28"/>
        </w:rPr>
      </w:pPr>
      <w:r>
        <w:rPr>
          <w:rFonts w:hint="eastAsia" w:ascii="宋体"/>
          <w:bCs/>
          <w:sz w:val="28"/>
        </w:rPr>
        <w:t>（5）相对湿度</w:t>
      </w:r>
    </w:p>
    <w:p>
      <w:pPr>
        <w:spacing w:line="560" w:lineRule="exact"/>
        <w:ind w:firstLine="560" w:firstLineChars="200"/>
        <w:outlineLvl w:val="0"/>
        <w:rPr>
          <w:rFonts w:ascii="宋体"/>
          <w:bCs/>
          <w:sz w:val="28"/>
        </w:rPr>
      </w:pPr>
      <w:r>
        <w:rPr>
          <w:rFonts w:hint="eastAsia" w:ascii="宋体"/>
          <w:bCs/>
          <w:sz w:val="28"/>
        </w:rPr>
        <w:t>最热月室外计算相对湿度：78%</w:t>
      </w:r>
    </w:p>
    <w:p>
      <w:pPr>
        <w:spacing w:line="560" w:lineRule="exact"/>
        <w:ind w:firstLine="560" w:firstLineChars="200"/>
        <w:outlineLvl w:val="0"/>
        <w:rPr>
          <w:rFonts w:ascii="宋体"/>
          <w:bCs/>
          <w:sz w:val="28"/>
        </w:rPr>
      </w:pPr>
      <w:r>
        <w:rPr>
          <w:rFonts w:hint="eastAsia" w:ascii="宋体"/>
          <w:bCs/>
          <w:sz w:val="28"/>
        </w:rPr>
        <w:t>（6）冬季日照率：66%</w:t>
      </w:r>
    </w:p>
    <w:p>
      <w:pPr>
        <w:spacing w:line="560" w:lineRule="exact"/>
        <w:ind w:firstLine="560" w:firstLineChars="200"/>
        <w:outlineLvl w:val="0"/>
        <w:rPr>
          <w:rFonts w:ascii="宋体"/>
          <w:bCs/>
          <w:sz w:val="28"/>
        </w:rPr>
      </w:pPr>
      <w:r>
        <w:rPr>
          <w:rFonts w:hint="eastAsia" w:ascii="宋体"/>
          <w:bCs/>
          <w:sz w:val="28"/>
          <w:lang w:val="en-US" w:eastAsia="zh-CN"/>
        </w:rPr>
        <w:t>2</w:t>
      </w:r>
      <w:r>
        <w:rPr>
          <w:rFonts w:hint="eastAsia" w:ascii="宋体"/>
          <w:bCs/>
          <w:sz w:val="28"/>
        </w:rPr>
        <w:t>、土壤特性</w:t>
      </w:r>
    </w:p>
    <w:p>
      <w:pPr>
        <w:spacing w:line="560" w:lineRule="exact"/>
        <w:ind w:firstLine="560" w:firstLineChars="200"/>
        <w:outlineLvl w:val="0"/>
        <w:rPr>
          <w:rFonts w:ascii="宋体"/>
          <w:bCs/>
          <w:sz w:val="28"/>
        </w:rPr>
      </w:pPr>
      <w:r>
        <w:rPr>
          <w:rFonts w:hint="eastAsia" w:ascii="宋体"/>
          <w:bCs/>
          <w:sz w:val="28"/>
        </w:rPr>
        <w:t>（1）最大冰冻深度：地表下0.69m</w:t>
      </w:r>
    </w:p>
    <w:p>
      <w:pPr>
        <w:spacing w:line="560" w:lineRule="exact"/>
        <w:ind w:firstLine="560" w:firstLineChars="200"/>
        <w:outlineLvl w:val="0"/>
        <w:rPr>
          <w:rFonts w:ascii="宋体"/>
          <w:bCs/>
          <w:sz w:val="28"/>
        </w:rPr>
      </w:pPr>
      <w:r>
        <w:rPr>
          <w:rFonts w:hint="eastAsia" w:ascii="宋体"/>
          <w:bCs/>
          <w:sz w:val="28"/>
        </w:rPr>
        <w:t>（2）土壤电阻率： 400</w:t>
      </w:r>
      <w:r>
        <w:rPr>
          <w:rFonts w:ascii="宋体"/>
          <w:bCs/>
          <w:sz w:val="28"/>
        </w:rPr>
        <w:t>Ω</w:t>
      </w:r>
      <w:r>
        <w:rPr>
          <w:rFonts w:hint="eastAsia" w:ascii="宋体"/>
          <w:bCs/>
          <w:sz w:val="28"/>
        </w:rPr>
        <w:t>m</w:t>
      </w:r>
    </w:p>
    <w:p>
      <w:pPr>
        <w:spacing w:line="560" w:lineRule="exact"/>
        <w:ind w:firstLine="560" w:firstLineChars="200"/>
        <w:outlineLvl w:val="0"/>
        <w:rPr>
          <w:rFonts w:ascii="宋体"/>
          <w:bCs/>
          <w:sz w:val="28"/>
        </w:rPr>
      </w:pPr>
      <w:r>
        <w:rPr>
          <w:rFonts w:hint="eastAsia" w:ascii="宋体"/>
          <w:bCs/>
          <w:sz w:val="28"/>
          <w:lang w:val="en-US" w:eastAsia="zh-CN"/>
        </w:rPr>
        <w:t>3</w:t>
      </w:r>
      <w:r>
        <w:rPr>
          <w:rFonts w:hint="eastAsia" w:ascii="宋体"/>
          <w:bCs/>
          <w:sz w:val="28"/>
        </w:rPr>
        <w:t>、地震:基本地震烈度为6度。</w:t>
      </w:r>
    </w:p>
    <w:p>
      <w:pPr>
        <w:spacing w:line="560" w:lineRule="exact"/>
        <w:outlineLvl w:val="0"/>
        <w:rPr>
          <w:rFonts w:hint="eastAsia" w:ascii="宋体"/>
          <w:b/>
          <w:bCs/>
          <w:sz w:val="28"/>
        </w:rPr>
      </w:pPr>
      <w:bookmarkStart w:id="8" w:name="_Toc376968406"/>
      <w:bookmarkStart w:id="9" w:name="_Toc384969141"/>
      <w:bookmarkStart w:id="10" w:name="_Toc468881969"/>
      <w:r>
        <w:rPr>
          <w:rFonts w:hint="eastAsia" w:ascii="宋体"/>
          <w:b/>
          <w:bCs/>
          <w:sz w:val="28"/>
        </w:rPr>
        <w:t>3.适用的标准、规范</w:t>
      </w:r>
      <w:bookmarkEnd w:id="8"/>
    </w:p>
    <w:p>
      <w:pPr>
        <w:spacing w:line="560" w:lineRule="exact"/>
        <w:ind w:firstLine="560" w:firstLineChars="200"/>
        <w:outlineLvl w:val="0"/>
        <w:rPr>
          <w:rFonts w:hint="eastAsia" w:ascii="宋体"/>
          <w:bCs/>
          <w:sz w:val="28"/>
        </w:rPr>
      </w:pPr>
      <w:r>
        <w:rPr>
          <w:rFonts w:hint="eastAsia" w:ascii="宋体"/>
          <w:bCs/>
          <w:sz w:val="28"/>
        </w:rPr>
        <w:t>3.1本项目的设计、制造、技术参数、验收符合下列有关标准及其它有关国家标准和规范：</w:t>
      </w:r>
    </w:p>
    <w:p>
      <w:pPr>
        <w:spacing w:line="560" w:lineRule="exact"/>
        <w:ind w:firstLine="411" w:firstLineChars="147"/>
        <w:outlineLvl w:val="0"/>
        <w:rPr>
          <w:rFonts w:ascii="宋体"/>
          <w:bCs/>
          <w:sz w:val="28"/>
          <w:highlight w:val="none"/>
        </w:rPr>
      </w:pPr>
      <w:r>
        <w:rPr>
          <w:rFonts w:hint="eastAsia" w:ascii="宋体"/>
          <w:bCs/>
          <w:sz w:val="28"/>
          <w:highlight w:val="none"/>
        </w:rPr>
        <w:t>《</w:t>
      </w:r>
      <w:r>
        <w:rPr>
          <w:rFonts w:ascii="宋体"/>
          <w:bCs/>
          <w:sz w:val="28"/>
          <w:highlight w:val="none"/>
        </w:rPr>
        <w:t>旋转电机基本技术要求</w:t>
      </w:r>
      <w:r>
        <w:rPr>
          <w:rFonts w:hint="eastAsia" w:ascii="宋体"/>
          <w:bCs/>
          <w:sz w:val="28"/>
          <w:highlight w:val="none"/>
        </w:rPr>
        <w:t>》</w:t>
      </w:r>
      <w:r>
        <w:rPr>
          <w:rFonts w:ascii="宋体"/>
          <w:bCs/>
          <w:sz w:val="28"/>
          <w:highlight w:val="none"/>
        </w:rPr>
        <w:fldChar w:fldCharType="begin"/>
      </w:r>
      <w:r>
        <w:rPr>
          <w:rFonts w:ascii="宋体"/>
          <w:bCs/>
          <w:sz w:val="28"/>
          <w:highlight w:val="none"/>
        </w:rPr>
        <w:instrText xml:space="preserve"> HYPERLINK "http://www.baidu.com/link?url=JNNE_5eyGuGKn4pZ3lmdOUS5srN711mNr1KMyuN4AMbXsofBdRBPMwG2hM6-RskOELky6P2TtrUX6jLx7pDqFq2RMlHZKURZD4rS_zMJhUe" \t "_blank" </w:instrText>
      </w:r>
      <w:r>
        <w:rPr>
          <w:rFonts w:ascii="宋体"/>
          <w:bCs/>
          <w:sz w:val="28"/>
          <w:highlight w:val="none"/>
        </w:rPr>
        <w:fldChar w:fldCharType="separate"/>
      </w:r>
      <w:r>
        <w:rPr>
          <w:rFonts w:ascii="宋体"/>
          <w:bCs/>
          <w:sz w:val="28"/>
          <w:highlight w:val="none"/>
        </w:rPr>
        <w:t> GB 755-87</w:t>
      </w:r>
      <w:r>
        <w:rPr>
          <w:rFonts w:ascii="宋体"/>
          <w:bCs/>
          <w:sz w:val="28"/>
          <w:highlight w:val="none"/>
        </w:rPr>
        <w:fldChar w:fldCharType="end"/>
      </w:r>
    </w:p>
    <w:p>
      <w:pPr>
        <w:spacing w:line="560" w:lineRule="exact"/>
        <w:ind w:firstLine="420" w:firstLineChars="150"/>
        <w:outlineLvl w:val="0"/>
        <w:rPr>
          <w:rFonts w:hint="eastAsia" w:ascii="宋体"/>
          <w:bCs/>
          <w:sz w:val="28"/>
          <w:highlight w:val="none"/>
        </w:rPr>
      </w:pPr>
      <w:r>
        <w:rPr>
          <w:rFonts w:hint="eastAsia" w:ascii="宋体"/>
          <w:bCs/>
          <w:sz w:val="28"/>
          <w:highlight w:val="none"/>
        </w:rPr>
        <w:t xml:space="preserve">《三相异步电动机安装尺寸》 JB843-66        </w:t>
      </w:r>
    </w:p>
    <w:p>
      <w:pPr>
        <w:spacing w:line="560" w:lineRule="exact"/>
        <w:ind w:firstLine="420" w:firstLineChars="150"/>
        <w:outlineLvl w:val="0"/>
        <w:rPr>
          <w:highlight w:val="none"/>
        </w:rPr>
      </w:pPr>
      <w:r>
        <w:rPr>
          <w:rFonts w:hint="eastAsia" w:ascii="宋体"/>
          <w:bCs/>
          <w:sz w:val="28"/>
          <w:highlight w:val="none"/>
        </w:rPr>
        <w:t>《</w:t>
      </w:r>
      <w:r>
        <w:rPr>
          <w:rFonts w:ascii="宋体"/>
          <w:bCs/>
          <w:sz w:val="28"/>
          <w:highlight w:val="none"/>
        </w:rPr>
        <w:fldChar w:fldCharType="begin"/>
      </w:r>
      <w:r>
        <w:rPr>
          <w:rFonts w:ascii="宋体"/>
          <w:bCs/>
          <w:sz w:val="28"/>
          <w:highlight w:val="none"/>
        </w:rPr>
        <w:instrText xml:space="preserve"> HYPERLINK "http://www.baidu.com/link?url=LUtKs9S9gNTbYvYu2hvR9opuFF4bnSLc-mTMD3TlTPSJa0GhmA2jg13VjspzW3AT0OmDHFKtRRmkWI0TMOK-Pwuv-rj7h6zfabrjMZuFV5y" \t "_blank" </w:instrText>
      </w:r>
      <w:r>
        <w:rPr>
          <w:rFonts w:ascii="宋体"/>
          <w:bCs/>
          <w:sz w:val="28"/>
          <w:highlight w:val="none"/>
        </w:rPr>
        <w:fldChar w:fldCharType="separate"/>
      </w:r>
      <w:r>
        <w:rPr>
          <w:rFonts w:ascii="宋体"/>
          <w:sz w:val="28"/>
          <w:highlight w:val="none"/>
        </w:rPr>
        <w:t>三相异步电机试验方法</w:t>
      </w:r>
      <w:r>
        <w:rPr>
          <w:rFonts w:ascii="宋体"/>
          <w:bCs/>
          <w:sz w:val="28"/>
          <w:highlight w:val="none"/>
        </w:rPr>
        <w:fldChar w:fldCharType="end"/>
      </w:r>
      <w:r>
        <w:rPr>
          <w:rFonts w:hint="eastAsia" w:ascii="宋体"/>
          <w:bCs/>
          <w:sz w:val="28"/>
          <w:highlight w:val="none"/>
        </w:rPr>
        <w:t>》   GB1032-68</w:t>
      </w:r>
    </w:p>
    <w:p>
      <w:pPr>
        <w:spacing w:line="560" w:lineRule="exact"/>
        <w:ind w:firstLine="420" w:firstLineChars="150"/>
        <w:outlineLvl w:val="0"/>
        <w:rPr>
          <w:rFonts w:hint="eastAsia" w:ascii="宋体"/>
          <w:bCs/>
          <w:sz w:val="28"/>
          <w:highlight w:val="none"/>
          <w:lang w:eastAsia="zh-CN"/>
        </w:rPr>
      </w:pPr>
      <w:r>
        <w:rPr>
          <w:rFonts w:hint="eastAsia" w:ascii="宋体"/>
          <w:bCs/>
          <w:sz w:val="28"/>
          <w:highlight w:val="none"/>
          <w:lang w:eastAsia="zh-CN"/>
        </w:rPr>
        <w:t>《变频调速专用三相异步电动机技术条件》</w:t>
      </w:r>
      <w:r>
        <w:rPr>
          <w:rFonts w:hint="eastAsia" w:ascii="宋体"/>
          <w:bCs/>
          <w:sz w:val="28"/>
          <w:highlight w:val="none"/>
          <w:lang w:val="en-US" w:eastAsia="zh-CN"/>
        </w:rPr>
        <w:t xml:space="preserve"> JB/T7118-2004</w:t>
      </w:r>
    </w:p>
    <w:p>
      <w:pPr>
        <w:spacing w:line="560" w:lineRule="exact"/>
        <w:ind w:firstLine="560" w:firstLineChars="200"/>
        <w:outlineLvl w:val="0"/>
        <w:rPr>
          <w:rFonts w:ascii="宋体"/>
          <w:bCs/>
          <w:sz w:val="28"/>
        </w:rPr>
      </w:pPr>
      <w:bookmarkStart w:id="11" w:name="_Toc276126645"/>
      <w:r>
        <w:rPr>
          <w:rFonts w:hint="eastAsia" w:ascii="宋体"/>
          <w:bCs/>
          <w:sz w:val="28"/>
        </w:rPr>
        <w:t>3.2若投标方要采用其它国家标准补充或替代上述标准，须经招标方认可后方可采用。对于投标方制造厂标准，若高于经招标方认可的标准或其他标准的，投标方可以直接采用；对没有规定的标准，须征得招标方同意后方能采用。</w:t>
      </w:r>
      <w:bookmarkEnd w:id="11"/>
    </w:p>
    <w:p>
      <w:pPr>
        <w:spacing w:line="560" w:lineRule="exact"/>
        <w:ind w:firstLine="560" w:firstLineChars="200"/>
        <w:outlineLvl w:val="0"/>
        <w:rPr>
          <w:rFonts w:hint="eastAsia" w:ascii="宋体"/>
          <w:bCs/>
          <w:sz w:val="28"/>
        </w:rPr>
      </w:pPr>
      <w:bookmarkStart w:id="12" w:name="_Toc276126646"/>
      <w:r>
        <w:rPr>
          <w:rFonts w:hint="eastAsia" w:ascii="宋体"/>
          <w:bCs/>
          <w:sz w:val="28"/>
        </w:rPr>
        <w:t>3.3设计和制造所遵循的标准和规范，投标方需具体提供该标准和规范。</w:t>
      </w:r>
      <w:bookmarkEnd w:id="12"/>
    </w:p>
    <w:p>
      <w:pPr>
        <w:spacing w:line="560" w:lineRule="exact"/>
        <w:outlineLvl w:val="0"/>
        <w:rPr>
          <w:rFonts w:ascii="宋体"/>
          <w:b/>
          <w:bCs/>
          <w:sz w:val="28"/>
        </w:rPr>
      </w:pPr>
      <w:r>
        <w:rPr>
          <w:rFonts w:hint="eastAsia" w:ascii="宋体"/>
          <w:b/>
          <w:bCs/>
          <w:sz w:val="28"/>
        </w:rPr>
        <w:t>4.施工方案及过程控制</w:t>
      </w:r>
    </w:p>
    <w:p>
      <w:pPr>
        <w:spacing w:line="560" w:lineRule="exact"/>
        <w:ind w:firstLine="560" w:firstLineChars="200"/>
        <w:outlineLvl w:val="0"/>
        <w:rPr>
          <w:rFonts w:hint="eastAsia" w:ascii="宋体"/>
          <w:bCs/>
          <w:sz w:val="28"/>
          <w:highlight w:val="none"/>
        </w:rPr>
      </w:pPr>
      <w:r>
        <w:rPr>
          <w:rFonts w:hint="eastAsia" w:ascii="宋体"/>
          <w:bCs/>
          <w:sz w:val="28"/>
        </w:rPr>
        <w:t>4.1投标方应根据现场勘查结果制定施工组织方案。本改造项目总工期</w:t>
      </w:r>
      <w:r>
        <w:rPr>
          <w:rFonts w:hint="eastAsia"/>
          <w:bCs/>
          <w:sz w:val="28"/>
        </w:rPr>
        <w:t>为</w:t>
      </w:r>
      <w:r>
        <w:rPr>
          <w:rFonts w:hint="eastAsia"/>
          <w:bCs/>
          <w:sz w:val="28"/>
          <w:lang w:val="en-US" w:eastAsia="zh-CN"/>
        </w:rPr>
        <w:t>6</w:t>
      </w:r>
      <w:r>
        <w:rPr>
          <w:rFonts w:hint="eastAsia"/>
          <w:bCs/>
          <w:sz w:val="28"/>
        </w:rPr>
        <w:t>个月</w:t>
      </w:r>
      <w:r>
        <w:rPr>
          <w:rFonts w:hint="eastAsia" w:ascii="宋体"/>
          <w:bCs/>
          <w:sz w:val="28"/>
        </w:rPr>
        <w:t>。一个月内</w:t>
      </w:r>
      <w:r>
        <w:rPr>
          <w:rFonts w:hint="eastAsia" w:ascii="宋体"/>
          <w:bCs/>
          <w:sz w:val="28"/>
          <w:lang w:eastAsia="zh-CN"/>
        </w:rPr>
        <w:t>完成</w:t>
      </w:r>
      <w:r>
        <w:rPr>
          <w:rFonts w:hint="eastAsia" w:ascii="宋体"/>
          <w:bCs/>
          <w:sz w:val="28"/>
        </w:rPr>
        <w:t>供货。</w:t>
      </w:r>
      <w:r>
        <w:rPr>
          <w:rFonts w:hint="eastAsia" w:ascii="宋体"/>
          <w:bCs/>
          <w:sz w:val="28"/>
          <w:highlight w:val="none"/>
        </w:rPr>
        <w:t>自合同签订之日</w:t>
      </w:r>
      <w:r>
        <w:rPr>
          <w:rFonts w:hint="eastAsia"/>
          <w:bCs/>
          <w:sz w:val="28"/>
          <w:highlight w:val="none"/>
        </w:rPr>
        <w:t>起</w:t>
      </w:r>
      <w:r>
        <w:rPr>
          <w:rFonts w:hint="eastAsia" w:ascii="宋体"/>
          <w:bCs/>
          <w:sz w:val="28"/>
          <w:highlight w:val="none"/>
          <w:lang w:val="en-US" w:eastAsia="zh-CN"/>
        </w:rPr>
        <w:t>15</w:t>
      </w:r>
      <w:r>
        <w:rPr>
          <w:rFonts w:hint="eastAsia" w:ascii="宋体"/>
          <w:bCs/>
          <w:sz w:val="28"/>
          <w:highlight w:val="none"/>
        </w:rPr>
        <w:t>天内，投标方</w:t>
      </w:r>
      <w:r>
        <w:rPr>
          <w:rFonts w:hint="eastAsia" w:hAnsi="Courier New"/>
          <w:bCs/>
          <w:sz w:val="28"/>
          <w:highlight w:val="none"/>
        </w:rPr>
        <w:t>供货数量不低于</w:t>
      </w:r>
      <w:r>
        <w:rPr>
          <w:rFonts w:hint="eastAsia"/>
          <w:bCs/>
          <w:sz w:val="28"/>
          <w:highlight w:val="none"/>
        </w:rPr>
        <w:t>供货</w:t>
      </w:r>
      <w:r>
        <w:rPr>
          <w:rFonts w:hint="eastAsia" w:hAnsi="Courier New"/>
          <w:bCs/>
          <w:sz w:val="28"/>
          <w:highlight w:val="none"/>
        </w:rPr>
        <w:t>总量的</w:t>
      </w:r>
      <w:r>
        <w:rPr>
          <w:rFonts w:hint="eastAsia" w:hAnsi="Courier New"/>
          <w:bCs/>
          <w:sz w:val="28"/>
          <w:highlight w:val="none"/>
          <w:lang w:val="en-US" w:eastAsia="zh-CN"/>
        </w:rPr>
        <w:t>70</w:t>
      </w:r>
      <w:r>
        <w:rPr>
          <w:rFonts w:hint="eastAsia" w:hAnsi="Courier New"/>
          <w:bCs/>
          <w:sz w:val="28"/>
          <w:highlight w:val="none"/>
        </w:rPr>
        <w:t>%，剩余</w:t>
      </w:r>
      <w:r>
        <w:rPr>
          <w:rFonts w:hint="eastAsia" w:hAnsi="Courier New"/>
          <w:bCs/>
          <w:sz w:val="28"/>
          <w:highlight w:val="none"/>
          <w:lang w:val="en-US" w:eastAsia="zh-CN"/>
        </w:rPr>
        <w:t>30</w:t>
      </w:r>
      <w:r>
        <w:rPr>
          <w:rFonts w:hint="eastAsia" w:hAnsi="Courier New"/>
          <w:bCs/>
          <w:sz w:val="28"/>
          <w:highlight w:val="none"/>
        </w:rPr>
        <w:t>%在合同签订30日内全部</w:t>
      </w:r>
      <w:r>
        <w:rPr>
          <w:rFonts w:hint="eastAsia"/>
          <w:bCs/>
          <w:sz w:val="28"/>
          <w:highlight w:val="none"/>
        </w:rPr>
        <w:t>抵达黄骅港务公司</w:t>
      </w:r>
      <w:r>
        <w:rPr>
          <w:rFonts w:hint="eastAsia" w:hAnsi="Courier New"/>
          <w:bCs/>
          <w:sz w:val="28"/>
          <w:highlight w:val="none"/>
        </w:rPr>
        <w:t>现场。</w:t>
      </w:r>
    </w:p>
    <w:p>
      <w:pPr>
        <w:spacing w:line="560" w:lineRule="exact"/>
        <w:ind w:firstLine="560" w:firstLineChars="200"/>
        <w:outlineLvl w:val="0"/>
        <w:rPr>
          <w:rFonts w:hint="eastAsia" w:ascii="宋体" w:eastAsia="宋体"/>
          <w:bCs/>
          <w:sz w:val="28"/>
          <w:highlight w:val="none"/>
          <w:lang w:val="en-US" w:eastAsia="zh-CN"/>
        </w:rPr>
      </w:pPr>
      <w:r>
        <w:rPr>
          <w:rFonts w:hint="eastAsia" w:ascii="宋体"/>
          <w:bCs/>
          <w:sz w:val="28"/>
          <w:highlight w:val="none"/>
          <w:lang w:val="en-US" w:eastAsia="zh-CN"/>
        </w:rPr>
        <w:t>4.2设备开箱验收时，投标方需提供电机出厂合格证、质量证明文件，试验报告等相关技术文件。</w:t>
      </w:r>
    </w:p>
    <w:p>
      <w:pPr>
        <w:spacing w:line="560" w:lineRule="exact"/>
        <w:ind w:firstLine="560" w:firstLineChars="200"/>
        <w:outlineLvl w:val="0"/>
        <w:rPr>
          <w:rFonts w:ascii="宋体"/>
          <w:bCs/>
          <w:sz w:val="28"/>
        </w:rPr>
      </w:pPr>
      <w:r>
        <w:rPr>
          <w:rFonts w:hint="eastAsia" w:ascii="宋体"/>
          <w:bCs/>
          <w:sz w:val="28"/>
        </w:rPr>
        <w:t>4.</w:t>
      </w:r>
      <w:r>
        <w:rPr>
          <w:rFonts w:hint="eastAsia" w:ascii="宋体"/>
          <w:bCs/>
          <w:sz w:val="28"/>
          <w:lang w:val="en-US" w:eastAsia="zh-CN"/>
        </w:rPr>
        <w:t>3设备验收合格后，由</w:t>
      </w:r>
      <w:r>
        <w:rPr>
          <w:rFonts w:hint="eastAsia" w:ascii="宋体"/>
          <w:bCs/>
          <w:sz w:val="28"/>
          <w:lang w:eastAsia="zh-CN"/>
        </w:rPr>
        <w:t>投标方完成电机的安装更换工作，合同签订后</w:t>
      </w:r>
      <w:r>
        <w:rPr>
          <w:rFonts w:hint="eastAsia" w:ascii="宋体"/>
          <w:bCs/>
          <w:sz w:val="28"/>
          <w:lang w:val="en-US" w:eastAsia="zh-CN"/>
        </w:rPr>
        <w:t>60日内，完成行走电机不低于合同总量50%数量的电机安装，振动电机不低于合同总量20%数量的电机安装</w:t>
      </w:r>
      <w:r>
        <w:rPr>
          <w:rFonts w:hint="eastAsia" w:ascii="宋体"/>
          <w:bCs/>
          <w:sz w:val="28"/>
          <w:lang w:eastAsia="zh-CN"/>
        </w:rPr>
        <w:t>。</w:t>
      </w:r>
      <w:r>
        <w:rPr>
          <w:rFonts w:hint="eastAsia" w:ascii="宋体"/>
          <w:bCs/>
          <w:sz w:val="28"/>
        </w:rPr>
        <w:t xml:space="preserve">由于招标方的原因导致投标方无法进行现场施工时，本改造项目总工期相应顺延。 </w:t>
      </w:r>
    </w:p>
    <w:p>
      <w:pPr>
        <w:spacing w:line="560" w:lineRule="exact"/>
        <w:outlineLvl w:val="0"/>
        <w:rPr>
          <w:rFonts w:ascii="宋体"/>
          <w:b/>
          <w:bCs/>
          <w:sz w:val="28"/>
        </w:rPr>
      </w:pPr>
      <w:r>
        <w:rPr>
          <w:rFonts w:hint="eastAsia" w:ascii="宋体"/>
          <w:b/>
          <w:bCs/>
          <w:sz w:val="28"/>
        </w:rPr>
        <w:t>5.项目验收</w:t>
      </w:r>
    </w:p>
    <w:p>
      <w:pPr>
        <w:spacing w:line="560" w:lineRule="exact"/>
        <w:ind w:firstLine="560" w:firstLineChars="200"/>
        <w:outlineLvl w:val="0"/>
        <w:rPr>
          <w:rFonts w:hint="eastAsia" w:ascii="宋体" w:eastAsia="宋体"/>
          <w:bCs/>
          <w:sz w:val="28"/>
          <w:lang w:val="en-US" w:eastAsia="zh-CN"/>
        </w:rPr>
      </w:pPr>
      <w:r>
        <w:rPr>
          <w:rFonts w:hint="eastAsia" w:ascii="宋体"/>
          <w:bCs/>
          <w:sz w:val="28"/>
          <w:lang w:val="en-US" w:eastAsia="zh-CN"/>
        </w:rPr>
        <w:t>安装完成的电机进行为期1个月的试运行，运行平稳，无异响、无损坏后，</w:t>
      </w:r>
      <w:r>
        <w:rPr>
          <w:rFonts w:hint="eastAsia" w:ascii="宋体"/>
          <w:bCs/>
          <w:sz w:val="28"/>
        </w:rPr>
        <w:t>招标方根据设备的实际运行情况和投标方提出的书面验收申请组织相关部门按照国家规范、合同及相关文件要求进行验收。</w:t>
      </w:r>
    </w:p>
    <w:bookmarkEnd w:id="9"/>
    <w:p>
      <w:pPr>
        <w:spacing w:line="560" w:lineRule="exact"/>
        <w:outlineLvl w:val="0"/>
        <w:rPr>
          <w:rFonts w:hint="eastAsia" w:ascii="宋体"/>
          <w:b/>
          <w:bCs/>
          <w:sz w:val="28"/>
        </w:rPr>
      </w:pPr>
      <w:bookmarkStart w:id="13" w:name="_Toc384969145"/>
      <w:r>
        <w:rPr>
          <w:rFonts w:hint="eastAsia" w:ascii="宋体"/>
          <w:b/>
          <w:bCs/>
          <w:sz w:val="28"/>
        </w:rPr>
        <w:t>6.质量保证、服务承诺</w:t>
      </w:r>
      <w:bookmarkEnd w:id="10"/>
      <w:bookmarkEnd w:id="13"/>
    </w:p>
    <w:p>
      <w:pPr>
        <w:spacing w:line="560" w:lineRule="exact"/>
        <w:ind w:firstLine="560" w:firstLineChars="200"/>
        <w:outlineLvl w:val="0"/>
        <w:rPr>
          <w:rFonts w:hint="eastAsia" w:ascii="宋体"/>
          <w:bCs/>
          <w:sz w:val="28"/>
        </w:rPr>
      </w:pPr>
      <w:r>
        <w:rPr>
          <w:rFonts w:hint="eastAsia" w:ascii="宋体"/>
          <w:bCs/>
          <w:sz w:val="28"/>
        </w:rPr>
        <w:t>6.1为了对合同设备及其相关设备生产期间的质量检验，招标方有权派人到投标方所在工厂进行检验。对于在投标方所在地的交通费用和为便于招标方质检要求，诸如必要的安全用具、办公用品、技术文件和图纸、核算数据、制造和检验标准及其它必备的检验数据应由投标方免费提供。</w:t>
      </w:r>
    </w:p>
    <w:p>
      <w:pPr>
        <w:spacing w:line="560" w:lineRule="exact"/>
        <w:ind w:firstLine="560" w:firstLineChars="200"/>
        <w:outlineLvl w:val="0"/>
        <w:rPr>
          <w:rFonts w:hint="eastAsia" w:ascii="宋体"/>
          <w:bCs/>
          <w:sz w:val="28"/>
        </w:rPr>
      </w:pPr>
      <w:r>
        <w:rPr>
          <w:rFonts w:hint="eastAsia" w:ascii="宋体"/>
          <w:bCs/>
          <w:sz w:val="28"/>
        </w:rPr>
        <w:t>6.2投标方必须按照本技术规格书或国家标准、规范来进行质量保证程序的操作和示范来证明工作的完成。投标方需提供产品相关的合格证、出厂检验、产品图纸等文件。</w:t>
      </w:r>
    </w:p>
    <w:p>
      <w:pPr>
        <w:spacing w:line="560" w:lineRule="exact"/>
        <w:ind w:firstLine="560" w:firstLineChars="200"/>
        <w:outlineLvl w:val="0"/>
        <w:rPr>
          <w:rFonts w:hint="eastAsia" w:ascii="宋体"/>
          <w:bCs/>
          <w:sz w:val="28"/>
        </w:rPr>
      </w:pPr>
      <w:r>
        <w:rPr>
          <w:rFonts w:hint="eastAsia" w:ascii="宋体"/>
          <w:bCs/>
          <w:sz w:val="28"/>
        </w:rPr>
        <w:t>6.3凡在开箱检验、安装调试、设备试运转过程中发现的设备质量问题，由投标方负责处理，实行包修、包换、包退直至产品符合质量要求，投标方承担修理、调换、退货发生的一切费用和招标方的直接经济损失。</w:t>
      </w:r>
    </w:p>
    <w:p>
      <w:pPr>
        <w:spacing w:line="560" w:lineRule="exact"/>
        <w:ind w:firstLine="560" w:firstLineChars="200"/>
        <w:outlineLvl w:val="0"/>
        <w:rPr>
          <w:rFonts w:hint="eastAsia" w:ascii="宋体"/>
          <w:bCs/>
          <w:sz w:val="28"/>
        </w:rPr>
      </w:pPr>
      <w:r>
        <w:rPr>
          <w:rFonts w:hint="eastAsia" w:ascii="宋体"/>
          <w:bCs/>
          <w:sz w:val="28"/>
        </w:rPr>
        <w:t>6.4投标方以电话、传真、邮件、现场服务等方式为招标方提供技术保障，在设备出现故障并接到招标方现场服务要求时，应在</w:t>
      </w:r>
      <w:r>
        <w:rPr>
          <w:rFonts w:hint="eastAsia" w:ascii="宋体"/>
          <w:bCs/>
          <w:sz w:val="28"/>
          <w:lang w:val="en-US" w:eastAsia="zh-CN"/>
        </w:rPr>
        <w:t>12</w:t>
      </w:r>
      <w:r>
        <w:rPr>
          <w:rFonts w:hint="eastAsia" w:ascii="宋体"/>
          <w:bCs/>
          <w:sz w:val="28"/>
        </w:rPr>
        <w:t>小时内赶到黄骅港现场，并在</w:t>
      </w:r>
      <w:r>
        <w:rPr>
          <w:rFonts w:hint="eastAsia" w:ascii="宋体"/>
          <w:bCs/>
          <w:sz w:val="28"/>
          <w:lang w:val="en-US" w:eastAsia="zh-CN"/>
        </w:rPr>
        <w:t>24</w:t>
      </w:r>
      <w:r>
        <w:rPr>
          <w:rFonts w:hint="eastAsia" w:ascii="宋体"/>
          <w:bCs/>
          <w:sz w:val="28"/>
        </w:rPr>
        <w:t>小时内解决问题或提出可行性解决方案。</w:t>
      </w:r>
    </w:p>
    <w:p>
      <w:pPr>
        <w:spacing w:line="560" w:lineRule="exact"/>
        <w:ind w:firstLine="560" w:firstLineChars="200"/>
        <w:outlineLvl w:val="0"/>
        <w:rPr>
          <w:rFonts w:hint="eastAsia" w:ascii="宋体"/>
          <w:bCs/>
          <w:sz w:val="28"/>
        </w:rPr>
      </w:pPr>
      <w:r>
        <w:rPr>
          <w:rFonts w:hint="eastAsia" w:ascii="宋体"/>
          <w:bCs/>
          <w:sz w:val="28"/>
        </w:rPr>
        <w:t>6.5投标方对所提供设备的主要部件及所有外购配套件提供最终验收合格后12个月内免费维修或更换。</w:t>
      </w:r>
    </w:p>
    <w:p>
      <w:pPr>
        <w:spacing w:line="560" w:lineRule="exact"/>
        <w:ind w:firstLine="560" w:firstLineChars="200"/>
        <w:outlineLvl w:val="0"/>
        <w:rPr>
          <w:rFonts w:hint="eastAsia" w:ascii="宋体"/>
          <w:bCs/>
          <w:sz w:val="28"/>
        </w:rPr>
      </w:pPr>
      <w:r>
        <w:rPr>
          <w:rFonts w:hint="eastAsia" w:ascii="宋体"/>
          <w:bCs/>
          <w:sz w:val="28"/>
        </w:rPr>
        <w:t>6.6设备采用的外购、外协件应提供原产地证明及检验合格证书。</w:t>
      </w:r>
    </w:p>
    <w:p>
      <w:pPr>
        <w:spacing w:line="560" w:lineRule="exact"/>
        <w:ind w:firstLine="560" w:firstLineChars="200"/>
        <w:outlineLvl w:val="0"/>
        <w:rPr>
          <w:rFonts w:hint="eastAsia" w:ascii="宋体"/>
          <w:bCs/>
          <w:sz w:val="28"/>
        </w:rPr>
      </w:pPr>
      <w:r>
        <w:rPr>
          <w:rFonts w:hint="eastAsia" w:ascii="宋体"/>
          <w:bCs/>
          <w:sz w:val="28"/>
        </w:rPr>
        <w:t>6.7在制造期间招标方的一切监理和质检活动所形成的书面资料均不作为投标方产品质量证明文件。在交货前招标方的质检，既不能免去合同中属于供货商质量担保期范围内的责任，也不能替代设备抵运招标方现场的质量检验。</w:t>
      </w:r>
      <w:bookmarkStart w:id="14" w:name="_Toc384969147"/>
      <w:bookmarkStart w:id="15" w:name="_Toc468881971"/>
    </w:p>
    <w:p>
      <w:pPr>
        <w:spacing w:line="560" w:lineRule="exact"/>
        <w:outlineLvl w:val="0"/>
        <w:rPr>
          <w:rFonts w:hint="eastAsia" w:ascii="宋体"/>
          <w:b/>
          <w:bCs/>
          <w:sz w:val="28"/>
        </w:rPr>
      </w:pPr>
      <w:r>
        <w:rPr>
          <w:rFonts w:hint="eastAsia" w:ascii="宋体"/>
          <w:b/>
          <w:bCs/>
          <w:sz w:val="28"/>
        </w:rPr>
        <w:t>7. 投标方应</w:t>
      </w:r>
      <w:bookmarkEnd w:id="14"/>
      <w:r>
        <w:rPr>
          <w:rFonts w:hint="eastAsia" w:ascii="宋体"/>
          <w:b/>
          <w:bCs/>
          <w:sz w:val="28"/>
        </w:rPr>
        <w:t>提供的服务及资料。</w:t>
      </w:r>
      <w:bookmarkEnd w:id="15"/>
    </w:p>
    <w:p>
      <w:pPr>
        <w:spacing w:line="560" w:lineRule="exact"/>
        <w:ind w:firstLine="560" w:firstLineChars="200"/>
        <w:outlineLvl w:val="0"/>
        <w:rPr>
          <w:rFonts w:hint="eastAsia" w:ascii="宋体"/>
          <w:bCs/>
          <w:sz w:val="28"/>
        </w:rPr>
      </w:pPr>
      <w:r>
        <w:rPr>
          <w:rFonts w:hint="eastAsia" w:ascii="宋体"/>
          <w:bCs/>
          <w:sz w:val="28"/>
        </w:rPr>
        <w:t>投标方应根据招标方现场设备安装计划要求提供现场安装技术支持</w:t>
      </w:r>
      <w:r>
        <w:rPr>
          <w:rFonts w:hint="eastAsia" w:ascii="宋体"/>
          <w:bCs/>
          <w:sz w:val="28"/>
          <w:lang w:eastAsia="zh-CN"/>
        </w:rPr>
        <w:t>，</w:t>
      </w:r>
      <w:r>
        <w:rPr>
          <w:rFonts w:hint="eastAsia" w:ascii="宋体"/>
          <w:bCs/>
          <w:sz w:val="28"/>
        </w:rPr>
        <w:t>和日常维护培训服务，投标方应随产品提供</w:t>
      </w:r>
      <w:r>
        <w:rPr>
          <w:rFonts w:ascii="宋体"/>
          <w:bCs/>
          <w:sz w:val="28"/>
        </w:rPr>
        <w:t>安装、维护、使用说明书</w:t>
      </w:r>
      <w:r>
        <w:rPr>
          <w:rFonts w:hint="eastAsia" w:ascii="宋体"/>
          <w:bCs/>
          <w:sz w:val="28"/>
        </w:rPr>
        <w:t>、</w:t>
      </w:r>
      <w:r>
        <w:rPr>
          <w:rFonts w:ascii="宋体"/>
          <w:bCs/>
          <w:sz w:val="28"/>
        </w:rPr>
        <w:t>培训资料等所需的全部技术资料</w:t>
      </w:r>
      <w:r>
        <w:rPr>
          <w:rFonts w:hint="eastAsia" w:ascii="宋体"/>
          <w:bCs/>
          <w:sz w:val="28"/>
        </w:rPr>
        <w:t>。对于安装指导、测试运转、性能测试、试运转和验收，包括招标方操作和维修人员的现场培训,投标方需免费提供。</w:t>
      </w:r>
    </w:p>
    <w:p>
      <w:pPr>
        <w:spacing w:line="560" w:lineRule="exact"/>
        <w:outlineLvl w:val="0"/>
        <w:rPr>
          <w:rFonts w:hint="eastAsia" w:ascii="宋体"/>
          <w:bCs/>
          <w:sz w:val="28"/>
          <w:lang w:val="en-US" w:eastAsia="zh-CN"/>
        </w:rPr>
      </w:pPr>
    </w:p>
    <w:p>
      <w:pPr>
        <w:spacing w:line="560" w:lineRule="exact"/>
        <w:outlineLvl w:val="0"/>
        <w:rPr>
          <w:rFonts w:hint="eastAsia" w:ascii="宋体"/>
          <w:bCs/>
          <w:sz w:val="28"/>
          <w:lang w:val="en-US" w:eastAsia="zh-CN"/>
        </w:rPr>
      </w:pPr>
    </w:p>
    <w:p>
      <w:pPr>
        <w:spacing w:line="560" w:lineRule="exact"/>
        <w:outlineLvl w:val="0"/>
        <w:rPr>
          <w:rFonts w:hint="eastAsia" w:ascii="宋体"/>
          <w:bCs/>
          <w:sz w:val="28"/>
          <w:lang w:val="en-US" w:eastAsia="zh-CN"/>
        </w:rPr>
        <w:sectPr>
          <w:headerReference r:id="rId9" w:type="default"/>
          <w:footerReference r:id="rId10" w:type="default"/>
          <w:footerReference r:id="rId11" w:type="even"/>
          <w:pgSz w:w="11906" w:h="16838"/>
          <w:pgMar w:top="1701" w:right="1531" w:bottom="1701" w:left="1531" w:header="851" w:footer="992" w:gutter="0"/>
          <w:pgNumType w:start="1"/>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eastAsia" w:ascii="宋体"/>
          <w:bCs/>
          <w:sz w:val="28"/>
          <w:lang w:val="en-US" w:eastAsia="zh-CN"/>
        </w:rPr>
      </w:pPr>
      <w:r>
        <w:rPr>
          <w:rFonts w:hint="eastAsia" w:ascii="宋体"/>
          <w:bCs/>
          <w:sz w:val="28"/>
          <w:lang w:val="en-US" w:eastAsia="zh-CN"/>
        </w:rPr>
        <w:t>附件1</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eastAsia" w:ascii="宋体"/>
          <w:bCs/>
          <w:sz w:val="28"/>
          <w:lang w:val="en-US" w:eastAsia="zh-CN"/>
        </w:rPr>
      </w:pPr>
      <w:r>
        <w:rPr>
          <w:rFonts w:hint="eastAsia" w:ascii="宋体"/>
          <w:bCs/>
          <w:sz w:val="28"/>
          <w:lang w:val="en-US" w:eastAsia="zh-CN"/>
        </w:rPr>
        <w:drawing>
          <wp:inline distT="0" distB="0" distL="114300" distR="114300">
            <wp:extent cx="8361680" cy="4478020"/>
            <wp:effectExtent l="0" t="0" r="1270" b="17780"/>
            <wp:docPr id="2" name="图片 1" descr="HMA%B8$YI)FA27A9SAOL3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HMA%B8$YI)FA27A9SAOL3R4"/>
                    <pic:cNvPicPr>
                      <a:picLocks noChangeAspect="1"/>
                    </pic:cNvPicPr>
                  </pic:nvPicPr>
                  <pic:blipFill>
                    <a:blip r:embed="rId13"/>
                    <a:stretch>
                      <a:fillRect/>
                    </a:stretch>
                  </pic:blipFill>
                  <pic:spPr>
                    <a:xfrm>
                      <a:off x="0" y="0"/>
                      <a:ext cx="8361680" cy="447802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eastAsia" w:ascii="宋体"/>
          <w:bCs/>
          <w:sz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eastAsia" w:ascii="宋体"/>
          <w:bCs/>
          <w:sz w:val="28"/>
          <w:lang w:val="en-US" w:eastAsia="zh-CN"/>
        </w:rPr>
      </w:pPr>
      <w:r>
        <w:rPr>
          <w:rFonts w:hint="eastAsia" w:ascii="宋体"/>
          <w:bCs/>
          <w:sz w:val="28"/>
          <w:lang w:val="en-US" w:eastAsia="zh-CN"/>
        </w:rPr>
        <w:t>附件2</w:t>
      </w:r>
    </w:p>
    <w:p>
      <w:pPr>
        <w:widowControl/>
        <w:jc w:val="left"/>
        <w:rPr>
          <w:rFonts w:ascii="Times New Roman" w:hAnsi="Times New Roman" w:eastAsia="宋体" w:cs="Times New Roman"/>
          <w:sz w:val="28"/>
          <w:szCs w:val="28"/>
        </w:rP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"C:\\Users\\党峰\\AppData\\Roaming\\Tencent\\Users\\380618229\\QQ\\WinTemp\\RichOle\\HP4%7)`2R82O[I]Z`9H5`RT.png"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drawing>
          <wp:inline distT="0" distB="0" distL="114300" distR="114300">
            <wp:extent cx="8352155" cy="4161790"/>
            <wp:effectExtent l="0" t="0" r="10795" b="1016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icPr>
                  <pic:blipFill>
                    <a:blip r:embed="rId14"/>
                    <a:stretch>
                      <a:fillRect/>
                    </a:stretch>
                  </pic:blipFill>
                  <pic:spPr>
                    <a:xfrm>
                      <a:off x="0" y="0"/>
                      <a:ext cx="8352155" cy="4161790"/>
                    </a:xfrm>
                    <a:prstGeom prst="rect">
                      <a:avLst/>
                    </a:prstGeom>
                    <a:noFill/>
                    <a:ln w="9525">
                      <a:noFill/>
                    </a:ln>
                  </pic:spPr>
                </pic:pic>
              </a:graphicData>
            </a:graphic>
          </wp:inline>
        </w:drawing>
      </w:r>
      <w:r>
        <w:rPr>
          <w:rFonts w:ascii="宋体" w:hAnsi="宋体" w:eastAsia="宋体" w:cs="宋体"/>
          <w:kern w:val="0"/>
          <w:sz w:val="24"/>
          <w:szCs w:val="24"/>
          <w:lang w:val="en-US" w:eastAsia="zh-CN" w:bidi="ar"/>
        </w:rPr>
        <w:fldChar w:fldCharType="end"/>
      </w:r>
    </w:p>
    <w:sectPr>
      <w:pgSz w:w="16838" w:h="11906" w:orient="landscape"/>
      <w:pgMar w:top="1588" w:right="2098" w:bottom="1474" w:left="1985" w:header="851" w:footer="992" w:gutter="567"/>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方正小标宋简体">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CF3C50" w:usb2="00000016" w:usb3="00000000" w:csb0="0004001F"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CG Times">
    <w:altName w:val="Times New Roman"/>
    <w:panose1 w:val="02020603050405020304"/>
    <w:charset w:val="00"/>
    <w:family w:val="roman"/>
    <w:pitch w:val="default"/>
    <w:sig w:usb0="00000000" w:usb1="00000000" w:usb2="00000000" w:usb3="00000000" w:csb0="00000093" w:csb1="00000000"/>
  </w:font>
  <w:font w:name="RomanD">
    <w:altName w:val="Segoe Print"/>
    <w:panose1 w:val="00000400000000000000"/>
    <w:charset w:val="00"/>
    <w:family w:val="auto"/>
    <w:pitch w:val="default"/>
    <w:sig w:usb0="00000000" w:usb1="00000000" w:usb2="00000000" w:usb3="00000000" w:csb0="000001FF" w:csb1="00000000"/>
  </w:font>
  <w:font w:name="新宋体">
    <w:panose1 w:val="02010609030101010101"/>
    <w:charset w:val="86"/>
    <w:family w:val="modern"/>
    <w:pitch w:val="default"/>
    <w:sig w:usb0="00000003" w:usb1="288F0000" w:usb2="00000006" w:usb3="00000000" w:csb0="00040001" w:csb1="00000000"/>
  </w:font>
  <w:font w:name="Verdana">
    <w:panose1 w:val="020B0604030504040204"/>
    <w:charset w:val="00"/>
    <w:family w:val="swiss"/>
    <w:pitch w:val="default"/>
    <w:sig w:usb0="A10006FF" w:usb1="4000205B" w:usb2="00000010" w:usb3="00000000" w:csb0="2000019F" w:csb1="00000000"/>
  </w:font>
  <w:font w:name="全真中明體">
    <w:altName w:val="MingLiU-ExtB"/>
    <w:panose1 w:val="00000000000000000000"/>
    <w:charset w:val="88"/>
    <w:family w:val="modern"/>
    <w:pitch w:val="default"/>
    <w:sig w:usb0="00000000" w:usb1="00000000" w:usb2="00000010" w:usb3="00000000" w:csb0="00100000" w:csb1="00000000"/>
  </w:font>
  <w:font w:name="CG Omega">
    <w:altName w:val="Segoe Print"/>
    <w:panose1 w:val="020B0502050508020304"/>
    <w:charset w:val="00"/>
    <w:family w:val="swiss"/>
    <w:pitch w:val="default"/>
    <w:sig w:usb0="00000000" w:usb1="00000000" w:usb2="00000000" w:usb3="00000000" w:csb0="00000093" w:csb1="00000000"/>
  </w:font>
  <w:font w:name="Abadi MT Condensed Light">
    <w:altName w:val="MV Boli"/>
    <w:panose1 w:val="020B0306030101010103"/>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Antique Olive Roman">
    <w:altName w:val="Arial"/>
    <w:panose1 w:val="00000000000000000000"/>
    <w:charset w:val="00"/>
    <w:family w:val="swiss"/>
    <w:pitch w:val="default"/>
    <w:sig w:usb0="00000000" w:usb1="00000000" w:usb2="00000000" w:usb3="00000000" w:csb0="00000001" w:csb1="00000000"/>
  </w:font>
  <w:font w:name="Arial (W1)">
    <w:altName w:val="Arial"/>
    <w:panose1 w:val="020B0604020202020204"/>
    <w:charset w:val="00"/>
    <w:family w:val="swiss"/>
    <w:pitch w:val="default"/>
    <w:sig w:usb0="00000000" w:usb1="00000000" w:usb2="00000008" w:usb3="00000000" w:csb0="000001FF" w:csb1="00000000"/>
  </w:font>
  <w:font w:name="Times New (W1)">
    <w:altName w:val="Times New Roman"/>
    <w:panose1 w:val="00000000000000000000"/>
    <w:charset w:val="00"/>
    <w:family w:val="roman"/>
    <w:pitch w:val="default"/>
    <w:sig w:usb0="00000000" w:usb1="00000000" w:usb2="00000008" w:usb3="00000000" w:csb0="000001F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auto"/>
    <w:pitch w:val="default"/>
    <w:sig w:usb0="00000000" w:usb1="00000000" w:usb2="00000016" w:usb3="00000000" w:csb0="00100001" w:csb1="00000000"/>
  </w:font>
  <w:font w:name="MV Boli">
    <w:panose1 w:val="02000500030200090000"/>
    <w:charset w:val="00"/>
    <w:family w:val="auto"/>
    <w:pitch w:val="default"/>
    <w:sig w:usb0="00000003" w:usb1="00000000" w:usb2="00000100" w:usb3="00000000" w:csb0="00000001" w:csb1="00000000"/>
  </w:font>
  <w:font w:name="MingLiU-ExtB">
    <w:panose1 w:val="02020500000000000000"/>
    <w:charset w:val="88"/>
    <w:family w:val="auto"/>
    <w:pitch w:val="default"/>
    <w:sig w:usb0="8000002F" w:usb1="02000008" w:usb2="00000000"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ind w:firstLine="360"/>
      <w:rPr>
        <w:rStyle w:val="12"/>
      </w:rPr>
    </w:pPr>
    <w:r>
      <w:fldChar w:fldCharType="begin"/>
    </w:r>
    <w:r>
      <w:rPr>
        <w:rStyle w:val="12"/>
      </w:rPr>
      <w:instrText xml:space="preserve">PAGE  </w:instrText>
    </w:r>
    <w:r>
      <w:fldChar w:fldCharType="end"/>
    </w:r>
  </w:p>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page" w:x="10201" w:y="45"/>
      <w:rPr>
        <w:rStyle w:val="12"/>
        <w:rFonts w:hint="eastAsia"/>
      </w:rPr>
    </w:pPr>
    <w:r>
      <w:rPr>
        <w:rStyle w:val="12"/>
        <w:rFonts w:hint="eastAsia"/>
      </w:rPr>
      <w:t>-</w:t>
    </w:r>
    <w:r>
      <w:rPr>
        <w:sz w:val="21"/>
        <w:szCs w:val="21"/>
      </w:rPr>
      <w:fldChar w:fldCharType="begin"/>
    </w:r>
    <w:r>
      <w:rPr>
        <w:rStyle w:val="12"/>
        <w:sz w:val="21"/>
        <w:szCs w:val="21"/>
      </w:rPr>
      <w:instrText xml:space="preserve">PAGE  </w:instrText>
    </w:r>
    <w:r>
      <w:rPr>
        <w:sz w:val="21"/>
        <w:szCs w:val="21"/>
      </w:rPr>
      <w:fldChar w:fldCharType="separate"/>
    </w:r>
    <w:r>
      <w:rPr>
        <w:rStyle w:val="12"/>
        <w:sz w:val="21"/>
        <w:szCs w:val="21"/>
      </w:rPr>
      <w:t>2</w:t>
    </w:r>
    <w:r>
      <w:rPr>
        <w:sz w:val="21"/>
        <w:szCs w:val="21"/>
      </w:rPr>
      <w:fldChar w:fldCharType="end"/>
    </w:r>
    <w:r>
      <w:rPr>
        <w:rStyle w:val="12"/>
        <w:rFonts w:hint="eastAsia"/>
      </w:rPr>
      <w:t>-</w:t>
    </w:r>
  </w:p>
  <w:p>
    <w:pPr>
      <w:pStyle w:val="8"/>
      <w:pBdr>
        <w:top w:val="single" w:color="auto" w:sz="4" w:space="1"/>
      </w:pBdr>
      <w:rPr>
        <w:rFonts w:hint="eastAsia"/>
        <w:sz w:val="21"/>
        <w:szCs w:val="21"/>
      </w:rPr>
    </w:pPr>
    <w:r>
      <w:rPr>
        <w:rFonts w:hint="eastAsia"/>
        <w:sz w:val="21"/>
        <w:szCs w:val="21"/>
      </w:rPr>
      <w:t>神华黄骅港务有限责任公司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fldChar w:fldCharType="begin"/>
    </w:r>
    <w:r>
      <w:rPr>
        <w:rStyle w:val="12"/>
      </w:rPr>
      <w:instrText xml:space="preserve">PAGE  </w:instrText>
    </w:r>
    <w: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both"/>
      <w:rPr>
        <w:rFonts w:hint="eastAsia"/>
      </w:rPr>
    </w:pPr>
  </w:p>
  <w:p>
    <w:pPr>
      <w:pStyle w:val="9"/>
      <w:tabs>
        <w:tab w:val="center" w:pos="4422"/>
        <w:tab w:val="right" w:pos="8844"/>
        <w:tab w:val="clear" w:pos="4153"/>
        <w:tab w:val="clear" w:pos="8306"/>
      </w:tabs>
      <w:jc w:val="both"/>
      <w:rPr>
        <w:rFonts w:hint="eastAsia"/>
      </w:rPr>
    </w:pPr>
    <w:r>
      <w:rPr>
        <w:rFonts w:hint="eastAsia"/>
      </w:rPr>
      <w:t xml:space="preserve">                                          技术规格书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F0D27"/>
    <w:multiLevelType w:val="singleLevel"/>
    <w:tmpl w:val="58FF0D2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D58E5"/>
    <w:rsid w:val="00040DAC"/>
    <w:rsid w:val="00040F8B"/>
    <w:rsid w:val="00064136"/>
    <w:rsid w:val="000676D4"/>
    <w:rsid w:val="0007275A"/>
    <w:rsid w:val="00072840"/>
    <w:rsid w:val="00094887"/>
    <w:rsid w:val="000D58E5"/>
    <w:rsid w:val="000E634A"/>
    <w:rsid w:val="000F4BA1"/>
    <w:rsid w:val="0011014F"/>
    <w:rsid w:val="00113D04"/>
    <w:rsid w:val="00144456"/>
    <w:rsid w:val="0019000B"/>
    <w:rsid w:val="001A2F03"/>
    <w:rsid w:val="001B02C9"/>
    <w:rsid w:val="001C7AA0"/>
    <w:rsid w:val="001E13F8"/>
    <w:rsid w:val="001F1AA1"/>
    <w:rsid w:val="001F42C5"/>
    <w:rsid w:val="001F6DB6"/>
    <w:rsid w:val="00203DB3"/>
    <w:rsid w:val="00207BAD"/>
    <w:rsid w:val="0025154F"/>
    <w:rsid w:val="00263238"/>
    <w:rsid w:val="002650BE"/>
    <w:rsid w:val="0027393E"/>
    <w:rsid w:val="002A586F"/>
    <w:rsid w:val="002C758E"/>
    <w:rsid w:val="002D0E42"/>
    <w:rsid w:val="0030640B"/>
    <w:rsid w:val="00312518"/>
    <w:rsid w:val="003225C0"/>
    <w:rsid w:val="00391BD3"/>
    <w:rsid w:val="003A215E"/>
    <w:rsid w:val="003B3DD8"/>
    <w:rsid w:val="003B4E8D"/>
    <w:rsid w:val="003C1FF4"/>
    <w:rsid w:val="003C57D9"/>
    <w:rsid w:val="003C5B4D"/>
    <w:rsid w:val="003D3CAB"/>
    <w:rsid w:val="00415586"/>
    <w:rsid w:val="00417ACF"/>
    <w:rsid w:val="00421C77"/>
    <w:rsid w:val="004238B9"/>
    <w:rsid w:val="004A2E74"/>
    <w:rsid w:val="004B3D50"/>
    <w:rsid w:val="004D3290"/>
    <w:rsid w:val="004F16DF"/>
    <w:rsid w:val="0050313E"/>
    <w:rsid w:val="00507B55"/>
    <w:rsid w:val="00512A35"/>
    <w:rsid w:val="00553CCA"/>
    <w:rsid w:val="00570FEC"/>
    <w:rsid w:val="0057226C"/>
    <w:rsid w:val="00572A6F"/>
    <w:rsid w:val="00597B2F"/>
    <w:rsid w:val="005A6BCB"/>
    <w:rsid w:val="005C31A8"/>
    <w:rsid w:val="00603296"/>
    <w:rsid w:val="006207AF"/>
    <w:rsid w:val="006513C2"/>
    <w:rsid w:val="00685315"/>
    <w:rsid w:val="00692BFD"/>
    <w:rsid w:val="006939C6"/>
    <w:rsid w:val="006C6E51"/>
    <w:rsid w:val="006E4603"/>
    <w:rsid w:val="0073657D"/>
    <w:rsid w:val="00795677"/>
    <w:rsid w:val="007A2854"/>
    <w:rsid w:val="007A5BFC"/>
    <w:rsid w:val="008154EF"/>
    <w:rsid w:val="00865494"/>
    <w:rsid w:val="0086793D"/>
    <w:rsid w:val="00886145"/>
    <w:rsid w:val="00890918"/>
    <w:rsid w:val="008A449B"/>
    <w:rsid w:val="008B55DE"/>
    <w:rsid w:val="008D5A1C"/>
    <w:rsid w:val="008E4B08"/>
    <w:rsid w:val="008E7824"/>
    <w:rsid w:val="008F674F"/>
    <w:rsid w:val="009147E4"/>
    <w:rsid w:val="009447C2"/>
    <w:rsid w:val="009540AF"/>
    <w:rsid w:val="00955A4D"/>
    <w:rsid w:val="0096164B"/>
    <w:rsid w:val="009770EE"/>
    <w:rsid w:val="0098498E"/>
    <w:rsid w:val="00996054"/>
    <w:rsid w:val="009C3C82"/>
    <w:rsid w:val="009E1C97"/>
    <w:rsid w:val="009E587A"/>
    <w:rsid w:val="00A019C0"/>
    <w:rsid w:val="00A12719"/>
    <w:rsid w:val="00A62E02"/>
    <w:rsid w:val="00A6662D"/>
    <w:rsid w:val="00A715EA"/>
    <w:rsid w:val="00AB1363"/>
    <w:rsid w:val="00AC1B74"/>
    <w:rsid w:val="00AD5704"/>
    <w:rsid w:val="00B240E9"/>
    <w:rsid w:val="00B717CA"/>
    <w:rsid w:val="00C024A0"/>
    <w:rsid w:val="00C138BA"/>
    <w:rsid w:val="00C1587A"/>
    <w:rsid w:val="00C34000"/>
    <w:rsid w:val="00C4795E"/>
    <w:rsid w:val="00C47CA9"/>
    <w:rsid w:val="00C75B45"/>
    <w:rsid w:val="00CA6B8D"/>
    <w:rsid w:val="00CB2C1A"/>
    <w:rsid w:val="00D22768"/>
    <w:rsid w:val="00D41EE6"/>
    <w:rsid w:val="00D47F96"/>
    <w:rsid w:val="00D56A80"/>
    <w:rsid w:val="00D75473"/>
    <w:rsid w:val="00DD56C8"/>
    <w:rsid w:val="00E053A6"/>
    <w:rsid w:val="00E1151E"/>
    <w:rsid w:val="00E138C3"/>
    <w:rsid w:val="00E43C0C"/>
    <w:rsid w:val="00E45476"/>
    <w:rsid w:val="00E61596"/>
    <w:rsid w:val="00EB73FC"/>
    <w:rsid w:val="00ED05D2"/>
    <w:rsid w:val="00F01696"/>
    <w:rsid w:val="00F420DC"/>
    <w:rsid w:val="00FB603E"/>
    <w:rsid w:val="00FC5B82"/>
    <w:rsid w:val="00FC7E71"/>
    <w:rsid w:val="00FE6BE2"/>
    <w:rsid w:val="00FE769B"/>
    <w:rsid w:val="02863822"/>
    <w:rsid w:val="04211045"/>
    <w:rsid w:val="0F9D2E98"/>
    <w:rsid w:val="1FA175E3"/>
    <w:rsid w:val="41D52CFC"/>
    <w:rsid w:val="57517A5F"/>
    <w:rsid w:val="7A3D70A3"/>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0"/>
    <w:pPr>
      <w:keepNext/>
      <w:keepLines/>
      <w:spacing w:before="340" w:after="330" w:line="576" w:lineRule="auto"/>
      <w:outlineLvl w:val="0"/>
    </w:pPr>
    <w:rPr>
      <w:rFonts w:ascii="Times New Roman" w:hAnsi="Times New Roman" w:eastAsia="宋体" w:cs="Times New Roman"/>
      <w:b/>
      <w:bCs/>
      <w:kern w:val="44"/>
      <w:sz w:val="44"/>
      <w:szCs w:val="44"/>
    </w:rPr>
  </w:style>
  <w:style w:type="character" w:default="1" w:styleId="11">
    <w:name w:val="Default Paragraph Font"/>
    <w:unhideWhenUsed/>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3">
    <w:name w:val="Body Text"/>
    <w:basedOn w:val="1"/>
    <w:link w:val="25"/>
    <w:qFormat/>
    <w:uiPriority w:val="0"/>
    <w:rPr>
      <w:rFonts w:ascii="Times New Roman" w:hAnsi="Times New Roman" w:eastAsia="仿宋_GB2312" w:cs="Times New Roman"/>
      <w:sz w:val="32"/>
      <w:szCs w:val="20"/>
    </w:rPr>
  </w:style>
  <w:style w:type="paragraph" w:styleId="4">
    <w:name w:val="Body Text Indent"/>
    <w:basedOn w:val="1"/>
    <w:link w:val="24"/>
    <w:qFormat/>
    <w:uiPriority w:val="0"/>
    <w:pPr>
      <w:snapToGrid w:val="0"/>
      <w:ind w:firstLine="420" w:firstLineChars="200"/>
    </w:pPr>
    <w:rPr>
      <w:rFonts w:ascii="宋体" w:hAnsi="宋体"/>
      <w:szCs w:val="24"/>
    </w:rPr>
  </w:style>
  <w:style w:type="paragraph" w:styleId="5">
    <w:name w:val="Plain Text"/>
    <w:basedOn w:val="1"/>
    <w:link w:val="20"/>
    <w:unhideWhenUsed/>
    <w:qFormat/>
    <w:uiPriority w:val="0"/>
    <w:rPr>
      <w:rFonts w:ascii="宋体" w:hAnsi="Courier New" w:eastAsia="宋体" w:cs="Times New Roman"/>
      <w:sz w:val="24"/>
      <w:szCs w:val="20"/>
    </w:rPr>
  </w:style>
  <w:style w:type="paragraph" w:styleId="6">
    <w:name w:val="Body Text Indent 2"/>
    <w:basedOn w:val="1"/>
    <w:link w:val="26"/>
    <w:qFormat/>
    <w:uiPriority w:val="0"/>
    <w:pPr>
      <w:tabs>
        <w:tab w:val="left" w:pos="7020"/>
      </w:tabs>
      <w:spacing w:line="400" w:lineRule="exact"/>
      <w:ind w:firstLine="640" w:firstLineChars="200"/>
    </w:pPr>
    <w:rPr>
      <w:rFonts w:ascii="仿宋_GB2312" w:hAnsi="宋体" w:eastAsia="仿宋_GB2312" w:cs="Times New Roman"/>
      <w:sz w:val="32"/>
      <w:szCs w:val="24"/>
    </w:rPr>
  </w:style>
  <w:style w:type="paragraph" w:styleId="7">
    <w:name w:val="Balloon Text"/>
    <w:basedOn w:val="1"/>
    <w:link w:val="22"/>
    <w:unhideWhenUsed/>
    <w:qFormat/>
    <w:uiPriority w:val="99"/>
    <w:rPr>
      <w:sz w:val="18"/>
      <w:szCs w:val="18"/>
    </w:rPr>
  </w:style>
  <w:style w:type="paragraph" w:styleId="8">
    <w:name w:val="footer"/>
    <w:basedOn w:val="1"/>
    <w:link w:val="17"/>
    <w:unhideWhenUsed/>
    <w:qFormat/>
    <w:uiPriority w:val="99"/>
    <w:pPr>
      <w:tabs>
        <w:tab w:val="center" w:pos="4153"/>
        <w:tab w:val="right" w:pos="8306"/>
      </w:tabs>
      <w:snapToGrid w:val="0"/>
      <w:jc w:val="left"/>
    </w:pPr>
    <w:rPr>
      <w:sz w:val="18"/>
      <w:szCs w:val="18"/>
    </w:rPr>
  </w:style>
  <w:style w:type="paragraph" w:styleId="9">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spacing w:after="100" w:line="276" w:lineRule="auto"/>
      <w:jc w:val="left"/>
    </w:pPr>
    <w:rPr>
      <w:rFonts w:ascii="Calibri" w:hAnsi="Calibri" w:eastAsia="宋体" w:cs="Times New Roman"/>
      <w:kern w:val="0"/>
      <w:sz w:val="22"/>
    </w:rPr>
  </w:style>
  <w:style w:type="character" w:styleId="12">
    <w:name w:val="page number"/>
    <w:basedOn w:val="11"/>
    <w:qFormat/>
    <w:uiPriority w:val="0"/>
  </w:style>
  <w:style w:type="character" w:styleId="13">
    <w:name w:val="Hyperlink"/>
    <w:unhideWhenUsed/>
    <w:qFormat/>
    <w:uiPriority w:val="99"/>
    <w:rPr>
      <w:color w:val="0000FF"/>
      <w:u w:val="single"/>
    </w:rPr>
  </w:style>
  <w:style w:type="table" w:styleId="15">
    <w:name w:val="Table Grid"/>
    <w:basedOn w:val="14"/>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6">
    <w:name w:val="页眉 Char"/>
    <w:basedOn w:val="11"/>
    <w:link w:val="9"/>
    <w:qFormat/>
    <w:uiPriority w:val="99"/>
    <w:rPr>
      <w:sz w:val="18"/>
      <w:szCs w:val="18"/>
    </w:rPr>
  </w:style>
  <w:style w:type="character" w:customStyle="1" w:styleId="17">
    <w:name w:val="页脚 Char"/>
    <w:basedOn w:val="11"/>
    <w:link w:val="8"/>
    <w:uiPriority w:val="99"/>
    <w:rPr>
      <w:sz w:val="18"/>
      <w:szCs w:val="18"/>
    </w:rPr>
  </w:style>
  <w:style w:type="paragraph" w:customStyle="1" w:styleId="18">
    <w:name w:val="p0"/>
    <w:basedOn w:val="1"/>
    <w:uiPriority w:val="0"/>
    <w:pPr>
      <w:widowControl/>
      <w:jc w:val="left"/>
    </w:pPr>
    <w:rPr>
      <w:rFonts w:ascii="Times New Roman" w:hAnsi="Times New Roman" w:eastAsia="宋体" w:cs="Times New Roman"/>
      <w:szCs w:val="24"/>
    </w:rPr>
  </w:style>
  <w:style w:type="character" w:customStyle="1" w:styleId="19">
    <w:name w:val="标题 1 Char"/>
    <w:basedOn w:val="11"/>
    <w:link w:val="2"/>
    <w:qFormat/>
    <w:uiPriority w:val="0"/>
    <w:rPr>
      <w:rFonts w:ascii="Times New Roman" w:hAnsi="Times New Roman" w:eastAsia="宋体" w:cs="Times New Roman"/>
      <w:b/>
      <w:bCs/>
      <w:kern w:val="44"/>
      <w:sz w:val="44"/>
      <w:szCs w:val="44"/>
    </w:rPr>
  </w:style>
  <w:style w:type="character" w:customStyle="1" w:styleId="20">
    <w:name w:val="纯文本 Char"/>
    <w:basedOn w:val="11"/>
    <w:link w:val="5"/>
    <w:uiPriority w:val="0"/>
    <w:rPr>
      <w:rFonts w:ascii="宋体" w:hAnsi="Courier New" w:eastAsia="宋体" w:cs="Times New Roman"/>
      <w:sz w:val="24"/>
      <w:szCs w:val="20"/>
    </w:rPr>
  </w:style>
  <w:style w:type="paragraph" w:customStyle="1" w:styleId="21">
    <w:name w:val="Char Char Char Char"/>
    <w:basedOn w:val="1"/>
    <w:qFormat/>
    <w:uiPriority w:val="0"/>
    <w:rPr>
      <w:rFonts w:ascii="Times New Roman" w:hAnsi="Times New Roman" w:eastAsia="宋体" w:cs="Times New Roman"/>
      <w:szCs w:val="24"/>
    </w:rPr>
  </w:style>
  <w:style w:type="character" w:customStyle="1" w:styleId="22">
    <w:name w:val="批注框文本 Char"/>
    <w:basedOn w:val="11"/>
    <w:link w:val="7"/>
    <w:semiHidden/>
    <w:qFormat/>
    <w:uiPriority w:val="99"/>
    <w:rPr>
      <w:sz w:val="18"/>
      <w:szCs w:val="18"/>
    </w:rPr>
  </w:style>
  <w:style w:type="character" w:customStyle="1" w:styleId="23">
    <w:name w:val="正文文本缩进 Char"/>
    <w:basedOn w:val="11"/>
    <w:link w:val="4"/>
    <w:qFormat/>
    <w:uiPriority w:val="0"/>
    <w:rPr>
      <w:rFonts w:ascii="宋体" w:hAnsi="宋体"/>
      <w:szCs w:val="24"/>
    </w:rPr>
  </w:style>
  <w:style w:type="character" w:customStyle="1" w:styleId="24">
    <w:name w:val="正文文本缩进 Char1"/>
    <w:basedOn w:val="11"/>
    <w:link w:val="4"/>
    <w:semiHidden/>
    <w:uiPriority w:val="99"/>
  </w:style>
  <w:style w:type="character" w:customStyle="1" w:styleId="25">
    <w:name w:val="正文文本 Char"/>
    <w:basedOn w:val="11"/>
    <w:link w:val="3"/>
    <w:uiPriority w:val="0"/>
    <w:rPr>
      <w:rFonts w:ascii="Times New Roman" w:hAnsi="Times New Roman" w:eastAsia="仿宋_GB2312" w:cs="Times New Roman"/>
      <w:sz w:val="32"/>
      <w:szCs w:val="20"/>
    </w:rPr>
  </w:style>
  <w:style w:type="character" w:customStyle="1" w:styleId="26">
    <w:name w:val="正文文本缩进 2 Char"/>
    <w:basedOn w:val="11"/>
    <w:link w:val="6"/>
    <w:uiPriority w:val="0"/>
    <w:rPr>
      <w:rFonts w:ascii="仿宋_GB2312" w:hAnsi="宋体" w:eastAsia="仿宋_GB2312" w:cs="Times New Roman"/>
      <w:sz w:val="32"/>
      <w:szCs w:val="24"/>
    </w:rPr>
  </w:style>
  <w:style w:type="paragraph" w:customStyle="1" w:styleId="27">
    <w:name w:val="1.1.1（1）"/>
    <w:basedOn w:val="1"/>
    <w:link w:val="28"/>
    <w:qFormat/>
    <w:uiPriority w:val="0"/>
    <w:pPr>
      <w:adjustRightInd w:val="0"/>
      <w:snapToGrid w:val="0"/>
      <w:spacing w:line="360" w:lineRule="auto"/>
      <w:ind w:left="350" w:leftChars="200" w:hanging="150" w:hangingChars="150"/>
    </w:pPr>
    <w:rPr>
      <w:rFonts w:ascii="宋体" w:hAnsi="宋体" w:eastAsia="宋体" w:cs="Times New Roman"/>
      <w:sz w:val="24"/>
      <w:szCs w:val="24"/>
    </w:rPr>
  </w:style>
  <w:style w:type="character" w:customStyle="1" w:styleId="28">
    <w:name w:val="1.1.1（1） Char"/>
    <w:link w:val="27"/>
    <w:qFormat/>
    <w:uiPriority w:val="0"/>
    <w:rPr>
      <w:rFonts w:ascii="宋体" w:hAnsi="宋体" w:eastAsia="宋体" w:cs="Times New Roman"/>
      <w:sz w:val="24"/>
      <w:szCs w:val="24"/>
    </w:rPr>
  </w:style>
  <w:style w:type="paragraph" w:customStyle="1" w:styleId="29">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table" w:customStyle="1" w:styleId="30">
    <w:name w:val="Table Normal"/>
    <w:qFormat/>
    <w:uiPriority w:val="0"/>
    <w:rPr>
      <w:rFonts w:ascii="Times New Roman" w:hAnsi="Times New Roman" w:cs="Times New Roman"/>
      <w:kern w:val="0"/>
      <w:sz w:val="20"/>
      <w:szCs w:val="20"/>
    </w:rPr>
    <w:tblPr>
      <w:tblLayout w:type="fixed"/>
      <w:tblCellMar>
        <w:top w:w="0" w:type="dxa"/>
        <w:left w:w="0" w:type="dxa"/>
        <w:bottom w:w="0" w:type="dxa"/>
        <w:right w:w="0" w:type="dxa"/>
      </w:tblCellMar>
    </w:tblPr>
  </w:style>
  <w:style w:type="character" w:customStyle="1" w:styleId="31">
    <w:name w:val="无"/>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1964</Words>
  <Characters>11198</Characters>
  <Lines>93</Lines>
  <Paragraphs>26</Paragraphs>
  <ScaleCrop>false</ScaleCrop>
  <LinksUpToDate>false</LinksUpToDate>
  <CharactersWithSpaces>13136</CharactersWithSpaces>
  <Application>WPS Office_10.8.0.5874_F1E327BC-269C-435d-A152-05C5408002CA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2016-10-26T01:54:00Z</dcterms:created>
  <dc:creator>qjh</dc:creator>
  <cp:lastModifiedBy>联想</cp:lastModifiedBy>
  <cp:lastPrinted>2017-06-07T07:53:00Z</cp:lastPrinted>
  <dcterms:modified xsi:type="dcterms:W3CDTF">2017-06-07T08:23:12Z</dcterms:modified>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2052-10.8.0.5874</vt:lpwstr>
  </property>
</Properties>
</file>