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tabs>
          <w:tab w:val="left" w:pos="425"/>
        </w:tabs>
        <w:adjustRightInd w:val="0"/>
        <w:snapToGrid w:val="0"/>
        <w:spacing w:line="560" w:lineRule="exact"/>
        <w:rPr>
          <w:szCs w:val="32"/>
        </w:rPr>
      </w:pPr>
      <w:r>
        <w:rPr>
          <w:rFonts w:hint="eastAsia"/>
          <w:szCs w:val="32"/>
        </w:rPr>
        <w:t>报价要求：</w:t>
      </w:r>
    </w:p>
    <w:p>
      <w:pPr>
        <w:pStyle w:val="6"/>
        <w:tabs>
          <w:tab w:val="left" w:pos="425"/>
        </w:tabs>
        <w:adjustRightInd w:val="0"/>
        <w:snapToGrid w:val="0"/>
        <w:spacing w:line="560" w:lineRule="exact"/>
        <w:rPr>
          <w:szCs w:val="32"/>
        </w:rPr>
      </w:pPr>
      <w:r>
        <w:rPr>
          <w:rFonts w:hint="eastAsia"/>
          <w:szCs w:val="32"/>
        </w:rPr>
        <w:t>参与本项目的供应商应综合考虑服务发生的人工、材料、机械设备及现场临建、水、电等费用综合报价（含利润、税金）等完成本项目相关工作，报价包括但不限于以下内容：</w:t>
      </w:r>
    </w:p>
    <w:p>
      <w:pPr>
        <w:pStyle w:val="6"/>
        <w:tabs>
          <w:tab w:val="left" w:pos="425"/>
        </w:tabs>
        <w:adjustRightInd w:val="0"/>
        <w:snapToGrid w:val="0"/>
        <w:spacing w:line="560" w:lineRule="exact"/>
        <w:rPr>
          <w:szCs w:val="32"/>
        </w:rPr>
      </w:pPr>
      <w:r>
        <w:rPr>
          <w:szCs w:val="32"/>
        </w:rPr>
        <w:t>1.</w:t>
      </w:r>
      <w:r>
        <w:rPr>
          <w:rFonts w:hint="eastAsia"/>
          <w:szCs w:val="32"/>
        </w:rPr>
        <w:t>根据要求需建设的必要的临时设施而发生的费用（如水电源接通、排水、搭设脚手架、临时支撑等）；</w:t>
      </w:r>
    </w:p>
    <w:p>
      <w:pPr>
        <w:pStyle w:val="6"/>
        <w:tabs>
          <w:tab w:val="left" w:pos="425"/>
        </w:tabs>
        <w:adjustRightInd w:val="0"/>
        <w:snapToGrid w:val="0"/>
        <w:spacing w:line="560" w:lineRule="exact"/>
        <w:rPr>
          <w:szCs w:val="32"/>
        </w:rPr>
      </w:pPr>
      <w:r>
        <w:rPr>
          <w:szCs w:val="32"/>
        </w:rPr>
        <w:t>2.</w:t>
      </w:r>
      <w:r>
        <w:rPr>
          <w:rFonts w:hint="eastAsia"/>
          <w:szCs w:val="32"/>
        </w:rPr>
        <w:t>设备及机具拆装采取的措施；</w:t>
      </w:r>
    </w:p>
    <w:p>
      <w:pPr>
        <w:pStyle w:val="6"/>
        <w:tabs>
          <w:tab w:val="left" w:pos="425"/>
        </w:tabs>
        <w:adjustRightInd w:val="0"/>
        <w:snapToGrid w:val="0"/>
        <w:spacing w:line="560" w:lineRule="exact"/>
        <w:rPr>
          <w:szCs w:val="32"/>
        </w:rPr>
      </w:pPr>
      <w:r>
        <w:rPr>
          <w:szCs w:val="32"/>
        </w:rPr>
        <w:t>3.</w:t>
      </w:r>
      <w:r>
        <w:rPr>
          <w:rFonts w:hint="eastAsia"/>
          <w:szCs w:val="32"/>
        </w:rPr>
        <w:t>本项目实施中可能发生的安全问题的治理防范措施费；</w:t>
      </w:r>
    </w:p>
    <w:p>
      <w:pPr>
        <w:pStyle w:val="6"/>
        <w:tabs>
          <w:tab w:val="left" w:pos="425"/>
        </w:tabs>
        <w:adjustRightInd w:val="0"/>
        <w:snapToGrid w:val="0"/>
        <w:spacing w:line="560" w:lineRule="exact"/>
        <w:rPr>
          <w:szCs w:val="32"/>
        </w:rPr>
      </w:pPr>
      <w:r>
        <w:rPr>
          <w:szCs w:val="32"/>
        </w:rPr>
        <w:t>4.</w:t>
      </w:r>
      <w:r>
        <w:rPr>
          <w:rFonts w:hint="eastAsia"/>
          <w:szCs w:val="32"/>
        </w:rPr>
        <w:t>合同中各类风险费用（如技术参数变化、防风、防火、防雨等）；</w:t>
      </w:r>
    </w:p>
    <w:p>
      <w:pPr>
        <w:pStyle w:val="6"/>
        <w:tabs>
          <w:tab w:val="left" w:pos="425"/>
        </w:tabs>
        <w:adjustRightInd w:val="0"/>
        <w:snapToGrid w:val="0"/>
        <w:spacing w:line="560" w:lineRule="exact"/>
        <w:rPr>
          <w:szCs w:val="32"/>
        </w:rPr>
      </w:pPr>
      <w:r>
        <w:rPr>
          <w:szCs w:val="32"/>
        </w:rPr>
        <w:t>5.</w:t>
      </w:r>
      <w:r>
        <w:rPr>
          <w:rFonts w:hint="eastAsia"/>
          <w:szCs w:val="32"/>
        </w:rPr>
        <w:t>垃圾废弃物清理搬运、施工区域清扫及为满足招标人规定的文明施工要求所发生的费用；</w:t>
      </w:r>
    </w:p>
    <w:p>
      <w:pPr>
        <w:pStyle w:val="6"/>
        <w:tabs>
          <w:tab w:val="left" w:pos="425"/>
        </w:tabs>
        <w:adjustRightInd w:val="0"/>
        <w:snapToGrid w:val="0"/>
        <w:spacing w:line="560" w:lineRule="exact"/>
        <w:rPr>
          <w:szCs w:val="32"/>
        </w:rPr>
      </w:pPr>
      <w:r>
        <w:rPr>
          <w:szCs w:val="32"/>
        </w:rPr>
        <w:t>6.</w:t>
      </w:r>
      <w:r>
        <w:rPr>
          <w:rFonts w:hint="eastAsia"/>
          <w:szCs w:val="32"/>
        </w:rPr>
        <w:t>投标人认为为完成本项目所必需的其它费用；</w:t>
      </w:r>
    </w:p>
    <w:p>
      <w:pPr>
        <w:pStyle w:val="6"/>
        <w:tabs>
          <w:tab w:val="left" w:pos="425"/>
        </w:tabs>
        <w:adjustRightInd w:val="0"/>
        <w:snapToGrid w:val="0"/>
        <w:spacing w:line="560" w:lineRule="exact"/>
        <w:rPr>
          <w:szCs w:val="32"/>
        </w:rPr>
      </w:pPr>
      <w:r>
        <w:rPr>
          <w:szCs w:val="32"/>
        </w:rPr>
        <w:t>7.</w:t>
      </w:r>
      <w:r>
        <w:rPr>
          <w:rFonts w:hint="eastAsia"/>
          <w:szCs w:val="32"/>
        </w:rPr>
        <w:t>本项目的报价全部采用人民币含税价格（需提供增值税专用发票）。</w:t>
      </w:r>
    </w:p>
    <w:p>
      <w:pPr>
        <w:snapToGrid w:val="0"/>
        <w:spacing w:line="360" w:lineRule="auto"/>
        <w:ind w:left="558" w:hanging="558" w:hangingChars="150"/>
        <w:jc w:val="center"/>
        <w:rPr>
          <w:rFonts w:hint="eastAsia" w:ascii="方正小标宋简体" w:hAnsi="方正小标宋简体" w:eastAsia="方正小标宋简体" w:cs="方正小标宋简体"/>
          <w:b/>
          <w:spacing w:val="6"/>
          <w:sz w:val="44"/>
          <w:szCs w:val="44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snapToGrid w:val="0"/>
        <w:spacing w:line="360" w:lineRule="auto"/>
        <w:ind w:left="558" w:hanging="558" w:hangingChars="150"/>
        <w:jc w:val="center"/>
        <w:rPr>
          <w:rFonts w:hint="eastAsia" w:ascii="方正小标宋简体" w:hAnsi="方正小标宋简体" w:eastAsia="方正小标宋简体" w:cs="方正小标宋简体"/>
          <w:b/>
          <w:spacing w:val="6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pacing w:val="6"/>
          <w:sz w:val="44"/>
          <w:szCs w:val="44"/>
        </w:rPr>
        <w:t>低压</w:t>
      </w:r>
      <w:r>
        <w:rPr>
          <w:rFonts w:hint="eastAsia" w:ascii="方正小标宋简体" w:hAnsi="方正小标宋简体" w:eastAsia="方正小标宋简体" w:cs="方正小标宋简体"/>
          <w:b/>
          <w:spacing w:val="6"/>
          <w:sz w:val="44"/>
          <w:szCs w:val="44"/>
          <w:lang w:eastAsia="zh-CN"/>
        </w:rPr>
        <w:t>驱动</w:t>
      </w:r>
      <w:r>
        <w:rPr>
          <w:rFonts w:hint="eastAsia" w:ascii="方正小标宋简体" w:hAnsi="方正小标宋简体" w:eastAsia="方正小标宋简体" w:cs="方正小标宋简体"/>
          <w:b/>
          <w:spacing w:val="6"/>
          <w:sz w:val="44"/>
          <w:szCs w:val="44"/>
        </w:rPr>
        <w:t>电机</w:t>
      </w:r>
      <w:r>
        <w:rPr>
          <w:rFonts w:hint="eastAsia" w:ascii="方正小标宋简体" w:hAnsi="方正小标宋简体" w:eastAsia="方正小标宋简体" w:cs="方正小标宋简体"/>
          <w:b/>
          <w:spacing w:val="6"/>
          <w:sz w:val="44"/>
          <w:szCs w:val="44"/>
          <w:lang w:eastAsia="zh-CN"/>
        </w:rPr>
        <w:t>外委维修</w:t>
      </w:r>
      <w:r>
        <w:rPr>
          <w:rFonts w:hint="eastAsia" w:ascii="方正小标宋简体" w:hAnsi="方正小标宋简体" w:eastAsia="方正小标宋简体" w:cs="方正小标宋简体"/>
          <w:b/>
          <w:spacing w:val="6"/>
          <w:sz w:val="44"/>
          <w:szCs w:val="44"/>
        </w:rPr>
        <w:t>项目技术规格书</w:t>
      </w:r>
    </w:p>
    <w:p>
      <w:pPr>
        <w:snapToGrid w:val="0"/>
        <w:spacing w:line="360" w:lineRule="auto"/>
        <w:ind w:left="-315" w:leftChars="-150"/>
        <w:jc w:val="left"/>
        <w:rPr>
          <w:rFonts w:ascii="仿宋_GB2312" w:hAnsi="Times New Roman" w:eastAsia="仿宋_GB2312"/>
          <w:b/>
          <w:sz w:val="30"/>
          <w:szCs w:val="30"/>
        </w:rPr>
      </w:pPr>
      <w:r>
        <w:rPr>
          <w:rFonts w:hint="eastAsia" w:ascii="仿宋_GB2312" w:hAnsi="Times New Roman" w:eastAsia="仿宋_GB2312"/>
          <w:b/>
          <w:sz w:val="30"/>
          <w:szCs w:val="30"/>
        </w:rPr>
        <w:t xml:space="preserve">一、项目内容及范围： </w:t>
      </w:r>
    </w:p>
    <w:p>
      <w:pPr>
        <w:snapToGrid w:val="0"/>
        <w:spacing w:line="360" w:lineRule="auto"/>
        <w:ind w:firstLine="624" w:firstLineChars="200"/>
        <w:jc w:val="left"/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神华黄骅港务公司低压驱动电机的专业维修。</w:t>
      </w:r>
    </w:p>
    <w:p>
      <w:pPr>
        <w:snapToGrid w:val="0"/>
        <w:spacing w:line="360" w:lineRule="auto"/>
        <w:ind w:left="-315" w:leftChars="-150"/>
        <w:jc w:val="left"/>
        <w:rPr>
          <w:rFonts w:ascii="仿宋_GB2312" w:hAnsi="Times New Roman" w:eastAsia="仿宋_GB2312"/>
          <w:b/>
          <w:sz w:val="30"/>
          <w:szCs w:val="30"/>
        </w:rPr>
      </w:pPr>
      <w:r>
        <w:rPr>
          <w:rFonts w:hint="eastAsia" w:ascii="仿宋_GB2312" w:hAnsi="Times New Roman" w:eastAsia="仿宋_GB2312"/>
          <w:b/>
          <w:sz w:val="30"/>
          <w:szCs w:val="30"/>
        </w:rPr>
        <w:t>二、服务期：</w:t>
      </w:r>
    </w:p>
    <w:p>
      <w:pPr>
        <w:snapToGrid w:val="0"/>
        <w:spacing w:line="360" w:lineRule="auto"/>
        <w:ind w:firstLine="624" w:firstLineChars="200"/>
        <w:jc w:val="left"/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自2017年7月至2018年7月。服务期内招标方损坏的低压电机由承揽方进行维修。招标方在用的电机保有量参见附件1。</w:t>
      </w:r>
    </w:p>
    <w:p>
      <w:pPr>
        <w:snapToGrid w:val="0"/>
        <w:spacing w:line="360" w:lineRule="auto"/>
        <w:ind w:left="-315" w:leftChars="-150"/>
        <w:jc w:val="left"/>
        <w:rPr>
          <w:rFonts w:ascii="仿宋_GB2312" w:hAnsi="Times New Roman" w:eastAsia="仿宋_GB2312"/>
          <w:b/>
          <w:sz w:val="30"/>
          <w:szCs w:val="30"/>
        </w:rPr>
      </w:pPr>
      <w:r>
        <w:rPr>
          <w:rFonts w:hint="eastAsia" w:ascii="仿宋_GB2312" w:hAnsi="Times New Roman" w:eastAsia="仿宋_GB2312"/>
          <w:b/>
          <w:sz w:val="30"/>
          <w:szCs w:val="30"/>
        </w:rPr>
        <w:t>三、技术要求：</w:t>
      </w:r>
    </w:p>
    <w:p>
      <w:pPr>
        <w:snapToGrid w:val="0"/>
        <w:spacing w:line="360" w:lineRule="auto"/>
        <w:ind w:firstLine="624" w:firstLineChars="200"/>
        <w:jc w:val="left"/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1、承包方负责损坏电机维修和更换：包括绕组、轴承的更换；风机罩的维修及更换；以及电机的清理、外观的重新涂装。轴承采用SKF品牌轴承。其中5.5KW的电机维修必须对风机罩进行更换，选用材质为普通碳素钢的子母复合风罩（尺寸图详见附件3），其余电机根据实际损坏情况而定。</w:t>
      </w:r>
    </w:p>
    <w:p>
      <w:pPr>
        <w:snapToGrid w:val="0"/>
        <w:spacing w:line="360" w:lineRule="auto"/>
        <w:ind w:firstLine="624" w:firstLineChars="200"/>
        <w:jc w:val="left"/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2、电机的维修应遵循现行的国家标准、行业标准，满足《旋转电机基本技术要求》GB755-87及《变频调速专用三相异步电动机技术条件》JB/T7118-2004的相关要求。</w:t>
      </w:r>
    </w:p>
    <w:p>
      <w:pPr>
        <w:snapToGrid w:val="0"/>
        <w:spacing w:line="360" w:lineRule="auto"/>
        <w:ind w:firstLine="624" w:firstLineChars="200"/>
        <w:jc w:val="left"/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3、承包方对维修后的电机进行测试试验，并提供相关试验报告及质量证明报告等相关文件。</w:t>
      </w:r>
    </w:p>
    <w:p>
      <w:pPr>
        <w:snapToGrid w:val="0"/>
        <w:spacing w:line="360" w:lineRule="auto"/>
        <w:ind w:firstLine="624" w:firstLineChars="200"/>
        <w:jc w:val="left"/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4、承包方应在接到招标方通知后，24小时内赶到现场，将损坏电机运至维修场地，并于30日内完成维修工作后运回招标方现场。</w:t>
      </w:r>
    </w:p>
    <w:p>
      <w:pPr>
        <w:snapToGrid w:val="0"/>
        <w:spacing w:line="360" w:lineRule="auto"/>
        <w:ind w:firstLine="624" w:firstLineChars="200"/>
        <w:jc w:val="left"/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5、承包方有义务提供现场电机安装技术指导。</w:t>
      </w:r>
    </w:p>
    <w:p>
      <w:pPr>
        <w:snapToGrid w:val="0"/>
        <w:spacing w:line="360" w:lineRule="auto"/>
        <w:ind w:left="-315" w:leftChars="-150"/>
        <w:jc w:val="left"/>
        <w:rPr>
          <w:rFonts w:ascii="仿宋_GB2312" w:hAnsi="Times New Roman" w:eastAsia="仿宋_GB2312"/>
          <w:b/>
          <w:sz w:val="30"/>
          <w:szCs w:val="30"/>
        </w:rPr>
      </w:pPr>
      <w:r>
        <w:rPr>
          <w:rFonts w:hint="eastAsia" w:ascii="仿宋_GB2312" w:hAnsi="Times New Roman" w:eastAsia="仿宋_GB2312"/>
          <w:b/>
          <w:sz w:val="30"/>
          <w:szCs w:val="30"/>
        </w:rPr>
        <w:t>四、报价及结算方式</w:t>
      </w:r>
    </w:p>
    <w:p>
      <w:pPr>
        <w:snapToGrid w:val="0"/>
        <w:spacing w:line="360" w:lineRule="auto"/>
        <w:ind w:firstLine="624" w:firstLineChars="200"/>
        <w:jc w:val="left"/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1、报价采用单台单次包干的形式进行报价，其它专业维修、润滑油脂、运输等费用均包含在维修服务报价中，发包方不再另行支付。</w:t>
      </w:r>
    </w:p>
    <w:p>
      <w:pPr>
        <w:snapToGrid w:val="0"/>
        <w:spacing w:line="360" w:lineRule="auto"/>
        <w:ind w:firstLine="624" w:firstLineChars="200"/>
        <w:jc w:val="left"/>
        <w:rPr>
          <w:rFonts w:ascii="仿宋_GB2312" w:hAnsi="宋体" w:eastAsia="仿宋_GB2312"/>
          <w:spacing w:val="6"/>
          <w:sz w:val="30"/>
          <w:szCs w:val="30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2、最终工程结算以实际发生工程量进行结算，即：工程结算价 = ∑实际发生项目数量×该项投标单价。承包方需提供增值税专用发票，税率17%。每季度结算一次。</w:t>
      </w:r>
    </w:p>
    <w:p>
      <w:pPr>
        <w:snapToGrid w:val="0"/>
        <w:spacing w:line="360" w:lineRule="auto"/>
        <w:ind w:left="-315" w:leftChars="-150"/>
        <w:jc w:val="left"/>
        <w:rPr>
          <w:rFonts w:ascii="仿宋_GB2312" w:hAnsi="Times New Roman" w:eastAsia="仿宋_GB2312"/>
          <w:b/>
          <w:sz w:val="30"/>
          <w:szCs w:val="30"/>
        </w:rPr>
      </w:pPr>
      <w:r>
        <w:rPr>
          <w:rFonts w:hint="eastAsia" w:ascii="仿宋_GB2312" w:hAnsi="Times New Roman" w:eastAsia="仿宋_GB2312"/>
          <w:b/>
          <w:sz w:val="30"/>
          <w:szCs w:val="30"/>
        </w:rPr>
        <w:t>五、项目验收及质保：</w:t>
      </w:r>
    </w:p>
    <w:p>
      <w:pPr>
        <w:snapToGrid w:val="0"/>
        <w:spacing w:line="360" w:lineRule="auto"/>
        <w:ind w:firstLine="624" w:firstLineChars="200"/>
        <w:jc w:val="left"/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1、发包方按国家相关标准进行验收，验收时承包方需提供相关电机质量及性能检测报告。</w:t>
      </w:r>
    </w:p>
    <w:p>
      <w:pPr>
        <w:snapToGrid w:val="0"/>
        <w:spacing w:line="360" w:lineRule="auto"/>
        <w:ind w:firstLine="624" w:firstLineChars="200"/>
        <w:jc w:val="left"/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 xml:space="preserve"> 2、维修后电机质保期为12个月，质保期范围内若电机不能满足现场运行条件，承包方须重新对电机进行返厂维修，直至电机满足运行条件为止。</w:t>
      </w:r>
    </w:p>
    <w:p>
      <w:pPr>
        <w:snapToGrid w:val="0"/>
        <w:spacing w:line="360" w:lineRule="auto"/>
        <w:ind w:left="-315" w:leftChars="-150"/>
        <w:jc w:val="left"/>
        <w:rPr>
          <w:rFonts w:ascii="仿宋_GB2312" w:eastAsia="仿宋_GB2312"/>
          <w:sz w:val="28"/>
          <w:szCs w:val="28"/>
        </w:rPr>
      </w:pPr>
      <w:r>
        <w:rPr>
          <w:rFonts w:hint="eastAsia" w:ascii="仿宋_GB2312" w:hAnsi="Times New Roman" w:eastAsia="仿宋_GB2312"/>
          <w:b/>
          <w:sz w:val="30"/>
          <w:szCs w:val="30"/>
        </w:rPr>
        <w:t>六、分项报价表参见附件1</w:t>
      </w:r>
    </w:p>
    <w:p>
      <w:pPr>
        <w:jc w:val="center"/>
        <w:rPr>
          <w:rFonts w:ascii="宋体" w:hAnsi="宋体" w:cs="宋体"/>
          <w:b/>
          <w:bCs/>
          <w:sz w:val="28"/>
          <w:szCs w:val="28"/>
        </w:rPr>
      </w:pPr>
    </w:p>
    <w:p>
      <w:pPr>
        <w:rPr>
          <w:rFonts w:hint="eastAsia" w:ascii="宋体" w:hAnsi="宋体" w:cs="宋体"/>
          <w:b/>
          <w:bCs/>
          <w:sz w:val="28"/>
          <w:szCs w:val="28"/>
        </w:rPr>
      </w:pPr>
    </w:p>
    <w:p>
      <w:pPr>
        <w:rPr>
          <w:rFonts w:hint="eastAsia" w:ascii="宋体" w:hAnsi="宋体" w:cs="宋体"/>
          <w:b/>
          <w:bCs/>
          <w:sz w:val="28"/>
          <w:szCs w:val="28"/>
        </w:rPr>
      </w:pPr>
    </w:p>
    <w:p>
      <w:pPr>
        <w:rPr>
          <w:rFonts w:hint="eastAsia" w:ascii="宋体" w:hAnsi="宋体" w:cs="宋体"/>
          <w:b/>
          <w:bCs/>
          <w:sz w:val="28"/>
          <w:szCs w:val="28"/>
        </w:rPr>
      </w:pPr>
    </w:p>
    <w:p>
      <w:pPr>
        <w:rPr>
          <w:rFonts w:hint="eastAsia" w:ascii="宋体" w:hAnsi="宋体" w:cs="宋体"/>
          <w:b/>
          <w:bCs/>
          <w:sz w:val="28"/>
          <w:szCs w:val="28"/>
        </w:rPr>
      </w:pPr>
    </w:p>
    <w:p>
      <w:pPr>
        <w:rPr>
          <w:rFonts w:hint="eastAsia" w:ascii="宋体" w:hAnsi="宋体" w:cs="宋体"/>
          <w:b/>
          <w:bCs/>
          <w:sz w:val="28"/>
          <w:szCs w:val="28"/>
        </w:rPr>
      </w:pPr>
    </w:p>
    <w:p>
      <w:pPr>
        <w:rPr>
          <w:rFonts w:hint="eastAsia" w:ascii="宋体" w:hAnsi="宋体" w:cs="宋体"/>
          <w:b/>
          <w:bCs/>
          <w:sz w:val="28"/>
          <w:szCs w:val="28"/>
        </w:rPr>
      </w:pPr>
    </w:p>
    <w:p>
      <w:pPr>
        <w:rPr>
          <w:rFonts w:hint="eastAsia" w:ascii="宋体" w:hAnsi="宋体" w:cs="宋体"/>
          <w:b/>
          <w:bCs/>
          <w:sz w:val="28"/>
          <w:szCs w:val="28"/>
        </w:rPr>
      </w:pPr>
    </w:p>
    <w:p>
      <w:pPr>
        <w:rPr>
          <w:rFonts w:hint="eastAsia" w:ascii="宋体" w:hAnsi="宋体" w:cs="宋体"/>
          <w:b/>
          <w:bCs/>
          <w:sz w:val="28"/>
          <w:szCs w:val="28"/>
        </w:rPr>
      </w:pPr>
    </w:p>
    <w:p>
      <w:pPr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附件1：</w:t>
      </w:r>
    </w:p>
    <w:p>
      <w:pPr>
        <w:ind w:firstLine="281" w:firstLineChars="100"/>
        <w:jc w:val="center"/>
        <w:rPr>
          <w:rFonts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/>
          <w:bCs/>
          <w:sz w:val="28"/>
          <w:szCs w:val="28"/>
        </w:rPr>
        <w:t>电机维修</w:t>
      </w:r>
      <w:r>
        <w:rPr>
          <w:rFonts w:hint="eastAsia" w:ascii="宋体" w:hAnsi="宋体" w:cs="宋体"/>
          <w:b/>
          <w:bCs/>
          <w:sz w:val="28"/>
          <w:szCs w:val="28"/>
          <w:lang w:eastAsia="zh-CN"/>
        </w:rPr>
        <w:t>分项</w:t>
      </w:r>
      <w:r>
        <w:rPr>
          <w:rFonts w:hint="eastAsia" w:ascii="宋体" w:hAnsi="宋体" w:cs="宋体"/>
          <w:b/>
          <w:bCs/>
          <w:sz w:val="28"/>
          <w:szCs w:val="28"/>
        </w:rPr>
        <w:t>报价</w:t>
      </w:r>
      <w:r>
        <w:rPr>
          <w:rFonts w:hint="eastAsia" w:ascii="宋体" w:hAnsi="宋体" w:cs="宋体"/>
          <w:b/>
          <w:bCs/>
          <w:sz w:val="28"/>
          <w:szCs w:val="28"/>
          <w:lang w:eastAsia="zh-CN"/>
        </w:rPr>
        <w:t>表</w:t>
      </w:r>
    </w:p>
    <w:tbl>
      <w:tblPr>
        <w:tblStyle w:val="14"/>
        <w:tblW w:w="833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94"/>
        <w:gridCol w:w="1396"/>
        <w:gridCol w:w="1034"/>
        <w:gridCol w:w="1107"/>
        <w:gridCol w:w="565"/>
        <w:gridCol w:w="1182"/>
        <w:gridCol w:w="1073"/>
        <w:gridCol w:w="138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功率范围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预计维修量（台）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分项名称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分项单价控制价（元）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分项单价投标报价（元）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投标报价合计（元）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5.5KW以下</w:t>
            </w:r>
          </w:p>
        </w:tc>
        <w:tc>
          <w:tcPr>
            <w:tcW w:w="10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50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绕组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400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轴承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300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外观涂装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次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5.5KW</w:t>
            </w:r>
          </w:p>
        </w:tc>
        <w:tc>
          <w:tcPr>
            <w:tcW w:w="10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绕组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500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轴承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400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外观涂装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次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60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风机罩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500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5.5KW~11KW</w:t>
            </w:r>
          </w:p>
        </w:tc>
        <w:tc>
          <w:tcPr>
            <w:tcW w:w="10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绕组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600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轴承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430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外观涂装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次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80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3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11KW</w:t>
            </w:r>
          </w:p>
        </w:tc>
        <w:tc>
          <w:tcPr>
            <w:tcW w:w="10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绕组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700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轴承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550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外观涂装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次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110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11KW~22KW</w:t>
            </w:r>
          </w:p>
        </w:tc>
        <w:tc>
          <w:tcPr>
            <w:tcW w:w="10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绕组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850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轴承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650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外观涂装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次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130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22KW</w:t>
            </w:r>
          </w:p>
        </w:tc>
        <w:tc>
          <w:tcPr>
            <w:tcW w:w="10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绕组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1700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轴承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1200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外观涂装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次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150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3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22KW~45KW</w:t>
            </w:r>
          </w:p>
        </w:tc>
        <w:tc>
          <w:tcPr>
            <w:tcW w:w="10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绕组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2500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轴承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1500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外观涂装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次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200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45KW</w:t>
            </w:r>
          </w:p>
        </w:tc>
        <w:tc>
          <w:tcPr>
            <w:tcW w:w="10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绕组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3900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轴承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2500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外观涂装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次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300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3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  <w:r>
              <w:rPr>
                <w:rStyle w:val="32"/>
                <w:rFonts w:hAnsi="宋体"/>
                <w:lang w:val="en-US" w:eastAsia="zh-CN" w:bidi="ar"/>
              </w:rPr>
              <w:t>5KW~110KW</w:t>
            </w:r>
          </w:p>
        </w:tc>
        <w:tc>
          <w:tcPr>
            <w:tcW w:w="10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绕组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6900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轴承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3000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外观涂装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次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400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110KW</w:t>
            </w:r>
          </w:p>
        </w:tc>
        <w:tc>
          <w:tcPr>
            <w:tcW w:w="10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绕组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8200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轴承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4000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外观涂装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次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600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3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110KW~200KW</w:t>
            </w:r>
          </w:p>
        </w:tc>
        <w:tc>
          <w:tcPr>
            <w:tcW w:w="10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绕组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11000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轴承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5000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外观涂装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次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800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3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200KW</w:t>
            </w:r>
          </w:p>
        </w:tc>
        <w:tc>
          <w:tcPr>
            <w:tcW w:w="10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绕组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16500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轴承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6000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外观涂装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次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900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3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活化给料机振动电机</w:t>
            </w:r>
          </w:p>
        </w:tc>
        <w:tc>
          <w:tcPr>
            <w:tcW w:w="10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绕组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3300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轴承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2500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外观涂装</w:t>
            </w:r>
          </w:p>
        </w:tc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楷体_GB2312" w:hAnsi="宋体" w:eastAsia="楷体_GB2312" w:cs="楷体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次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200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587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合计控制价：47.74万元</w:t>
            </w:r>
          </w:p>
        </w:tc>
        <w:tc>
          <w:tcPr>
            <w:tcW w:w="10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投标总价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宋体" w:eastAsia="楷体_GB2312" w:cs="楷体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bookmarkStart w:id="0" w:name="_GoBack"/>
            <w:bookmarkEnd w:id="0"/>
          </w:p>
        </w:tc>
      </w:tr>
    </w:tbl>
    <w:p>
      <w:pPr>
        <w:snapToGrid w:val="0"/>
        <w:spacing w:line="360" w:lineRule="auto"/>
        <w:jc w:val="left"/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备注：</w:t>
      </w:r>
    </w:p>
    <w:p>
      <w:pPr>
        <w:snapToGrid w:val="0"/>
        <w:spacing w:line="360" w:lineRule="auto"/>
        <w:ind w:firstLine="624" w:firstLineChars="200"/>
        <w:jc w:val="left"/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1、活化给料机振动电机由于其特殊的使用要求，一旦损坏，两个轴承必须进行更换，型号为22318E的SKF品牌轴承，造价较高，详细参数参见附件2。</w:t>
      </w:r>
    </w:p>
    <w:p>
      <w:pPr>
        <w:snapToGrid w:val="0"/>
        <w:spacing w:line="360" w:lineRule="auto"/>
        <w:ind w:firstLine="624" w:firstLineChars="200"/>
        <w:jc w:val="left"/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宋体" w:eastAsia="仿宋_GB2312" w:cs="Times New Roman"/>
          <w:kern w:val="2"/>
          <w:sz w:val="32"/>
          <w:szCs w:val="32"/>
          <w:lang w:val="en-US" w:eastAsia="zh-CN" w:bidi="ar-SA"/>
        </w:rPr>
        <w:t>2、要求投标人单项投标报价均不得高于表中本单项控制价，投标价总计 = ∑保有量×该项投标单价。</w:t>
      </w:r>
    </w:p>
    <w:p/>
    <w:p/>
    <w:p/>
    <w:p/>
    <w:p/>
    <w:p/>
    <w:p/>
    <w:p/>
    <w:p>
      <w:pPr>
        <w:rPr>
          <w:rFonts w:hint="eastAsia" w:ascii="宋体" w:hAnsi="宋体" w:cs="宋体"/>
          <w:b/>
          <w:bCs/>
          <w:sz w:val="28"/>
          <w:szCs w:val="28"/>
        </w:rPr>
      </w:pPr>
    </w:p>
    <w:p>
      <w:pPr>
        <w:rPr>
          <w:rFonts w:hint="eastAsia" w:ascii="宋体" w:hAnsi="宋体" w:cs="宋体"/>
          <w:b/>
          <w:bCs/>
          <w:sz w:val="28"/>
          <w:szCs w:val="28"/>
        </w:rPr>
      </w:pPr>
    </w:p>
    <w:p>
      <w:pPr>
        <w:rPr>
          <w:rFonts w:hint="eastAsia" w:ascii="宋体" w:hAnsi="宋体" w:cs="宋体"/>
          <w:b/>
          <w:bCs/>
          <w:sz w:val="28"/>
          <w:szCs w:val="28"/>
        </w:rPr>
      </w:pPr>
    </w:p>
    <w:p>
      <w:pPr>
        <w:rPr>
          <w:rFonts w:hint="eastAsia" w:ascii="宋体" w:hAnsi="宋体" w:cs="宋体"/>
          <w:b/>
          <w:bCs/>
          <w:sz w:val="28"/>
          <w:szCs w:val="28"/>
        </w:rPr>
      </w:pPr>
    </w:p>
    <w:p>
      <w:pPr>
        <w:rPr>
          <w:rFonts w:hint="eastAsia" w:ascii="宋体" w:hAnsi="宋体" w:cs="宋体"/>
          <w:b/>
          <w:bCs/>
          <w:sz w:val="28"/>
          <w:szCs w:val="28"/>
        </w:rPr>
      </w:pPr>
    </w:p>
    <w:p>
      <w:pPr>
        <w:rPr>
          <w:rFonts w:hint="eastAsia" w:ascii="宋体" w:hAnsi="宋体" w:cs="宋体"/>
          <w:b/>
          <w:bCs/>
          <w:sz w:val="28"/>
          <w:szCs w:val="28"/>
        </w:rPr>
      </w:pPr>
    </w:p>
    <w:p>
      <w:pPr>
        <w:rPr>
          <w:rFonts w:hint="eastAsia" w:ascii="宋体" w:hAnsi="宋体" w:cs="宋体"/>
          <w:b/>
          <w:bCs/>
          <w:sz w:val="28"/>
          <w:szCs w:val="28"/>
        </w:rPr>
      </w:pPr>
    </w:p>
    <w:p>
      <w:pPr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附件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2</w:t>
      </w:r>
      <w:r>
        <w:rPr>
          <w:rFonts w:hint="eastAsia" w:ascii="宋体" w:hAnsi="宋体" w:cs="宋体"/>
          <w:b/>
          <w:bCs/>
          <w:sz w:val="28"/>
          <w:szCs w:val="28"/>
        </w:rPr>
        <w:t>：</w:t>
      </w:r>
    </w:p>
    <w:p>
      <w:pPr>
        <w:numPr>
          <w:ilvl w:val="0"/>
          <w:numId w:val="0"/>
        </w:numPr>
        <w:spacing w:line="360" w:lineRule="auto"/>
        <w:rPr>
          <w:rFonts w:hint="eastAsia" w:ascii="宋体"/>
          <w:bCs/>
          <w:sz w:val="28"/>
          <w:highlight w:val="none"/>
        </w:rPr>
      </w:pPr>
      <w:r>
        <w:rPr>
          <w:rFonts w:hint="eastAsia" w:ascii="宋体"/>
          <w:bCs/>
          <w:sz w:val="28"/>
          <w:highlight w:val="none"/>
        </w:rPr>
        <w:t>活化给料机</w:t>
      </w:r>
      <w:r>
        <w:rPr>
          <w:rFonts w:hint="eastAsia" w:ascii="宋体"/>
          <w:bCs/>
          <w:sz w:val="28"/>
          <w:highlight w:val="none"/>
          <w:lang w:eastAsia="zh-CN"/>
        </w:rPr>
        <w:t>振动</w:t>
      </w:r>
      <w:r>
        <w:rPr>
          <w:rFonts w:hint="eastAsia" w:ascii="宋体"/>
          <w:bCs/>
          <w:sz w:val="28"/>
          <w:highlight w:val="none"/>
        </w:rPr>
        <w:t>电机参数</w:t>
      </w:r>
    </w:p>
    <w:p>
      <w:pPr>
        <w:numPr>
          <w:ilvl w:val="0"/>
          <w:numId w:val="0"/>
        </w:numPr>
        <w:spacing w:line="360" w:lineRule="auto"/>
        <w:rPr>
          <w:rFonts w:hint="eastAsia" w:ascii="宋体" w:eastAsia="宋体"/>
          <w:bCs/>
          <w:sz w:val="28"/>
          <w:highlight w:val="none"/>
          <w:lang w:val="en-US" w:eastAsia="zh-CN"/>
        </w:rPr>
      </w:pPr>
      <w:r>
        <w:rPr>
          <w:rFonts w:hint="eastAsia" w:ascii="宋体"/>
          <w:bCs/>
          <w:sz w:val="28"/>
          <w:highlight w:val="none"/>
          <w:lang w:val="en-US" w:eastAsia="zh-CN"/>
        </w:rPr>
        <w:t xml:space="preserve">      型号：OOSHHH-1111-1108-009</w:t>
      </w:r>
    </w:p>
    <w:p>
      <w:pPr>
        <w:spacing w:line="360" w:lineRule="auto"/>
        <w:ind w:left="856"/>
        <w:rPr>
          <w:rFonts w:hint="eastAsia" w:ascii="宋体"/>
          <w:bCs/>
          <w:sz w:val="28"/>
          <w:highlight w:val="none"/>
        </w:rPr>
      </w:pPr>
      <w:r>
        <w:rPr>
          <w:rFonts w:hint="eastAsia" w:ascii="宋体"/>
          <w:bCs/>
          <w:sz w:val="28"/>
          <w:highlight w:val="none"/>
        </w:rPr>
        <w:t>频率：50HZ                            电压：380V</w:t>
      </w:r>
    </w:p>
    <w:p>
      <w:pPr>
        <w:spacing w:line="360" w:lineRule="auto"/>
        <w:ind w:left="856"/>
        <w:rPr>
          <w:rFonts w:hint="eastAsia" w:ascii="宋体"/>
          <w:bCs/>
          <w:sz w:val="28"/>
          <w:highlight w:val="none"/>
        </w:rPr>
      </w:pPr>
      <w:r>
        <w:rPr>
          <w:rFonts w:hint="eastAsia" w:ascii="宋体"/>
          <w:bCs/>
          <w:sz w:val="28"/>
          <w:highlight w:val="none"/>
        </w:rPr>
        <w:t>电流：21.5A                           功率：9.5KW</w:t>
      </w:r>
    </w:p>
    <w:p>
      <w:pPr>
        <w:spacing w:line="360" w:lineRule="auto"/>
        <w:ind w:left="856"/>
        <w:rPr>
          <w:rFonts w:hint="eastAsia" w:ascii="宋体"/>
          <w:bCs/>
          <w:sz w:val="28"/>
          <w:highlight w:val="none"/>
          <w:lang w:val="en-US" w:eastAsia="zh-CN"/>
        </w:rPr>
      </w:pPr>
      <w:r>
        <w:rPr>
          <w:rFonts w:hint="eastAsia" w:ascii="宋体"/>
          <w:bCs/>
          <w:sz w:val="28"/>
          <w:highlight w:val="none"/>
        </w:rPr>
        <w:t>最大转速：1500转/分                  防护等级：IP</w:t>
      </w:r>
      <w:r>
        <w:rPr>
          <w:rFonts w:hint="eastAsia" w:ascii="宋体"/>
          <w:bCs/>
          <w:sz w:val="28"/>
          <w:highlight w:val="none"/>
          <w:lang w:val="en-US" w:eastAsia="zh-CN"/>
        </w:rPr>
        <w:t>65</w:t>
      </w:r>
    </w:p>
    <w:p>
      <w:pPr>
        <w:spacing w:line="360" w:lineRule="auto"/>
        <w:ind w:left="856"/>
        <w:rPr>
          <w:rFonts w:hint="eastAsia" w:ascii="宋体"/>
          <w:bCs/>
          <w:sz w:val="28"/>
          <w:highlight w:val="none"/>
          <w:lang w:val="en-US" w:eastAsia="zh-CN"/>
        </w:rPr>
      </w:pPr>
      <w:r>
        <w:rPr>
          <w:rFonts w:hint="eastAsia" w:ascii="宋体"/>
          <w:bCs/>
          <w:sz w:val="28"/>
          <w:highlight w:val="none"/>
          <w:lang w:val="en-US" w:eastAsia="zh-CN"/>
        </w:rPr>
        <w:t>底座：160L                           工作制：连续工作</w:t>
      </w:r>
    </w:p>
    <w:p>
      <w:pPr>
        <w:spacing w:line="360" w:lineRule="auto"/>
        <w:ind w:left="856"/>
        <w:rPr>
          <w:rFonts w:hint="eastAsia" w:ascii="宋体"/>
          <w:bCs/>
          <w:sz w:val="28"/>
          <w:highlight w:val="none"/>
          <w:lang w:val="en-US" w:eastAsia="zh-CN"/>
        </w:rPr>
      </w:pPr>
      <w:r>
        <w:rPr>
          <w:rFonts w:hint="eastAsia" w:ascii="宋体"/>
          <w:bCs/>
          <w:sz w:val="28"/>
          <w:highlight w:val="none"/>
          <w:lang w:val="en-US" w:eastAsia="zh-CN"/>
        </w:rPr>
        <w:t>绝缘等级：F级                        轴承型号：22318E</w:t>
      </w:r>
    </w:p>
    <w:p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附件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3</w:t>
      </w:r>
      <w:r>
        <w:rPr>
          <w:rFonts w:hint="eastAsia" w:ascii="宋体" w:hAnsi="宋体" w:cs="宋体"/>
          <w:b/>
          <w:bCs/>
          <w:sz w:val="28"/>
          <w:szCs w:val="28"/>
        </w:rPr>
        <w:t>：</w:t>
      </w:r>
      <w:r>
        <w:rPr>
          <w:rFonts w:hint="eastAsia" w:ascii="宋体"/>
          <w:bCs/>
          <w:sz w:val="28"/>
          <w:highlight w:val="none"/>
          <w:lang w:val="en-US" w:eastAsia="zh-CN"/>
        </w:rPr>
        <w:t>5.5KW电机风机罩尺寸图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0"/>
        <w:rPr>
          <w:rFonts w:hint="eastAsia"/>
          <w:szCs w:val="32"/>
          <w:lang w:eastAsia="zh-CN"/>
        </w:rPr>
      </w:pPr>
      <w:r>
        <w:drawing>
          <wp:inline distT="0" distB="0" distL="114300" distR="114300">
            <wp:extent cx="7738110" cy="5052695"/>
            <wp:effectExtent l="0" t="0" r="15240" b="146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738110" cy="50526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1588" w:right="2098" w:bottom="1474" w:left="1985" w:header="851" w:footer="992" w:gutter="567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8CF3C50" w:usb2="00000016" w:usb3="00000000" w:csb0="0004001F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CG Times">
    <w:altName w:val="Times New Roman"/>
    <w:panose1 w:val="02020603050405020304"/>
    <w:charset w:val="00"/>
    <w:family w:val="roman"/>
    <w:pitch w:val="default"/>
    <w:sig w:usb0="00000000" w:usb1="00000000" w:usb2="00000000" w:usb3="00000000" w:csb0="00000093" w:csb1="00000000"/>
  </w:font>
  <w:font w:name="RomanD">
    <w:altName w:val="Segoe Print"/>
    <w:panose1 w:val="00000400000000000000"/>
    <w:charset w:val="00"/>
    <w:family w:val="auto"/>
    <w:pitch w:val="default"/>
    <w:sig w:usb0="00000000" w:usb1="00000000" w:usb2="00000000" w:usb3="00000000" w:csb0="000001F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全真中明體">
    <w:altName w:val="MingLiU-ExtB"/>
    <w:panose1 w:val="00000000000000000000"/>
    <w:charset w:val="88"/>
    <w:family w:val="modern"/>
    <w:pitch w:val="default"/>
    <w:sig w:usb0="00000000" w:usb1="00000000" w:usb2="00000010" w:usb3="00000000" w:csb0="00100000" w:csb1="00000000"/>
  </w:font>
  <w:font w:name="CG Omega">
    <w:altName w:val="Segoe Print"/>
    <w:panose1 w:val="020B0502050508020304"/>
    <w:charset w:val="00"/>
    <w:family w:val="swiss"/>
    <w:pitch w:val="default"/>
    <w:sig w:usb0="00000000" w:usb1="00000000" w:usb2="00000000" w:usb3="00000000" w:csb0="00000093" w:csb1="00000000"/>
  </w:font>
  <w:font w:name="Abadi MT Condensed Light">
    <w:altName w:val="MV Boli"/>
    <w:panose1 w:val="020B0306030101010103"/>
    <w:charset w:val="00"/>
    <w:family w:val="swiss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ntique Olive Roman">
    <w:altName w:val="Arial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Arial (W1)">
    <w:altName w:val="Arial"/>
    <w:panose1 w:val="020B0604020202020204"/>
    <w:charset w:val="00"/>
    <w:family w:val="swiss"/>
    <w:pitch w:val="default"/>
    <w:sig w:usb0="00000000" w:usb1="00000000" w:usb2="00000008" w:usb3="00000000" w:csb0="000001FF" w:csb1="00000000"/>
  </w:font>
  <w:font w:name="Times New (W1)">
    <w:altName w:val="Times New Roman"/>
    <w:panose1 w:val="00000000000000000000"/>
    <w:charset w:val="00"/>
    <w:family w:val="roman"/>
    <w:pitch w:val="default"/>
    <w:sig w:usb0="00000000" w:usb1="00000000" w:usb2="00000008" w:usb3="00000000" w:csb0="0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ngLiU">
    <w:altName w:val="PMingLiU-ExtB"/>
    <w:panose1 w:val="02020509000000000000"/>
    <w:charset w:val="88"/>
    <w:family w:val="auto"/>
    <w:pitch w:val="default"/>
    <w:sig w:usb0="00000000" w:usb1="00000000" w:usb2="00000016" w:usb3="00000000" w:csb0="00100001" w:csb1="00000000"/>
  </w:font>
  <w:font w:name="MV Boli">
    <w:panose1 w:val="02000500030200090000"/>
    <w:charset w:val="00"/>
    <w:family w:val="auto"/>
    <w:pitch w:val="default"/>
    <w:sig w:usb0="00000003" w:usb1="00000000" w:usb2="00000100" w:usb3="00000000" w:csb0="000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0D58E5"/>
    <w:rsid w:val="00040DAC"/>
    <w:rsid w:val="00040F8B"/>
    <w:rsid w:val="00064136"/>
    <w:rsid w:val="000676D4"/>
    <w:rsid w:val="0007275A"/>
    <w:rsid w:val="00072840"/>
    <w:rsid w:val="00094887"/>
    <w:rsid w:val="000D58E5"/>
    <w:rsid w:val="000E634A"/>
    <w:rsid w:val="000F4BA1"/>
    <w:rsid w:val="0011014F"/>
    <w:rsid w:val="00113D04"/>
    <w:rsid w:val="00144456"/>
    <w:rsid w:val="0019000B"/>
    <w:rsid w:val="001A2F03"/>
    <w:rsid w:val="001B02C9"/>
    <w:rsid w:val="001C7AA0"/>
    <w:rsid w:val="001E13F8"/>
    <w:rsid w:val="001F1AA1"/>
    <w:rsid w:val="001F42C5"/>
    <w:rsid w:val="001F6DB6"/>
    <w:rsid w:val="00203DB3"/>
    <w:rsid w:val="00207BAD"/>
    <w:rsid w:val="0025154F"/>
    <w:rsid w:val="00263238"/>
    <w:rsid w:val="002650BE"/>
    <w:rsid w:val="0027393E"/>
    <w:rsid w:val="002A586F"/>
    <w:rsid w:val="002C758E"/>
    <w:rsid w:val="002D0E42"/>
    <w:rsid w:val="0030640B"/>
    <w:rsid w:val="00312518"/>
    <w:rsid w:val="003225C0"/>
    <w:rsid w:val="00391BD3"/>
    <w:rsid w:val="003A215E"/>
    <w:rsid w:val="003B3DD8"/>
    <w:rsid w:val="003B4E8D"/>
    <w:rsid w:val="003C1FF4"/>
    <w:rsid w:val="003C57D9"/>
    <w:rsid w:val="003C5B4D"/>
    <w:rsid w:val="003D3CAB"/>
    <w:rsid w:val="00415586"/>
    <w:rsid w:val="00417ACF"/>
    <w:rsid w:val="00421C77"/>
    <w:rsid w:val="004238B9"/>
    <w:rsid w:val="004A2E74"/>
    <w:rsid w:val="004B3D50"/>
    <w:rsid w:val="004D3290"/>
    <w:rsid w:val="004F16DF"/>
    <w:rsid w:val="0050313E"/>
    <w:rsid w:val="00507B55"/>
    <w:rsid w:val="00512A35"/>
    <w:rsid w:val="00553CCA"/>
    <w:rsid w:val="00570FEC"/>
    <w:rsid w:val="0057226C"/>
    <w:rsid w:val="00572A6F"/>
    <w:rsid w:val="00597B2F"/>
    <w:rsid w:val="005A6BCB"/>
    <w:rsid w:val="005C31A8"/>
    <w:rsid w:val="00603296"/>
    <w:rsid w:val="006207AF"/>
    <w:rsid w:val="006513C2"/>
    <w:rsid w:val="00685315"/>
    <w:rsid w:val="00692BFD"/>
    <w:rsid w:val="006939C6"/>
    <w:rsid w:val="006C6E51"/>
    <w:rsid w:val="006E4603"/>
    <w:rsid w:val="0073657D"/>
    <w:rsid w:val="00795677"/>
    <w:rsid w:val="007A2854"/>
    <w:rsid w:val="007A5BFC"/>
    <w:rsid w:val="008154EF"/>
    <w:rsid w:val="00865494"/>
    <w:rsid w:val="0086793D"/>
    <w:rsid w:val="00886145"/>
    <w:rsid w:val="00890918"/>
    <w:rsid w:val="008A449B"/>
    <w:rsid w:val="008B55DE"/>
    <w:rsid w:val="008D5A1C"/>
    <w:rsid w:val="008E4B08"/>
    <w:rsid w:val="008E7824"/>
    <w:rsid w:val="008F674F"/>
    <w:rsid w:val="009147E4"/>
    <w:rsid w:val="009447C2"/>
    <w:rsid w:val="009540AF"/>
    <w:rsid w:val="00955A4D"/>
    <w:rsid w:val="0096164B"/>
    <w:rsid w:val="009770EE"/>
    <w:rsid w:val="0098498E"/>
    <w:rsid w:val="00996054"/>
    <w:rsid w:val="009C3C82"/>
    <w:rsid w:val="009E1C97"/>
    <w:rsid w:val="009E587A"/>
    <w:rsid w:val="00A019C0"/>
    <w:rsid w:val="00A12719"/>
    <w:rsid w:val="00A62E02"/>
    <w:rsid w:val="00A6662D"/>
    <w:rsid w:val="00A715EA"/>
    <w:rsid w:val="00AB1363"/>
    <w:rsid w:val="00AC1B74"/>
    <w:rsid w:val="00AD5704"/>
    <w:rsid w:val="00B240E9"/>
    <w:rsid w:val="00B717CA"/>
    <w:rsid w:val="00C024A0"/>
    <w:rsid w:val="00C138BA"/>
    <w:rsid w:val="00C1587A"/>
    <w:rsid w:val="00C34000"/>
    <w:rsid w:val="00C4795E"/>
    <w:rsid w:val="00C47CA9"/>
    <w:rsid w:val="00C75B45"/>
    <w:rsid w:val="00CA6B8D"/>
    <w:rsid w:val="00CB2C1A"/>
    <w:rsid w:val="00D22768"/>
    <w:rsid w:val="00D41EE6"/>
    <w:rsid w:val="00D47F96"/>
    <w:rsid w:val="00D56A80"/>
    <w:rsid w:val="00D75473"/>
    <w:rsid w:val="00DD56C8"/>
    <w:rsid w:val="00E053A6"/>
    <w:rsid w:val="00E1151E"/>
    <w:rsid w:val="00E138C3"/>
    <w:rsid w:val="00E43C0C"/>
    <w:rsid w:val="00E45476"/>
    <w:rsid w:val="00E61596"/>
    <w:rsid w:val="00EB73FC"/>
    <w:rsid w:val="00ED05D2"/>
    <w:rsid w:val="00F01696"/>
    <w:rsid w:val="00F420DC"/>
    <w:rsid w:val="00FB603E"/>
    <w:rsid w:val="00FC5B82"/>
    <w:rsid w:val="00FC7E71"/>
    <w:rsid w:val="00FE6BE2"/>
    <w:rsid w:val="00FE769B"/>
    <w:rsid w:val="01630950"/>
    <w:rsid w:val="02863822"/>
    <w:rsid w:val="04211045"/>
    <w:rsid w:val="13814616"/>
    <w:rsid w:val="1B0F3EED"/>
    <w:rsid w:val="1FA175E3"/>
    <w:rsid w:val="2DE017EF"/>
    <w:rsid w:val="2E0C3A1F"/>
    <w:rsid w:val="41D52CFC"/>
    <w:rsid w:val="58897053"/>
    <w:rsid w:val="5DC53E5E"/>
    <w:rsid w:val="6C856ECE"/>
    <w:rsid w:val="76CF707E"/>
    <w:rsid w:val="79616B44"/>
    <w:rsid w:val="7DA2117F"/>
    <w:rsid w:val="7E97004D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off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0"/>
    <w:pPr>
      <w:keepNext/>
      <w:keepLines/>
      <w:spacing w:before="340" w:after="330" w:line="576" w:lineRule="auto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default="1" w:styleId="11">
    <w:name w:val="Default Paragraph Font"/>
    <w:unhideWhenUsed/>
    <w:qFormat/>
    <w:uiPriority w:val="1"/>
  </w:style>
  <w:style w:type="table" w:default="1" w:styleId="14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5"/>
    <w:qFormat/>
    <w:uiPriority w:val="0"/>
    <w:rPr>
      <w:rFonts w:ascii="Times New Roman" w:hAnsi="Times New Roman" w:eastAsia="仿宋_GB2312" w:cs="Times New Roman"/>
      <w:sz w:val="32"/>
      <w:szCs w:val="20"/>
    </w:rPr>
  </w:style>
  <w:style w:type="paragraph" w:styleId="4">
    <w:name w:val="Body Text Indent"/>
    <w:basedOn w:val="1"/>
    <w:link w:val="24"/>
    <w:qFormat/>
    <w:uiPriority w:val="0"/>
    <w:pPr>
      <w:snapToGrid w:val="0"/>
      <w:ind w:firstLine="420" w:firstLineChars="200"/>
    </w:pPr>
    <w:rPr>
      <w:rFonts w:ascii="宋体" w:hAnsi="宋体"/>
      <w:szCs w:val="24"/>
    </w:rPr>
  </w:style>
  <w:style w:type="paragraph" w:styleId="5">
    <w:name w:val="Plain Text"/>
    <w:basedOn w:val="1"/>
    <w:link w:val="20"/>
    <w:unhideWhenUsed/>
    <w:qFormat/>
    <w:uiPriority w:val="0"/>
    <w:rPr>
      <w:rFonts w:ascii="宋体" w:hAnsi="Courier New" w:eastAsia="宋体" w:cs="Times New Roman"/>
      <w:sz w:val="24"/>
      <w:szCs w:val="20"/>
    </w:rPr>
  </w:style>
  <w:style w:type="paragraph" w:styleId="6">
    <w:name w:val="Body Text Indent 2"/>
    <w:basedOn w:val="1"/>
    <w:link w:val="26"/>
    <w:qFormat/>
    <w:uiPriority w:val="0"/>
    <w:pPr>
      <w:tabs>
        <w:tab w:val="left" w:pos="7020"/>
      </w:tabs>
      <w:spacing w:line="400" w:lineRule="exact"/>
      <w:ind w:firstLine="640" w:firstLineChars="200"/>
    </w:pPr>
    <w:rPr>
      <w:rFonts w:ascii="仿宋_GB2312" w:hAnsi="宋体" w:eastAsia="仿宋_GB2312" w:cs="Times New Roman"/>
      <w:sz w:val="32"/>
      <w:szCs w:val="24"/>
    </w:rPr>
  </w:style>
  <w:style w:type="paragraph" w:styleId="7">
    <w:name w:val="Balloon Text"/>
    <w:basedOn w:val="1"/>
    <w:link w:val="22"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1"/>
    <w:basedOn w:val="1"/>
    <w:next w:val="1"/>
    <w:unhideWhenUsed/>
    <w:qFormat/>
    <w:uiPriority w:val="39"/>
    <w:pPr>
      <w:widowControl/>
      <w:spacing w:after="100" w:line="276" w:lineRule="auto"/>
      <w:jc w:val="left"/>
    </w:pPr>
    <w:rPr>
      <w:rFonts w:ascii="Calibri" w:hAnsi="Calibri" w:eastAsia="宋体" w:cs="Times New Roman"/>
      <w:kern w:val="0"/>
      <w:sz w:val="22"/>
    </w:rPr>
  </w:style>
  <w:style w:type="character" w:styleId="12">
    <w:name w:val="page number"/>
    <w:basedOn w:val="11"/>
    <w:qFormat/>
    <w:uiPriority w:val="0"/>
  </w:style>
  <w:style w:type="character" w:styleId="13">
    <w:name w:val="Hyperlink"/>
    <w:unhideWhenUsed/>
    <w:qFormat/>
    <w:uiPriority w:val="99"/>
    <w:rPr>
      <w:color w:val="0000FF"/>
      <w:u w:val="single"/>
    </w:rPr>
  </w:style>
  <w:style w:type="table" w:styleId="15">
    <w:name w:val="Table Grid"/>
    <w:basedOn w:val="14"/>
    <w:qFormat/>
    <w:uiPriority w:val="5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6">
    <w:name w:val="页眉 Char"/>
    <w:basedOn w:val="11"/>
    <w:link w:val="9"/>
    <w:qFormat/>
    <w:uiPriority w:val="99"/>
    <w:rPr>
      <w:sz w:val="18"/>
      <w:szCs w:val="18"/>
    </w:rPr>
  </w:style>
  <w:style w:type="character" w:customStyle="1" w:styleId="17">
    <w:name w:val="页脚 Char"/>
    <w:basedOn w:val="11"/>
    <w:link w:val="8"/>
    <w:qFormat/>
    <w:uiPriority w:val="99"/>
    <w:rPr>
      <w:sz w:val="18"/>
      <w:szCs w:val="18"/>
    </w:rPr>
  </w:style>
  <w:style w:type="paragraph" w:customStyle="1" w:styleId="18">
    <w:name w:val="p0"/>
    <w:basedOn w:val="1"/>
    <w:qFormat/>
    <w:uiPriority w:val="0"/>
    <w:pPr>
      <w:widowControl/>
      <w:jc w:val="left"/>
    </w:pPr>
    <w:rPr>
      <w:rFonts w:ascii="Times New Roman" w:hAnsi="Times New Roman" w:eastAsia="宋体" w:cs="Times New Roman"/>
      <w:szCs w:val="24"/>
    </w:rPr>
  </w:style>
  <w:style w:type="character" w:customStyle="1" w:styleId="19">
    <w:name w:val="标题 1 Char"/>
    <w:basedOn w:val="11"/>
    <w:link w:val="2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20">
    <w:name w:val="纯文本 Char"/>
    <w:basedOn w:val="11"/>
    <w:link w:val="5"/>
    <w:uiPriority w:val="0"/>
    <w:rPr>
      <w:rFonts w:ascii="宋体" w:hAnsi="Courier New" w:eastAsia="宋体" w:cs="Times New Roman"/>
      <w:sz w:val="24"/>
      <w:szCs w:val="20"/>
    </w:rPr>
  </w:style>
  <w:style w:type="paragraph" w:customStyle="1" w:styleId="21">
    <w:name w:val="Char Char Char Char"/>
    <w:basedOn w:val="1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22">
    <w:name w:val="批注框文本 Char"/>
    <w:basedOn w:val="11"/>
    <w:link w:val="7"/>
    <w:semiHidden/>
    <w:qFormat/>
    <w:uiPriority w:val="99"/>
    <w:rPr>
      <w:sz w:val="18"/>
      <w:szCs w:val="18"/>
    </w:rPr>
  </w:style>
  <w:style w:type="character" w:customStyle="1" w:styleId="23">
    <w:name w:val="正文文本缩进 Char"/>
    <w:basedOn w:val="11"/>
    <w:link w:val="4"/>
    <w:qFormat/>
    <w:uiPriority w:val="0"/>
    <w:rPr>
      <w:rFonts w:ascii="宋体" w:hAnsi="宋体"/>
      <w:szCs w:val="24"/>
    </w:rPr>
  </w:style>
  <w:style w:type="character" w:customStyle="1" w:styleId="24">
    <w:name w:val="正文文本缩进 Char1"/>
    <w:basedOn w:val="11"/>
    <w:link w:val="4"/>
    <w:semiHidden/>
    <w:qFormat/>
    <w:uiPriority w:val="99"/>
  </w:style>
  <w:style w:type="character" w:customStyle="1" w:styleId="25">
    <w:name w:val="正文文本 Char"/>
    <w:basedOn w:val="11"/>
    <w:link w:val="3"/>
    <w:qFormat/>
    <w:uiPriority w:val="0"/>
    <w:rPr>
      <w:rFonts w:ascii="Times New Roman" w:hAnsi="Times New Roman" w:eastAsia="仿宋_GB2312" w:cs="Times New Roman"/>
      <w:sz w:val="32"/>
      <w:szCs w:val="20"/>
    </w:rPr>
  </w:style>
  <w:style w:type="character" w:customStyle="1" w:styleId="26">
    <w:name w:val="正文文本缩进 2 Char"/>
    <w:basedOn w:val="11"/>
    <w:link w:val="6"/>
    <w:qFormat/>
    <w:uiPriority w:val="0"/>
    <w:rPr>
      <w:rFonts w:ascii="仿宋_GB2312" w:hAnsi="宋体" w:eastAsia="仿宋_GB2312" w:cs="Times New Roman"/>
      <w:sz w:val="32"/>
      <w:szCs w:val="24"/>
    </w:rPr>
  </w:style>
  <w:style w:type="paragraph" w:customStyle="1" w:styleId="27">
    <w:name w:val="1.1.1（1）"/>
    <w:basedOn w:val="1"/>
    <w:link w:val="28"/>
    <w:qFormat/>
    <w:uiPriority w:val="0"/>
    <w:pPr>
      <w:adjustRightInd w:val="0"/>
      <w:snapToGrid w:val="0"/>
      <w:spacing w:line="360" w:lineRule="auto"/>
      <w:ind w:left="350" w:leftChars="200" w:hanging="150" w:hangingChars="150"/>
    </w:pPr>
    <w:rPr>
      <w:rFonts w:ascii="宋体" w:hAnsi="宋体" w:eastAsia="宋体" w:cs="Times New Roman"/>
      <w:sz w:val="24"/>
      <w:szCs w:val="24"/>
    </w:rPr>
  </w:style>
  <w:style w:type="character" w:customStyle="1" w:styleId="28">
    <w:name w:val="1.1.1（1） Char"/>
    <w:link w:val="27"/>
    <w:qFormat/>
    <w:uiPriority w:val="0"/>
    <w:rPr>
      <w:rFonts w:ascii="宋体" w:hAnsi="宋体" w:eastAsia="宋体" w:cs="Times New Roman"/>
      <w:sz w:val="24"/>
      <w:szCs w:val="24"/>
    </w:rPr>
  </w:style>
  <w:style w:type="paragraph" w:customStyle="1" w:styleId="29">
    <w:name w:val="正文 A"/>
    <w:qFormat/>
    <w:uiPriority w:val="0"/>
    <w:pPr>
      <w:widowControl w:val="0"/>
      <w:jc w:val="both"/>
    </w:pPr>
    <w:rPr>
      <w:rFonts w:ascii="Times New Roman" w:hAnsi="Times New Roman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  <w:style w:type="table" w:customStyle="1" w:styleId="30">
    <w:name w:val="Table Normal"/>
    <w:qFormat/>
    <w:uiPriority w:val="0"/>
    <w:rPr>
      <w:rFonts w:ascii="Times New Roman" w:hAnsi="Times New Roman" w:cs="Times New Roman"/>
      <w:kern w:val="0"/>
      <w:sz w:val="20"/>
      <w:szCs w:val="20"/>
    </w:rPr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1">
    <w:name w:val="无"/>
    <w:qFormat/>
    <w:uiPriority w:val="0"/>
  </w:style>
  <w:style w:type="character" w:customStyle="1" w:styleId="32">
    <w:name w:val="font01"/>
    <w:basedOn w:val="11"/>
    <w:qFormat/>
    <w:uiPriority w:val="0"/>
    <w:rPr>
      <w:rFonts w:hint="default" w:ascii="楷体_GB2312" w:eastAsia="楷体_GB2312" w:cs="楷体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29</Pages>
  <Words>1964</Words>
  <Characters>11198</Characters>
  <Lines>93</Lines>
  <Paragraphs>26</Paragraphs>
  <ScaleCrop>false</ScaleCrop>
  <LinksUpToDate>false</LinksUpToDate>
  <CharactersWithSpaces>13136</CharactersWithSpaces>
  <Application>WPS Office_10.8.0.5874_F1E327BC-269C-435d-A152-05C5408002CA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2016-10-26T01:54:00Z</dcterms:created>
  <dc:creator>qjh</dc:creator>
  <cp:lastModifiedBy>联想</cp:lastModifiedBy>
  <cp:lastPrinted>2017-05-18T07:42:00Z</cp:lastPrinted>
  <dcterms:modified xsi:type="dcterms:W3CDTF">2017-06-27T09:00:12Z</dcterms:modified>
  <cp:revision>83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2052-10.8.0.5874</vt:lpwstr>
  </property>
</Properties>
</file>