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tabs>
          <w:tab w:val="left" w:pos="425"/>
        </w:tabs>
        <w:adjustRightInd w:val="0"/>
        <w:snapToGrid w:val="0"/>
        <w:spacing w:line="560" w:lineRule="exact"/>
        <w:ind w:firstLine="640"/>
        <w:rPr>
          <w:rFonts w:hAnsi="宋体" w:cs="宋体"/>
          <w:szCs w:val="32"/>
        </w:rPr>
      </w:pPr>
      <w:r>
        <w:rPr>
          <w:rFonts w:hint="eastAsia" w:hAnsi="宋体" w:cs="宋体"/>
          <w:szCs w:val="32"/>
        </w:rPr>
        <w:t>报价要求：</w:t>
      </w:r>
    </w:p>
    <w:p>
      <w:pPr>
        <w:pStyle w:val="5"/>
        <w:tabs>
          <w:tab w:val="left" w:pos="425"/>
        </w:tabs>
        <w:adjustRightInd w:val="0"/>
        <w:snapToGrid w:val="0"/>
        <w:spacing w:line="560" w:lineRule="exact"/>
        <w:ind w:firstLine="640"/>
        <w:rPr>
          <w:rFonts w:hAnsi="宋体" w:cs="宋体"/>
          <w:szCs w:val="32"/>
        </w:rPr>
      </w:pPr>
      <w:r>
        <w:rPr>
          <w:rFonts w:hint="eastAsia" w:hAnsi="宋体" w:cs="宋体"/>
          <w:szCs w:val="32"/>
        </w:rPr>
        <w:t>参与本项目的供应商应综合考虑服务发生的人工、材料、机械设备等完成本项目相关工作，报价包括但不限于以下内容：</w:t>
      </w:r>
    </w:p>
    <w:p>
      <w:pPr>
        <w:pStyle w:val="5"/>
        <w:tabs>
          <w:tab w:val="left" w:pos="425"/>
        </w:tabs>
        <w:adjustRightInd w:val="0"/>
        <w:snapToGrid w:val="0"/>
        <w:spacing w:line="560" w:lineRule="exact"/>
        <w:ind w:firstLine="640"/>
        <w:rPr>
          <w:rFonts w:hAnsi="宋体" w:cs="宋体"/>
          <w:szCs w:val="32"/>
        </w:rPr>
      </w:pPr>
      <w:r>
        <w:rPr>
          <w:rFonts w:hint="eastAsia" w:hAnsi="宋体" w:cs="宋体"/>
          <w:szCs w:val="32"/>
        </w:rPr>
        <w:t>1.根据要求需建设的必要的临时设施而发生的费用（如支撑等）；</w:t>
      </w:r>
    </w:p>
    <w:p>
      <w:pPr>
        <w:pStyle w:val="5"/>
        <w:tabs>
          <w:tab w:val="left" w:pos="425"/>
        </w:tabs>
        <w:adjustRightInd w:val="0"/>
        <w:snapToGrid w:val="0"/>
        <w:spacing w:line="560" w:lineRule="exact"/>
        <w:ind w:firstLine="640"/>
        <w:rPr>
          <w:rFonts w:hAnsi="宋体" w:cs="宋体"/>
          <w:szCs w:val="32"/>
        </w:rPr>
      </w:pPr>
      <w:r>
        <w:rPr>
          <w:rFonts w:hint="eastAsia" w:hAnsi="宋体" w:cs="宋体"/>
          <w:szCs w:val="32"/>
        </w:rPr>
        <w:t>2.</w:t>
      </w:r>
      <w:r>
        <w:rPr>
          <w:rFonts w:hint="eastAsia" w:hAnsi="宋体" w:cs="宋体"/>
          <w:szCs w:val="32"/>
          <w:lang w:eastAsia="zh-CN"/>
        </w:rPr>
        <w:t>设施</w:t>
      </w:r>
      <w:r>
        <w:rPr>
          <w:rFonts w:hint="eastAsia" w:hAnsi="宋体" w:cs="宋体"/>
          <w:szCs w:val="32"/>
        </w:rPr>
        <w:t>拆装采取的措施；</w:t>
      </w:r>
    </w:p>
    <w:p>
      <w:pPr>
        <w:pStyle w:val="5"/>
        <w:tabs>
          <w:tab w:val="left" w:pos="425"/>
        </w:tabs>
        <w:adjustRightInd w:val="0"/>
        <w:snapToGrid w:val="0"/>
        <w:spacing w:line="560" w:lineRule="exact"/>
        <w:ind w:firstLine="640"/>
        <w:rPr>
          <w:rFonts w:hAnsi="宋体" w:cs="宋体"/>
          <w:szCs w:val="32"/>
        </w:rPr>
      </w:pPr>
      <w:r>
        <w:rPr>
          <w:rFonts w:hint="eastAsia" w:hAnsi="宋体" w:cs="宋体"/>
          <w:szCs w:val="32"/>
          <w:lang w:val="en-US" w:eastAsia="zh-CN"/>
        </w:rPr>
        <w:t>3</w:t>
      </w:r>
      <w:r>
        <w:rPr>
          <w:rFonts w:hint="eastAsia" w:hAnsi="宋体" w:cs="宋体"/>
          <w:szCs w:val="32"/>
        </w:rPr>
        <w:t>.合同中各类风险费用（如搬运、安装损坏等）；</w:t>
      </w:r>
    </w:p>
    <w:p>
      <w:pPr>
        <w:pStyle w:val="5"/>
        <w:tabs>
          <w:tab w:val="left" w:pos="425"/>
        </w:tabs>
        <w:adjustRightInd w:val="0"/>
        <w:snapToGrid w:val="0"/>
        <w:spacing w:line="560" w:lineRule="exact"/>
        <w:ind w:firstLine="640"/>
        <w:rPr>
          <w:rFonts w:hAnsi="宋体" w:cs="宋体"/>
          <w:szCs w:val="32"/>
        </w:rPr>
      </w:pPr>
      <w:r>
        <w:rPr>
          <w:rFonts w:hint="eastAsia" w:hAnsi="宋体" w:cs="宋体"/>
          <w:szCs w:val="32"/>
          <w:lang w:val="en-US" w:eastAsia="zh-CN"/>
        </w:rPr>
        <w:t>4</w:t>
      </w:r>
      <w:r>
        <w:rPr>
          <w:rFonts w:hint="eastAsia" w:hAnsi="宋体" w:cs="宋体"/>
          <w:szCs w:val="32"/>
        </w:rPr>
        <w:t>.垃圾废弃物清理搬运、施工区域清扫及为满足招标人规定的文明施工要求所发生的费用；</w:t>
      </w:r>
    </w:p>
    <w:p>
      <w:pPr>
        <w:pStyle w:val="5"/>
        <w:tabs>
          <w:tab w:val="left" w:pos="425"/>
        </w:tabs>
        <w:adjustRightInd w:val="0"/>
        <w:snapToGrid w:val="0"/>
        <w:spacing w:line="560" w:lineRule="exact"/>
        <w:ind w:firstLine="640"/>
        <w:rPr>
          <w:rFonts w:hAnsi="宋体" w:cs="宋体"/>
          <w:szCs w:val="32"/>
        </w:rPr>
      </w:pPr>
      <w:r>
        <w:rPr>
          <w:rFonts w:hint="eastAsia" w:hAnsi="宋体" w:cs="宋体"/>
          <w:szCs w:val="32"/>
          <w:lang w:val="en-US" w:eastAsia="zh-CN"/>
        </w:rPr>
        <w:t>5</w:t>
      </w:r>
      <w:r>
        <w:rPr>
          <w:rFonts w:hint="eastAsia" w:hAnsi="宋体" w:cs="宋体"/>
          <w:szCs w:val="32"/>
        </w:rPr>
        <w:t>.投标人认为为完成本项目所必需的其它费用；</w:t>
      </w:r>
    </w:p>
    <w:p>
      <w:pPr>
        <w:pStyle w:val="5"/>
        <w:tabs>
          <w:tab w:val="left" w:pos="425"/>
        </w:tabs>
        <w:adjustRightInd w:val="0"/>
        <w:snapToGrid w:val="0"/>
        <w:spacing w:line="560" w:lineRule="exact"/>
        <w:ind w:firstLine="640"/>
        <w:rPr>
          <w:rFonts w:hAnsi="宋体" w:cs="宋体"/>
          <w:szCs w:val="32"/>
        </w:rPr>
      </w:pPr>
      <w:r>
        <w:rPr>
          <w:rFonts w:hint="eastAsia" w:hAnsi="宋体" w:cs="宋体"/>
          <w:szCs w:val="32"/>
          <w:lang w:val="en-US" w:eastAsia="zh-CN"/>
        </w:rPr>
        <w:t>6</w:t>
      </w:r>
      <w:r>
        <w:rPr>
          <w:rFonts w:hint="eastAsia" w:hAnsi="宋体" w:cs="宋体"/>
          <w:szCs w:val="32"/>
        </w:rPr>
        <w:t>.本项目的报价全部采用人民币含税价格（需提供增值税专用发票）。</w:t>
      </w:r>
    </w:p>
    <w:p>
      <w:pPr>
        <w:pStyle w:val="4"/>
        <w:adjustRightInd w:val="0"/>
        <w:snapToGrid w:val="0"/>
        <w:spacing w:line="560" w:lineRule="exact"/>
        <w:rPr>
          <w:rFonts w:hint="eastAsia" w:ascii="黑体" w:hAnsi="黑体" w:eastAsia="黑体" w:cs="黑体"/>
          <w:szCs w:val="32"/>
        </w:rPr>
        <w:sectPr>
          <w:pgSz w:w="11906" w:h="16838"/>
          <w:pgMar w:top="2098" w:right="1474" w:bottom="1984" w:left="1587" w:header="851" w:footer="992" w:gutter="0"/>
          <w:cols w:space="0" w:num="1"/>
          <w:rtlGutter w:val="0"/>
          <w:docGrid w:type="lines" w:linePitch="318" w:charSpace="0"/>
        </w:sectPr>
      </w:pPr>
    </w:p>
    <w:p>
      <w:pPr>
        <w:pStyle w:val="4"/>
        <w:adjustRightInd w:val="0"/>
        <w:snapToGrid w:val="0"/>
        <w:spacing w:line="560" w:lineRule="exact"/>
        <w:rPr>
          <w:rFonts w:hint="eastAsia" w:ascii="黑体" w:hAnsi="黑体" w:eastAsia="黑体" w:cs="黑体"/>
          <w:szCs w:val="32"/>
        </w:rPr>
      </w:pPr>
    </w:p>
    <w:p>
      <w:pPr>
        <w:pStyle w:val="4"/>
        <w:adjustRightInd w:val="0"/>
        <w:snapToGrid w:val="0"/>
        <w:spacing w:line="560" w:lineRule="exact"/>
        <w:rPr>
          <w:rFonts w:hint="eastAsia" w:ascii="黑体" w:hAnsi="黑体" w:eastAsia="黑体" w:cs="黑体"/>
          <w:szCs w:val="32"/>
        </w:rPr>
      </w:pPr>
      <w:r>
        <w:rPr>
          <w:rFonts w:hint="eastAsia" w:ascii="黑体" w:hAnsi="黑体" w:eastAsia="黑体" w:cs="黑体"/>
          <w:szCs w:val="32"/>
        </w:rPr>
        <w:t>附件2：</w:t>
      </w:r>
    </w:p>
    <w:p>
      <w:pPr>
        <w:pStyle w:val="4"/>
        <w:adjustRightInd w:val="0"/>
        <w:snapToGrid w:val="0"/>
        <w:spacing w:line="560" w:lineRule="exact"/>
        <w:rPr>
          <w:rFonts w:hint="eastAsia" w:ascii="黑体" w:hAnsi="黑体" w:eastAsia="黑体" w:cs="黑体"/>
          <w:szCs w:val="32"/>
        </w:rPr>
      </w:pPr>
    </w:p>
    <w:p>
      <w:pPr>
        <w:pStyle w:val="4"/>
        <w:adjustRightInd w:val="0"/>
        <w:snapToGrid w:val="0"/>
        <w:spacing w:line="560"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生活区、生产区防雷装置</w:t>
      </w:r>
      <w:r>
        <w:rPr>
          <w:rFonts w:hint="eastAsia" w:ascii="方正小标宋简体" w:hAnsi="方正小标宋简体" w:eastAsia="方正小标宋简体" w:cs="方正小标宋简体"/>
          <w:sz w:val="36"/>
          <w:szCs w:val="36"/>
          <w:lang w:eastAsia="zh-CN"/>
        </w:rPr>
        <w:t>隐患整改</w:t>
      </w:r>
      <w:r>
        <w:rPr>
          <w:rFonts w:hint="eastAsia" w:ascii="方正小标宋简体" w:hAnsi="方正小标宋简体" w:eastAsia="方正小标宋简体" w:cs="方正小标宋简体"/>
          <w:sz w:val="36"/>
          <w:szCs w:val="36"/>
        </w:rPr>
        <w:t>项目技术规格书</w:t>
      </w:r>
    </w:p>
    <w:p>
      <w:pPr>
        <w:pStyle w:val="5"/>
        <w:tabs>
          <w:tab w:val="left" w:pos="425"/>
        </w:tabs>
        <w:adjustRightInd w:val="0"/>
        <w:snapToGrid w:val="0"/>
        <w:spacing w:line="560" w:lineRule="exact"/>
        <w:ind w:left="0" w:leftChars="0" w:firstLine="0" w:firstLineChars="0"/>
        <w:rPr>
          <w:rFonts w:hint="eastAsia" w:hAnsi="宋体" w:cs="宋体"/>
          <w:szCs w:val="32"/>
        </w:rPr>
      </w:pPr>
    </w:p>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both"/>
        <w:textAlignment w:val="auto"/>
        <w:outlineLvl w:val="1"/>
        <w:rPr>
          <w:rFonts w:hint="eastAsia" w:ascii="黑体" w:hAnsi="黑体" w:eastAsia="黑体" w:cs="黑体"/>
          <w:sz w:val="32"/>
          <w:szCs w:val="32"/>
        </w:rPr>
      </w:pPr>
      <w:bookmarkStart w:id="0" w:name="_Toc273607515"/>
      <w:bookmarkStart w:id="1" w:name="_Toc180577738"/>
      <w:r>
        <w:rPr>
          <w:rFonts w:hint="eastAsia" w:ascii="黑体" w:hAnsi="黑体" w:eastAsia="黑体" w:cs="黑体"/>
          <w:sz w:val="32"/>
          <w:szCs w:val="32"/>
        </w:rPr>
        <w:t>一、技术规范与标准</w:t>
      </w:r>
      <w:bookmarkEnd w:id="0"/>
      <w:bookmarkEnd w:id="1"/>
    </w:p>
    <w:tbl>
      <w:tblPr>
        <w:tblStyle w:val="8"/>
        <w:tblW w:w="719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exact"/>
          <w:jc w:val="center"/>
        </w:trPr>
        <w:tc>
          <w:tcPr>
            <w:tcW w:w="7193" w:type="dxa"/>
            <w:vAlign w:val="center"/>
          </w:tcPr>
          <w:p>
            <w:pPr>
              <w:pageBreakBefore w:val="0"/>
              <w:widowControl/>
              <w:kinsoku/>
              <w:wordWrap/>
              <w:overflowPunct/>
              <w:topLinePunct w:val="0"/>
              <w:autoSpaceDE/>
              <w:autoSpaceDN/>
              <w:bidi w:val="0"/>
              <w:spacing w:line="560" w:lineRule="exact"/>
              <w:ind w:right="0" w:rightChars="0"/>
              <w:jc w:val="left"/>
              <w:textAlignment w:val="auto"/>
              <w:rPr>
                <w:rFonts w:hint="eastAsia" w:ascii="仿宋_GB2312" w:hAnsi="仿宋_GB2312" w:eastAsia="仿宋_GB2312" w:cs="仿宋_GB2312"/>
                <w:kern w:val="0"/>
                <w:sz w:val="32"/>
                <w:szCs w:val="32"/>
              </w:rPr>
            </w:pPr>
            <w:bookmarkStart w:id="2" w:name="_Toc273607516"/>
            <w:bookmarkStart w:id="3" w:name="_Toc180577739"/>
            <w:r>
              <w:rPr>
                <w:rFonts w:hint="eastAsia" w:ascii="仿宋_GB2312" w:hAnsi="仿宋_GB2312" w:eastAsia="仿宋_GB2312" w:cs="仿宋_GB2312"/>
                <w:kern w:val="0"/>
                <w:sz w:val="32"/>
                <w:szCs w:val="32"/>
              </w:rPr>
              <w:t>《建筑物防雷设计规范》GB50057-2010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exact"/>
          <w:jc w:val="center"/>
        </w:trPr>
        <w:tc>
          <w:tcPr>
            <w:tcW w:w="7193" w:type="dxa"/>
            <w:vAlign w:val="center"/>
          </w:tcPr>
          <w:p>
            <w:pPr>
              <w:pageBreakBefore w:val="0"/>
              <w:widowControl/>
              <w:kinsoku/>
              <w:wordWrap/>
              <w:overflowPunct/>
              <w:topLinePunct w:val="0"/>
              <w:autoSpaceDE/>
              <w:autoSpaceDN/>
              <w:bidi w:val="0"/>
              <w:spacing w:line="560" w:lineRule="exact"/>
              <w:ind w:right="0" w:rightChars="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《建筑物电子信息系统防雷技术规范》GB50343-2012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exact"/>
          <w:jc w:val="center"/>
        </w:trPr>
        <w:tc>
          <w:tcPr>
            <w:tcW w:w="7193" w:type="dxa"/>
            <w:vAlign w:val="center"/>
          </w:tcPr>
          <w:p>
            <w:pPr>
              <w:pageBreakBefore w:val="0"/>
              <w:widowControl/>
              <w:kinsoku/>
              <w:wordWrap/>
              <w:overflowPunct/>
              <w:topLinePunct w:val="0"/>
              <w:autoSpaceDE/>
              <w:autoSpaceDN/>
              <w:bidi w:val="0"/>
              <w:spacing w:line="560" w:lineRule="exact"/>
              <w:ind w:right="0" w:rightChars="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 HYPERLINK "http://www.baidu.com/link?url=qy6MEJYai-phqPfLcgreakmd7BxZGlBwTeOrQcw3q2qWH6tINF-tce3I-Pt4GNeCBx9-36paOeR_3w5LNJ8-tB1D1FtO1AgbGvaYqt3f1f3" \t "_blank" </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《建筑物防雷工程施工与质量验收规范》GB50601-2010</w:t>
            </w:r>
            <w:r>
              <w:rPr>
                <w:rFonts w:hint="eastAsia" w:ascii="仿宋_GB2312" w:hAnsi="仿宋_GB2312" w:eastAsia="仿宋_GB2312" w:cs="仿宋_GB2312"/>
                <w:kern w:val="0"/>
                <w:sz w:val="32"/>
                <w:szCs w:val="3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exact"/>
          <w:jc w:val="center"/>
        </w:trPr>
        <w:tc>
          <w:tcPr>
            <w:tcW w:w="7193" w:type="dxa"/>
            <w:vAlign w:val="center"/>
          </w:tcPr>
          <w:p>
            <w:pPr>
              <w:pageBreakBefore w:val="0"/>
              <w:widowControl/>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 HYPERLINK "http://www.baidu.com/link?url=lE2ZkMxyBM-NzTJ4LQ575eEUNdjfdHAnYwyJtl0Dk7esbx79eHlW8KshNAQuIOVytthbkuSnZUcemdALU5k40a" \t "_blank" </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《建筑物防雷装置检测技术规范》GB/T 21431-2015</w:t>
            </w:r>
            <w:r>
              <w:rPr>
                <w:rFonts w:hint="eastAsia" w:ascii="仿宋_GB2312" w:hAnsi="仿宋_GB2312" w:eastAsia="仿宋_GB2312" w:cs="仿宋_GB2312"/>
                <w:kern w:val="0"/>
                <w:sz w:val="32"/>
                <w:szCs w:val="32"/>
              </w:rPr>
              <w:fldChar w:fldCharType="end"/>
            </w:r>
          </w:p>
        </w:tc>
      </w:tr>
    </w:tbl>
    <w:p>
      <w:pPr>
        <w:pStyle w:val="2"/>
        <w:pageBreakBefore w:val="0"/>
        <w:kinsoku/>
        <w:wordWrap/>
        <w:overflowPunct/>
        <w:topLinePunct w:val="0"/>
        <w:autoSpaceDE/>
        <w:autoSpaceDN/>
        <w:bidi w:val="0"/>
        <w:adjustRightInd/>
        <w:snapToGrid/>
        <w:spacing w:before="0" w:beforeLines="0" w:after="0" w:afterLines="0" w:line="560" w:lineRule="exact"/>
        <w:ind w:left="0" w:leftChars="0" w:right="0" w:rightChars="0" w:firstLine="0" w:firstLineChars="0"/>
        <w:textAlignment w:val="auto"/>
        <w:rPr>
          <w:rFonts w:hint="eastAsia" w:ascii="黑体" w:hAnsi="黑体" w:eastAsia="黑体" w:cs="黑体"/>
          <w:sz w:val="32"/>
          <w:szCs w:val="32"/>
        </w:rPr>
      </w:pPr>
      <w:r>
        <w:rPr>
          <w:rFonts w:hint="eastAsia" w:ascii="黑体" w:hAnsi="黑体" w:eastAsia="黑体" w:cs="黑体"/>
          <w:sz w:val="32"/>
          <w:szCs w:val="32"/>
        </w:rPr>
        <w:t>二、</w:t>
      </w:r>
      <w:r>
        <w:rPr>
          <w:rFonts w:hint="eastAsia" w:ascii="黑体" w:hAnsi="黑体" w:cs="黑体"/>
          <w:sz w:val="32"/>
          <w:szCs w:val="32"/>
          <w:lang w:eastAsia="zh-CN"/>
        </w:rPr>
        <w:t>项目</w:t>
      </w:r>
      <w:r>
        <w:rPr>
          <w:rFonts w:hint="eastAsia" w:ascii="黑体" w:hAnsi="黑体" w:eastAsia="黑体" w:cs="黑体"/>
          <w:sz w:val="32"/>
          <w:szCs w:val="32"/>
        </w:rPr>
        <w:t>质量和</w:t>
      </w:r>
      <w:r>
        <w:rPr>
          <w:rFonts w:hint="eastAsia" w:ascii="黑体" w:hAnsi="黑体" w:cs="黑体"/>
          <w:sz w:val="32"/>
          <w:szCs w:val="32"/>
          <w:lang w:eastAsia="zh-CN"/>
        </w:rPr>
        <w:t>项目</w:t>
      </w:r>
      <w:r>
        <w:rPr>
          <w:rFonts w:hint="eastAsia" w:ascii="黑体" w:hAnsi="黑体" w:eastAsia="黑体" w:cs="黑体"/>
          <w:sz w:val="32"/>
          <w:szCs w:val="32"/>
        </w:rPr>
        <w:t>使用材料要求</w:t>
      </w:r>
      <w:bookmarkEnd w:id="2"/>
      <w:bookmarkEnd w:id="3"/>
    </w:p>
    <w:p>
      <w:pPr>
        <w:pageBreakBefore w:val="0"/>
        <w:kinsoku/>
        <w:wordWrap/>
        <w:overflowPunct/>
        <w:topLinePunct w:val="0"/>
        <w:autoSpaceDE/>
        <w:autoSpaceDN/>
        <w:bidi w:val="0"/>
        <w:spacing w:line="560"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技术要求：本</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要求严格按照国家有关施工及验收规范、技术标准进行施工和验收。</w:t>
      </w:r>
    </w:p>
    <w:p>
      <w:pPr>
        <w:pageBreakBefore w:val="0"/>
        <w:kinsoku/>
        <w:wordWrap/>
        <w:overflowPunct/>
        <w:topLinePunct w:val="0"/>
        <w:autoSpaceDE/>
        <w:autoSpaceDN/>
        <w:bidi w:val="0"/>
        <w:spacing w:line="560"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质量要求：确保达到质量验收合格。</w:t>
      </w:r>
    </w:p>
    <w:p>
      <w:pPr>
        <w:pageBreakBefore w:val="0"/>
        <w:kinsoku/>
        <w:wordWrap/>
        <w:overflowPunct/>
        <w:topLinePunct w:val="0"/>
        <w:autoSpaceDE/>
        <w:autoSpaceDN/>
        <w:bidi w:val="0"/>
        <w:spacing w:line="560"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质量管理按中华人民共和国国务院令第279号《建设工程质量管理条例》执行，验收标准按国家颁发的技术规范及相应的分项工程施工质量验收规范执行。本项目施工使用的工程材料，具有检验单位出具的相应产品品种的产品质量检验报告、出厂检验单、合格证。</w:t>
      </w:r>
      <w:bookmarkStart w:id="6" w:name="_GoBack"/>
      <w:bookmarkEnd w:id="6"/>
    </w:p>
    <w:p>
      <w:pPr>
        <w:keepNext w:val="0"/>
        <w:keepLines w:val="0"/>
        <w:pageBreakBefore w:val="0"/>
        <w:numPr>
          <w:ilvl w:val="0"/>
          <w:numId w:val="1"/>
        </w:numPr>
        <w:kinsoku/>
        <w:wordWrap/>
        <w:overflowPunct/>
        <w:topLinePunct w:val="0"/>
        <w:autoSpaceDE/>
        <w:autoSpaceDN/>
        <w:bidi w:val="0"/>
        <w:adjustRightIn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sz w:val="32"/>
          <w:szCs w:val="32"/>
        </w:rPr>
        <w:t>使用的</w:t>
      </w:r>
      <w:r>
        <w:rPr>
          <w:rFonts w:hint="eastAsia" w:ascii="仿宋_GB2312" w:hAnsi="仿宋_GB2312" w:eastAsia="仿宋_GB2312" w:cs="仿宋_GB2312"/>
          <w:sz w:val="32"/>
          <w:szCs w:val="32"/>
          <w:lang w:eastAsia="zh-CN"/>
        </w:rPr>
        <w:t>电涌保护器</w:t>
      </w:r>
      <w:r>
        <w:rPr>
          <w:rFonts w:hint="eastAsia" w:ascii="仿宋_GB2312" w:hAnsi="仿宋_GB2312" w:eastAsia="仿宋_GB2312" w:cs="仿宋_GB2312"/>
          <w:sz w:val="32"/>
          <w:szCs w:val="32"/>
        </w:rPr>
        <w:t>、线缆及其辅助材料等工程材料，</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人应提供生产厂家出具的材料合格证书，主要材料须提供样板并经招标人确认，符合</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要求，方可使用。如发生货不对</w:t>
      </w:r>
      <w:r>
        <w:rPr>
          <w:rFonts w:hint="eastAsia" w:ascii="仿宋_GB2312" w:hAnsi="仿宋_GB2312" w:eastAsia="仿宋_GB2312" w:cs="仿宋_GB2312"/>
          <w:color w:val="000000"/>
          <w:sz w:val="32"/>
          <w:szCs w:val="32"/>
        </w:rPr>
        <w:t>板</w:t>
      </w:r>
      <w:r>
        <w:rPr>
          <w:rFonts w:hint="eastAsia" w:ascii="仿宋_GB2312" w:hAnsi="仿宋_GB2312" w:eastAsia="仿宋_GB2312" w:cs="仿宋_GB2312"/>
          <w:sz w:val="32"/>
          <w:szCs w:val="32"/>
        </w:rPr>
        <w:t>，招标人有权拒用，并由</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人承担损失。</w:t>
      </w:r>
    </w:p>
    <w:p>
      <w:pPr>
        <w:keepNext w:val="0"/>
        <w:keepLines w:val="0"/>
        <w:pageBreakBefore w:val="0"/>
        <w:kinsoku/>
        <w:wordWrap/>
        <w:overflowPunct/>
        <w:topLinePunct w:val="0"/>
        <w:autoSpaceDE/>
        <w:autoSpaceDN/>
        <w:bidi w:val="0"/>
        <w:adjustRightInd/>
        <w:spacing w:line="560" w:lineRule="exact"/>
        <w:ind w:left="0" w:leftChars="0" w:right="0" w:rightChars="0"/>
        <w:jc w:val="both"/>
        <w:textAlignment w:val="auto"/>
        <w:outlineLvl w:val="9"/>
        <w:rPr>
          <w:rFonts w:hint="eastAsia" w:ascii="黑体" w:hAnsi="黑体" w:eastAsia="黑体" w:cs="黑体"/>
          <w:b/>
          <w:sz w:val="32"/>
          <w:szCs w:val="32"/>
        </w:rPr>
      </w:pPr>
      <w:bookmarkStart w:id="4" w:name="_Toc273607517"/>
      <w:bookmarkStart w:id="5" w:name="_Toc180577740"/>
      <w:r>
        <w:rPr>
          <w:rFonts w:hint="eastAsia" w:ascii="黑体" w:hAnsi="黑体" w:eastAsia="黑体" w:cs="黑体"/>
          <w:b/>
          <w:sz w:val="32"/>
          <w:szCs w:val="32"/>
          <w:lang w:eastAsia="zh-CN"/>
        </w:rPr>
        <w:t>三、项目</w:t>
      </w:r>
      <w:r>
        <w:rPr>
          <w:rFonts w:hint="eastAsia" w:ascii="黑体" w:hAnsi="黑体" w:eastAsia="黑体" w:cs="黑体"/>
          <w:b/>
          <w:sz w:val="32"/>
          <w:szCs w:val="32"/>
        </w:rPr>
        <w:t>概况</w:t>
      </w:r>
    </w:p>
    <w:p>
      <w:pPr>
        <w:keepNext w:val="0"/>
        <w:keepLines w:val="0"/>
        <w:pageBreakBefore w:val="0"/>
        <w:widowControl/>
        <w:kinsoku/>
        <w:wordWrap/>
        <w:overflowPunct/>
        <w:topLinePunct w:val="0"/>
        <w:autoSpaceDE/>
        <w:autoSpaceDN/>
        <w:bidi w:val="0"/>
        <w:adjustRightInd/>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1、项目</w:t>
      </w:r>
      <w:r>
        <w:rPr>
          <w:rFonts w:hint="eastAsia" w:ascii="仿宋_GB2312" w:hAnsi="仿宋_GB2312" w:eastAsia="仿宋_GB2312" w:cs="仿宋_GB2312"/>
          <w:sz w:val="32"/>
          <w:szCs w:val="32"/>
        </w:rPr>
        <w:t>地点位于黄骅港</w:t>
      </w:r>
      <w:r>
        <w:rPr>
          <w:rFonts w:hint="eastAsia" w:ascii="仿宋_GB2312" w:hAnsi="仿宋_GB2312" w:eastAsia="仿宋_GB2312" w:cs="仿宋_GB2312"/>
          <w:sz w:val="32"/>
          <w:szCs w:val="32"/>
          <w:lang w:eastAsia="zh-CN"/>
        </w:rPr>
        <w:t>生活区、生产区</w:t>
      </w: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主要是对建筑物及设备防雷</w:t>
      </w:r>
      <w:r>
        <w:rPr>
          <w:rFonts w:hint="eastAsia" w:ascii="仿宋_GB2312" w:hAnsi="仿宋_GB2312" w:eastAsia="仿宋_GB2312" w:cs="仿宋_GB2312"/>
          <w:sz w:val="32"/>
          <w:szCs w:val="32"/>
          <w:lang w:eastAsia="zh-CN"/>
        </w:rPr>
        <w:t>装置</w:t>
      </w:r>
      <w:r>
        <w:rPr>
          <w:rFonts w:hint="eastAsia" w:ascii="仿宋_GB2312" w:hAnsi="仿宋_GB2312" w:eastAsia="仿宋_GB2312" w:cs="仿宋_GB2312"/>
          <w:sz w:val="32"/>
          <w:szCs w:val="32"/>
        </w:rPr>
        <w:t>进行</w:t>
      </w:r>
      <w:r>
        <w:rPr>
          <w:rFonts w:hint="eastAsia" w:ascii="仿宋_GB2312" w:hAnsi="仿宋_GB2312" w:eastAsia="仿宋_GB2312" w:cs="仿宋_GB2312"/>
          <w:sz w:val="32"/>
          <w:szCs w:val="32"/>
          <w:lang w:eastAsia="zh-CN"/>
        </w:rPr>
        <w:t>隐患整改</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工程量</w:t>
      </w:r>
      <w:r>
        <w:rPr>
          <w:rFonts w:hint="eastAsia" w:ascii="仿宋_GB2312" w:hAnsi="仿宋_GB2312" w:eastAsia="仿宋_GB2312" w:cs="仿宋_GB2312"/>
          <w:sz w:val="32"/>
          <w:szCs w:val="32"/>
        </w:rPr>
        <w:t>清单）。</w:t>
      </w:r>
    </w:p>
    <w:p>
      <w:pPr>
        <w:pageBreakBefore w:val="0"/>
        <w:widowControl/>
        <w:kinsoku/>
        <w:wordWrap/>
        <w:overflowPunct/>
        <w:topLinePunct w:val="0"/>
        <w:autoSpaceDE/>
        <w:autoSpaceDN/>
        <w:bidi w:val="0"/>
        <w:adjustRightInd/>
        <w:snapToGrid w:val="0"/>
        <w:spacing w:line="560"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2、投</w:t>
      </w:r>
      <w:r>
        <w:rPr>
          <w:rFonts w:hint="eastAsia" w:ascii="仿宋_GB2312" w:hAnsi="仿宋_GB2312" w:eastAsia="仿宋_GB2312" w:cs="仿宋_GB2312"/>
          <w:sz w:val="32"/>
          <w:szCs w:val="32"/>
        </w:rPr>
        <w:t>标人根据招标文件及合同的要求，负责完成清单内的建筑电涌保护器</w:t>
      </w:r>
      <w:r>
        <w:rPr>
          <w:rFonts w:hint="eastAsia" w:ascii="仿宋_GB2312" w:hAnsi="仿宋_GB2312" w:eastAsia="仿宋_GB2312" w:cs="仿宋_GB2312"/>
          <w:sz w:val="32"/>
          <w:szCs w:val="32"/>
          <w:lang w:eastAsia="zh-CN"/>
        </w:rPr>
        <w:t>、接地装置</w:t>
      </w:r>
      <w:r>
        <w:rPr>
          <w:rFonts w:hint="eastAsia" w:ascii="仿宋_GB2312" w:hAnsi="仿宋_GB2312" w:eastAsia="仿宋_GB2312" w:cs="仿宋_GB2312"/>
          <w:sz w:val="32"/>
          <w:szCs w:val="32"/>
        </w:rPr>
        <w:t>及其辅助器材的安装、调试及验收工作,并负责取得相关防雷检测部门颁发的防雷检测合格证。</w:t>
      </w:r>
    </w:p>
    <w:p>
      <w:pPr>
        <w:pageBreakBefore w:val="0"/>
        <w:widowControl/>
        <w:kinsoku/>
        <w:wordWrap/>
        <w:overflowPunct/>
        <w:topLinePunct w:val="0"/>
        <w:autoSpaceDE/>
        <w:autoSpaceDN/>
        <w:bidi w:val="0"/>
        <w:adjustRightInd/>
        <w:snapToGrid w:val="0"/>
        <w:spacing w:line="560"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3、投</w:t>
      </w:r>
      <w:r>
        <w:rPr>
          <w:rFonts w:hint="eastAsia" w:ascii="仿宋_GB2312" w:hAnsi="仿宋_GB2312" w:eastAsia="仿宋_GB2312" w:cs="仿宋_GB2312"/>
          <w:sz w:val="32"/>
          <w:szCs w:val="32"/>
        </w:rPr>
        <w:t>标人负责向防雷检测部门报建手续，按其要求提交防雷设备和材料的产品送检资料；工程完工后，负责防雷报验，防雷检测部门颁发的防雷检测合格证。</w:t>
      </w:r>
    </w:p>
    <w:p>
      <w:pPr>
        <w:pageBreakBefore w:val="0"/>
        <w:widowControl/>
        <w:kinsoku/>
        <w:wordWrap/>
        <w:overflowPunct/>
        <w:topLinePunct w:val="0"/>
        <w:autoSpaceDE/>
        <w:autoSpaceDN/>
        <w:bidi w:val="0"/>
        <w:adjustRightInd/>
        <w:snapToGrid w:val="0"/>
        <w:spacing w:line="560"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此费用固定不变，在结算</w:t>
      </w:r>
      <w:r>
        <w:rPr>
          <w:rFonts w:hint="eastAsia" w:ascii="仿宋_GB2312" w:hAnsi="仿宋_GB2312" w:eastAsia="仿宋_GB2312" w:cs="仿宋_GB2312"/>
          <w:sz w:val="32"/>
          <w:szCs w:val="32"/>
          <w:lang w:eastAsia="zh-CN"/>
        </w:rPr>
        <w:t>时</w:t>
      </w:r>
      <w:r>
        <w:rPr>
          <w:rFonts w:hint="eastAsia" w:ascii="仿宋_GB2312" w:hAnsi="仿宋_GB2312" w:eastAsia="仿宋_GB2312" w:cs="仿宋_GB2312"/>
          <w:sz w:val="32"/>
          <w:szCs w:val="32"/>
        </w:rPr>
        <w:t>不做调整。在</w:t>
      </w:r>
      <w:r>
        <w:rPr>
          <w:rFonts w:hint="eastAsia" w:ascii="仿宋_GB2312" w:hAnsi="仿宋_GB2312" w:eastAsia="仿宋_GB2312" w:cs="仿宋_GB2312"/>
          <w:sz w:val="32"/>
          <w:szCs w:val="32"/>
          <w:lang w:eastAsia="zh-CN"/>
        </w:rPr>
        <w:t>投</w:t>
      </w:r>
      <w:r>
        <w:rPr>
          <w:rFonts w:hint="eastAsia" w:ascii="仿宋_GB2312" w:hAnsi="仿宋_GB2312" w:eastAsia="仿宋_GB2312" w:cs="仿宋_GB2312"/>
          <w:sz w:val="32"/>
          <w:szCs w:val="32"/>
        </w:rPr>
        <w:t>标人提交取得国家相关防雷部门颁发的防雷检测合格证后，招标人将该费用支付给中标人。</w:t>
      </w:r>
    </w:p>
    <w:p>
      <w:pPr>
        <w:keepNext w:val="0"/>
        <w:keepLines w:val="0"/>
        <w:pageBreakBefore w:val="0"/>
        <w:widowControl/>
        <w:kinsoku/>
        <w:wordWrap/>
        <w:overflowPunct/>
        <w:topLinePunct w:val="0"/>
        <w:autoSpaceDE/>
        <w:autoSpaceDN/>
        <w:bidi w:val="0"/>
        <w:adjustRightInd/>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5、投</w:t>
      </w:r>
      <w:r>
        <w:rPr>
          <w:rFonts w:hint="eastAsia" w:ascii="仿宋_GB2312" w:hAnsi="仿宋_GB2312" w:eastAsia="仿宋_GB2312" w:cs="仿宋_GB2312"/>
          <w:sz w:val="32"/>
          <w:szCs w:val="32"/>
        </w:rPr>
        <w:t>标人需承诺负担工程验收合格后 24 个月的质量保证期服务。</w:t>
      </w:r>
    </w:p>
    <w:p>
      <w:pPr>
        <w:pStyle w:val="6"/>
        <w:keepNext w:val="0"/>
        <w:keepLines w:val="0"/>
        <w:pageBreakBefore w:val="0"/>
        <w:kinsoku/>
        <w:wordWrap/>
        <w:overflowPunct/>
        <w:topLinePunct w:val="0"/>
        <w:autoSpaceDE/>
        <w:autoSpaceDN/>
        <w:bidi w:val="0"/>
        <w:adjustRightInd/>
        <w:spacing w:after="0" w:afterLines="0" w:line="560" w:lineRule="exact"/>
        <w:ind w:left="0" w:leftChars="0" w:right="0" w:rightChars="0" w:firstLine="0" w:firstLineChars="0"/>
        <w:jc w:val="both"/>
        <w:textAlignment w:val="auto"/>
        <w:outlineLvl w:val="9"/>
        <w:rPr>
          <w:rFonts w:hint="eastAsia" w:ascii="黑体" w:hAnsi="黑体" w:eastAsia="黑体" w:cs="黑体"/>
          <w:b/>
          <w:sz w:val="32"/>
          <w:szCs w:val="32"/>
        </w:rPr>
      </w:pPr>
      <w:r>
        <w:rPr>
          <w:rFonts w:hint="eastAsia" w:ascii="黑体" w:hAnsi="黑体" w:eastAsia="黑体" w:cs="黑体"/>
          <w:b/>
          <w:sz w:val="32"/>
          <w:szCs w:val="32"/>
          <w:lang w:eastAsia="zh-CN"/>
        </w:rPr>
        <w:t>四、</w:t>
      </w:r>
      <w:r>
        <w:rPr>
          <w:rFonts w:hint="eastAsia" w:ascii="黑体" w:hAnsi="黑体" w:eastAsia="黑体" w:cs="黑体"/>
          <w:b/>
          <w:sz w:val="32"/>
          <w:szCs w:val="32"/>
        </w:rPr>
        <w:t>技术要求</w:t>
      </w:r>
    </w:p>
    <w:p>
      <w:pPr>
        <w:keepNext w:val="0"/>
        <w:keepLines w:val="0"/>
        <w:pageBreakBefore w:val="0"/>
        <w:widowControl/>
        <w:kinsoku/>
        <w:wordWrap/>
        <w:overflowPunct/>
        <w:topLinePunct w:val="0"/>
        <w:autoSpaceDE/>
        <w:autoSpaceDN/>
        <w:bidi w:val="0"/>
        <w:adjustRightInd/>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投标人按招标文件及设计规范要求选配的防雷</w:t>
      </w:r>
      <w:r>
        <w:rPr>
          <w:rFonts w:hint="eastAsia" w:ascii="仿宋_GB2312" w:hAnsi="仿宋_GB2312" w:eastAsia="仿宋_GB2312" w:cs="仿宋_GB2312"/>
          <w:sz w:val="32"/>
          <w:szCs w:val="32"/>
          <w:lang w:eastAsia="zh-CN"/>
        </w:rPr>
        <w:t>装置</w:t>
      </w:r>
      <w:r>
        <w:rPr>
          <w:rFonts w:hint="eastAsia" w:ascii="仿宋_GB2312" w:hAnsi="仿宋_GB2312" w:eastAsia="仿宋_GB2312" w:cs="仿宋_GB2312"/>
          <w:sz w:val="32"/>
          <w:szCs w:val="32"/>
        </w:rPr>
        <w:t>，应是具备安全可靠、技术先进、性能优良、结构紧凑、便于安装和维护的满足技术条件要求的全新产品。</w:t>
      </w:r>
    </w:p>
    <w:p>
      <w:pPr>
        <w:pageBreakBefore w:val="0"/>
        <w:widowControl/>
        <w:kinsoku/>
        <w:wordWrap/>
        <w:overflowPunct/>
        <w:topLinePunct w:val="0"/>
        <w:autoSpaceDE/>
        <w:autoSpaceDN/>
        <w:bidi w:val="0"/>
        <w:adjustRightInd/>
        <w:snapToGrid w:val="0"/>
        <w:spacing w:line="560"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所提供的防雷</w:t>
      </w:r>
      <w:r>
        <w:rPr>
          <w:rFonts w:hint="eastAsia" w:ascii="仿宋_GB2312" w:hAnsi="仿宋_GB2312" w:eastAsia="仿宋_GB2312" w:cs="仿宋_GB2312"/>
          <w:sz w:val="32"/>
          <w:szCs w:val="32"/>
          <w:lang w:eastAsia="zh-CN"/>
        </w:rPr>
        <w:t>装置</w:t>
      </w:r>
      <w:r>
        <w:rPr>
          <w:rFonts w:hint="eastAsia" w:ascii="仿宋_GB2312" w:hAnsi="仿宋_GB2312" w:eastAsia="仿宋_GB2312" w:cs="仿宋_GB2312"/>
          <w:sz w:val="32"/>
          <w:szCs w:val="32"/>
        </w:rPr>
        <w:t>的性能应达到或超过招标清单中所列技术指标。</w:t>
      </w:r>
    </w:p>
    <w:p>
      <w:pPr>
        <w:pageBreakBefore w:val="0"/>
        <w:widowControl/>
        <w:kinsoku/>
        <w:wordWrap/>
        <w:overflowPunct/>
        <w:topLinePunct w:val="0"/>
        <w:autoSpaceDE/>
        <w:autoSpaceDN/>
        <w:bidi w:val="0"/>
        <w:adjustRightInd/>
        <w:snapToGrid w:val="0"/>
        <w:spacing w:line="560" w:lineRule="exact"/>
        <w:ind w:right="0" w:righ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防雷</w:t>
      </w:r>
      <w:r>
        <w:rPr>
          <w:rFonts w:hint="eastAsia" w:ascii="仿宋_GB2312" w:hAnsi="仿宋_GB2312" w:eastAsia="仿宋_GB2312" w:cs="仿宋_GB2312"/>
          <w:sz w:val="32"/>
          <w:szCs w:val="32"/>
          <w:lang w:eastAsia="zh-CN"/>
        </w:rPr>
        <w:t>装置</w:t>
      </w:r>
      <w:r>
        <w:rPr>
          <w:rFonts w:hint="eastAsia" w:ascii="仿宋_GB2312" w:hAnsi="仿宋_GB2312" w:eastAsia="仿宋_GB2312" w:cs="仿宋_GB2312"/>
          <w:sz w:val="32"/>
          <w:szCs w:val="32"/>
        </w:rPr>
        <w:t>的选配及安装必须符合国家有关设计、生产</w:t>
      </w:r>
      <w:r>
        <w:rPr>
          <w:rFonts w:hint="eastAsia" w:ascii="仿宋_GB2312" w:hAnsi="仿宋_GB2312" w:eastAsia="仿宋_GB2312" w:cs="仿宋_GB2312"/>
          <w:sz w:val="32"/>
          <w:szCs w:val="32"/>
          <w:lang w:eastAsia="zh-CN"/>
        </w:rPr>
        <w:t>的</w:t>
      </w:r>
    </w:p>
    <w:p>
      <w:pPr>
        <w:pageBreakBefore w:val="0"/>
        <w:widowControl/>
        <w:kinsoku/>
        <w:wordWrap/>
        <w:overflowPunct/>
        <w:topLinePunct w:val="0"/>
        <w:autoSpaceDE/>
        <w:autoSpaceDN/>
        <w:bidi w:val="0"/>
        <w:adjustRightInd/>
        <w:snapToGrid w:val="0"/>
        <w:spacing w:line="560" w:lineRule="exact"/>
        <w:ind w:right="0" w:righ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标准、安装施工规范和验收标准。</w:t>
      </w:r>
    </w:p>
    <w:p>
      <w:pPr>
        <w:pageBreakBefore w:val="0"/>
        <w:kinsoku/>
        <w:wordWrap/>
        <w:overflowPunct/>
        <w:topLinePunct w:val="0"/>
        <w:autoSpaceDE/>
        <w:autoSpaceDN/>
        <w:bidi w:val="0"/>
        <w:adjustRightInd/>
        <w:spacing w:line="560"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电涌保护器要求为需要有型式试验报告、合格证且可确保一次性通过防雷验收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其他设备材料要求为优质产品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w:t>
      </w:r>
    </w:p>
    <w:p>
      <w:pPr>
        <w:pageBreakBefore w:val="0"/>
        <w:kinsoku/>
        <w:wordWrap/>
        <w:overflowPunct/>
        <w:topLinePunct w:val="0"/>
        <w:autoSpaceDE/>
        <w:autoSpaceDN/>
        <w:bidi w:val="0"/>
        <w:adjustRightInd/>
        <w:spacing w:line="560"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接地系统：接地极采用热镀锌角钢50*50*5*2500MM, 接地极水平连接及引出线采用热镀锌扁钢40*40*4MM。所有焊口做防腐，圆钢搭接双倍焊大于最小直径6倍，单面焊大于最小直径12倍，扁钢焊接应三面焊接。</w:t>
      </w:r>
    </w:p>
    <w:p>
      <w:pPr>
        <w:pageBreakBefore w:val="0"/>
        <w:widowControl/>
        <w:kinsoku/>
        <w:wordWrap/>
        <w:overflowPunct/>
        <w:topLinePunct w:val="0"/>
        <w:autoSpaceDE/>
        <w:autoSpaceDN/>
        <w:bidi w:val="0"/>
        <w:adjustRightInd/>
        <w:snapToGrid w:val="0"/>
        <w:spacing w:line="560"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防雷</w:t>
      </w:r>
      <w:r>
        <w:rPr>
          <w:rFonts w:hint="eastAsia" w:ascii="仿宋_GB2312" w:hAnsi="仿宋_GB2312" w:eastAsia="仿宋_GB2312" w:cs="仿宋_GB2312"/>
          <w:sz w:val="32"/>
          <w:szCs w:val="32"/>
          <w:lang w:eastAsia="zh-CN"/>
        </w:rPr>
        <w:t>装置</w:t>
      </w:r>
      <w:r>
        <w:rPr>
          <w:rFonts w:hint="eastAsia" w:ascii="仿宋_GB2312" w:hAnsi="仿宋_GB2312" w:eastAsia="仿宋_GB2312" w:cs="仿宋_GB2312"/>
          <w:sz w:val="32"/>
          <w:szCs w:val="32"/>
        </w:rPr>
        <w:t>在正确安装后，能确保在正常的使用过程中安全、稳定可靠，并满足有关规范的要求。</w:t>
      </w:r>
      <w:bookmarkEnd w:id="4"/>
      <w:bookmarkEnd w:id="5"/>
    </w:p>
    <w:p>
      <w:pPr>
        <w:pageBreakBefore w:val="0"/>
        <w:widowControl/>
        <w:numPr>
          <w:ilvl w:val="0"/>
          <w:numId w:val="0"/>
        </w:numPr>
        <w:kinsoku/>
        <w:wordWrap/>
        <w:overflowPunct/>
        <w:topLinePunct w:val="0"/>
        <w:autoSpaceDE/>
        <w:autoSpaceDN/>
        <w:bidi w:val="0"/>
        <w:adjustRightInd/>
        <w:snapToGrid w:val="0"/>
        <w:spacing w:line="560" w:lineRule="exact"/>
        <w:ind w:right="0" w:rightChars="0"/>
        <w:textAlignment w:val="auto"/>
        <w:rPr>
          <w:rFonts w:hint="eastAsia" w:ascii="黑体" w:hAnsi="黑体" w:eastAsia="黑体" w:cs="黑体"/>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 xml:space="preserve">招标范围和内容 </w:t>
      </w:r>
    </w:p>
    <w:p>
      <w:pPr>
        <w:pageBreakBefore w:val="0"/>
        <w:kinsoku/>
        <w:wordWrap/>
        <w:overflowPunct/>
        <w:topLinePunct w:val="0"/>
        <w:autoSpaceDE/>
        <w:autoSpaceDN/>
        <w:bidi w:val="0"/>
        <w:adjustRightInd/>
        <w:spacing w:line="560"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招标范围为黄骅港</w:t>
      </w:r>
      <w:r>
        <w:rPr>
          <w:rFonts w:hint="eastAsia" w:ascii="仿宋_GB2312" w:hAnsi="仿宋_GB2312" w:eastAsia="仿宋_GB2312" w:cs="仿宋_GB2312"/>
          <w:sz w:val="32"/>
          <w:szCs w:val="32"/>
          <w:lang w:eastAsia="zh-CN"/>
        </w:rPr>
        <w:t>生活区、生产区</w:t>
      </w:r>
      <w:r>
        <w:rPr>
          <w:rFonts w:hint="eastAsia" w:ascii="仿宋_GB2312" w:hAnsi="仿宋_GB2312" w:eastAsia="仿宋_GB2312" w:cs="仿宋_GB2312"/>
          <w:sz w:val="32"/>
          <w:szCs w:val="32"/>
        </w:rPr>
        <w:t>电涌保护器、</w:t>
      </w:r>
      <w:r>
        <w:rPr>
          <w:rFonts w:hint="eastAsia" w:ascii="仿宋_GB2312" w:hAnsi="仿宋_GB2312" w:eastAsia="仿宋_GB2312" w:cs="仿宋_GB2312"/>
          <w:sz w:val="32"/>
          <w:szCs w:val="32"/>
          <w:lang w:eastAsia="zh-CN"/>
        </w:rPr>
        <w:t>接地装置</w:t>
      </w:r>
      <w:r>
        <w:rPr>
          <w:rFonts w:hint="eastAsia" w:ascii="仿宋_GB2312" w:hAnsi="仿宋_GB2312" w:eastAsia="仿宋_GB2312" w:cs="仿宋_GB2312"/>
          <w:sz w:val="32"/>
          <w:szCs w:val="32"/>
        </w:rPr>
        <w:t>及配套附属材料的供应及安装工程。具体包括浪涌保护器</w:t>
      </w:r>
      <w:r>
        <w:rPr>
          <w:rFonts w:hint="eastAsia" w:ascii="仿宋_GB2312" w:hAnsi="仿宋_GB2312" w:eastAsia="仿宋_GB2312" w:cs="仿宋_GB2312"/>
          <w:sz w:val="32"/>
          <w:szCs w:val="32"/>
          <w:lang w:eastAsia="zh-CN"/>
        </w:rPr>
        <w:t>、接地装置</w:t>
      </w:r>
      <w:r>
        <w:rPr>
          <w:rFonts w:hint="eastAsia" w:ascii="仿宋_GB2312" w:hAnsi="仿宋_GB2312" w:eastAsia="仿宋_GB2312" w:cs="仿宋_GB2312"/>
          <w:sz w:val="32"/>
          <w:szCs w:val="32"/>
        </w:rPr>
        <w:t xml:space="preserve">及配套附属材料的供应及安装、盘柜配线、压接铜线鼻、接地母线等工程施工及为完成防雷工程验收所必需的其他所有材料的供应及安装、系统调试、工程验收、维护保养、售后服务等。具体施工范围及内容以经发包单位确认的工程清单为准。 </w:t>
      </w:r>
    </w:p>
    <w:p>
      <w:pPr>
        <w:pageBreakBefore w:val="0"/>
        <w:kinsoku/>
        <w:wordWrap/>
        <w:overflowPunct/>
        <w:topLinePunct w:val="0"/>
        <w:autoSpaceDE/>
        <w:autoSpaceDN/>
        <w:bidi w:val="0"/>
        <w:adjustRightInd/>
        <w:spacing w:line="560"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2、本项目</w:t>
      </w:r>
      <w:r>
        <w:rPr>
          <w:rFonts w:hint="eastAsia" w:ascii="仿宋_GB2312" w:hAnsi="仿宋_GB2312" w:eastAsia="仿宋_GB2312" w:cs="仿宋_GB2312"/>
          <w:sz w:val="32"/>
          <w:szCs w:val="32"/>
        </w:rPr>
        <w:t>招标内</w:t>
      </w:r>
      <w:r>
        <w:rPr>
          <w:rFonts w:hint="eastAsia" w:ascii="仿宋_GB2312" w:hAnsi="仿宋_GB2312" w:eastAsia="仿宋_GB2312" w:cs="仿宋_GB2312"/>
          <w:sz w:val="32"/>
          <w:szCs w:val="32"/>
          <w:lang w:eastAsia="zh-CN"/>
        </w:rPr>
        <w:t>容为</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eastAsia="zh-CN"/>
        </w:rPr>
        <w:t>电</w:t>
      </w:r>
      <w:r>
        <w:rPr>
          <w:rFonts w:hint="eastAsia" w:ascii="仿宋_GB2312" w:hAnsi="仿宋_GB2312" w:eastAsia="仿宋_GB2312" w:cs="仿宋_GB2312"/>
          <w:sz w:val="32"/>
          <w:szCs w:val="32"/>
        </w:rPr>
        <w:t>涌保护器、</w:t>
      </w:r>
      <w:r>
        <w:rPr>
          <w:rFonts w:hint="eastAsia" w:ascii="仿宋_GB2312" w:hAnsi="仿宋_GB2312" w:eastAsia="仿宋_GB2312" w:cs="仿宋_GB2312"/>
          <w:sz w:val="32"/>
          <w:szCs w:val="32"/>
          <w:lang w:eastAsia="zh-CN"/>
        </w:rPr>
        <w:t>接地装置</w:t>
      </w:r>
      <w:r>
        <w:rPr>
          <w:rFonts w:hint="eastAsia" w:ascii="仿宋_GB2312" w:hAnsi="仿宋_GB2312" w:eastAsia="仿宋_GB2312" w:cs="仿宋_GB2312"/>
          <w:sz w:val="32"/>
          <w:szCs w:val="32"/>
        </w:rPr>
        <w:t>及相关附属设备材料进行工程施工、技术服务、竣工验收、工程保修以及协作相关单位完成相关专业的验收等全部内容。</w:t>
      </w:r>
    </w:p>
    <w:p>
      <w:pPr>
        <w:pageBreakBefore w:val="0"/>
        <w:numPr>
          <w:ilvl w:val="0"/>
          <w:numId w:val="0"/>
        </w:numPr>
        <w:kinsoku/>
        <w:wordWrap/>
        <w:overflowPunct/>
        <w:topLinePunct w:val="0"/>
        <w:autoSpaceDE/>
        <w:autoSpaceDN/>
        <w:bidi w:val="0"/>
        <w:adjustRightInd/>
        <w:spacing w:line="560" w:lineRule="exact"/>
        <w:ind w:right="0" w:rightChars="0"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工程量清单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kern w:val="0"/>
          <w:sz w:val="32"/>
          <w:szCs w:val="32"/>
        </w:rPr>
        <w:t>投标人的供货范围主要包括但不限于下表所列的内容：</w:t>
      </w:r>
    </w:p>
    <w:tbl>
      <w:tblPr>
        <w:tblStyle w:val="8"/>
        <w:tblpPr w:leftFromText="180" w:rightFromText="180" w:vertAnchor="text" w:horzAnchor="page" w:tblpX="1477" w:tblpY="216"/>
        <w:tblOverlap w:val="never"/>
        <w:tblW w:w="9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2091"/>
        <w:gridCol w:w="1415"/>
        <w:gridCol w:w="2521"/>
        <w:gridCol w:w="742"/>
        <w:gridCol w:w="800"/>
        <w:gridCol w:w="11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jc w:val="center"/>
              <w:rPr>
                <w:rFonts w:hint="eastAsia" w:ascii="宋体" w:hAnsi="宋体"/>
                <w:sz w:val="28"/>
                <w:szCs w:val="28"/>
              </w:rPr>
            </w:pPr>
            <w:r>
              <w:rPr>
                <w:rFonts w:hint="eastAsia" w:ascii="宋体" w:hAnsi="宋体"/>
                <w:sz w:val="28"/>
                <w:szCs w:val="28"/>
              </w:rPr>
              <w:t>序号</w:t>
            </w:r>
          </w:p>
        </w:tc>
        <w:tc>
          <w:tcPr>
            <w:tcW w:w="2091" w:type="dxa"/>
            <w:vAlign w:val="center"/>
          </w:tcPr>
          <w:p>
            <w:pPr>
              <w:jc w:val="center"/>
              <w:rPr>
                <w:rFonts w:hint="eastAsia" w:ascii="宋体" w:hAnsi="宋体"/>
                <w:sz w:val="28"/>
                <w:szCs w:val="28"/>
              </w:rPr>
            </w:pPr>
            <w:r>
              <w:rPr>
                <w:rFonts w:hint="eastAsia" w:ascii="宋体" w:hAnsi="宋体"/>
                <w:sz w:val="28"/>
                <w:szCs w:val="28"/>
              </w:rPr>
              <w:t>名称</w:t>
            </w:r>
          </w:p>
        </w:tc>
        <w:tc>
          <w:tcPr>
            <w:tcW w:w="1415" w:type="dxa"/>
            <w:vAlign w:val="center"/>
          </w:tcPr>
          <w:p>
            <w:pPr>
              <w:jc w:val="center"/>
              <w:rPr>
                <w:rFonts w:hint="eastAsia" w:ascii="宋体" w:hAnsi="宋体"/>
                <w:sz w:val="28"/>
                <w:szCs w:val="28"/>
              </w:rPr>
            </w:pPr>
            <w:r>
              <w:rPr>
                <w:rFonts w:hint="eastAsia" w:ascii="宋体" w:hAnsi="宋体"/>
                <w:sz w:val="28"/>
                <w:szCs w:val="28"/>
              </w:rPr>
              <w:t>位置</w:t>
            </w:r>
          </w:p>
        </w:tc>
        <w:tc>
          <w:tcPr>
            <w:tcW w:w="2521" w:type="dxa"/>
            <w:vAlign w:val="center"/>
          </w:tcPr>
          <w:p>
            <w:pPr>
              <w:ind w:firstLine="560" w:firstLineChars="200"/>
              <w:rPr>
                <w:rFonts w:hint="eastAsia" w:ascii="宋体" w:hAnsi="宋体"/>
                <w:sz w:val="28"/>
                <w:szCs w:val="28"/>
              </w:rPr>
            </w:pPr>
            <w:r>
              <w:rPr>
                <w:rFonts w:hint="eastAsia" w:ascii="宋体" w:hAnsi="宋体"/>
                <w:sz w:val="28"/>
                <w:szCs w:val="28"/>
              </w:rPr>
              <w:t>器材型号</w:t>
            </w:r>
          </w:p>
        </w:tc>
        <w:tc>
          <w:tcPr>
            <w:tcW w:w="742" w:type="dxa"/>
            <w:vAlign w:val="center"/>
          </w:tcPr>
          <w:p>
            <w:pPr>
              <w:jc w:val="center"/>
              <w:rPr>
                <w:rFonts w:hint="eastAsia" w:ascii="宋体" w:hAnsi="宋体"/>
                <w:sz w:val="28"/>
                <w:szCs w:val="28"/>
              </w:rPr>
            </w:pPr>
            <w:r>
              <w:rPr>
                <w:rFonts w:hint="eastAsia" w:ascii="宋体" w:hAnsi="宋体"/>
                <w:sz w:val="28"/>
                <w:szCs w:val="28"/>
              </w:rPr>
              <w:t>单位</w:t>
            </w:r>
          </w:p>
        </w:tc>
        <w:tc>
          <w:tcPr>
            <w:tcW w:w="800" w:type="dxa"/>
            <w:vAlign w:val="center"/>
          </w:tcPr>
          <w:p>
            <w:pPr>
              <w:jc w:val="center"/>
              <w:rPr>
                <w:rFonts w:hint="eastAsia" w:ascii="宋体" w:hAnsi="宋体"/>
                <w:sz w:val="28"/>
                <w:szCs w:val="28"/>
              </w:rPr>
            </w:pPr>
            <w:r>
              <w:rPr>
                <w:rFonts w:hint="eastAsia" w:ascii="宋体" w:hAnsi="宋体"/>
                <w:sz w:val="28"/>
                <w:szCs w:val="28"/>
              </w:rPr>
              <w:t>数量</w:t>
            </w:r>
          </w:p>
        </w:tc>
        <w:tc>
          <w:tcPr>
            <w:tcW w:w="1149" w:type="dxa"/>
            <w:vAlign w:val="center"/>
          </w:tcPr>
          <w:p>
            <w:pPr>
              <w:jc w:val="center"/>
              <w:rPr>
                <w:rFonts w:hint="eastAsia" w:ascii="宋体" w:hAnsi="宋体"/>
                <w:sz w:val="28"/>
                <w:szCs w:val="28"/>
              </w:rPr>
            </w:pPr>
            <w:r>
              <w:rPr>
                <w:rFonts w:hint="eastAsia" w:ascii="宋体" w:hAnsi="宋体"/>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jc w:val="center"/>
              <w:rPr>
                <w:rFonts w:hint="eastAsia" w:ascii="宋体" w:hAnsi="宋体"/>
                <w:sz w:val="28"/>
                <w:szCs w:val="28"/>
              </w:rPr>
            </w:pPr>
            <w:r>
              <w:rPr>
                <w:rFonts w:hint="eastAsia" w:ascii="宋体" w:hAnsi="宋体"/>
                <w:sz w:val="28"/>
                <w:szCs w:val="28"/>
              </w:rPr>
              <w:t>1</w:t>
            </w:r>
          </w:p>
        </w:tc>
        <w:tc>
          <w:tcPr>
            <w:tcW w:w="2091" w:type="dxa"/>
            <w:vAlign w:val="center"/>
          </w:tcPr>
          <w:p>
            <w:pPr>
              <w:jc w:val="center"/>
              <w:rPr>
                <w:rFonts w:hint="eastAsia" w:ascii="宋体" w:hAnsi="宋体" w:eastAsia="宋体"/>
                <w:sz w:val="28"/>
                <w:szCs w:val="28"/>
                <w:lang w:eastAsia="zh-CN"/>
              </w:rPr>
            </w:pPr>
            <w:r>
              <w:rPr>
                <w:rFonts w:hint="eastAsia" w:ascii="宋体" w:hAnsi="宋体"/>
                <w:sz w:val="28"/>
                <w:szCs w:val="28"/>
                <w:lang w:eastAsia="zh-CN"/>
              </w:rPr>
              <w:t>电涌保护器</w:t>
            </w:r>
          </w:p>
        </w:tc>
        <w:tc>
          <w:tcPr>
            <w:tcW w:w="1415" w:type="dxa"/>
            <w:vAlign w:val="center"/>
          </w:tcPr>
          <w:p>
            <w:pPr>
              <w:jc w:val="center"/>
              <w:rPr>
                <w:rFonts w:hint="eastAsia" w:ascii="宋体" w:hAnsi="宋体"/>
                <w:sz w:val="28"/>
                <w:szCs w:val="28"/>
              </w:rPr>
            </w:pPr>
            <w:r>
              <w:rPr>
                <w:rFonts w:hint="eastAsia" w:ascii="宋体" w:hAnsi="宋体"/>
                <w:sz w:val="28"/>
                <w:szCs w:val="28"/>
              </w:rPr>
              <w:t>配电箱</w:t>
            </w:r>
          </w:p>
        </w:tc>
        <w:tc>
          <w:tcPr>
            <w:tcW w:w="2521" w:type="dxa"/>
            <w:vAlign w:val="center"/>
          </w:tcPr>
          <w:p>
            <w:pPr>
              <w:jc w:val="center"/>
              <w:rPr>
                <w:rFonts w:hint="eastAsia" w:ascii="宋体" w:hAnsi="宋体"/>
                <w:sz w:val="28"/>
                <w:szCs w:val="28"/>
              </w:rPr>
            </w:pPr>
            <w:r>
              <w:rPr>
                <w:rFonts w:hint="eastAsia" w:ascii="宋体" w:hAnsi="宋体"/>
                <w:sz w:val="28"/>
                <w:szCs w:val="28"/>
              </w:rPr>
              <w:t>Iimp≥15KV</w:t>
            </w:r>
          </w:p>
        </w:tc>
        <w:tc>
          <w:tcPr>
            <w:tcW w:w="742" w:type="dxa"/>
            <w:vAlign w:val="center"/>
          </w:tcPr>
          <w:p>
            <w:pPr>
              <w:jc w:val="center"/>
              <w:rPr>
                <w:rFonts w:hint="eastAsia" w:ascii="宋体" w:hAnsi="宋体"/>
                <w:sz w:val="28"/>
                <w:szCs w:val="28"/>
              </w:rPr>
            </w:pPr>
            <w:r>
              <w:rPr>
                <w:rFonts w:hint="eastAsia" w:ascii="宋体" w:hAnsi="宋体"/>
                <w:sz w:val="28"/>
                <w:szCs w:val="28"/>
              </w:rPr>
              <w:t>套</w:t>
            </w:r>
          </w:p>
        </w:tc>
        <w:tc>
          <w:tcPr>
            <w:tcW w:w="800" w:type="dxa"/>
            <w:vAlign w:val="center"/>
          </w:tcPr>
          <w:p>
            <w:pPr>
              <w:jc w:val="center"/>
              <w:rPr>
                <w:rFonts w:hint="eastAsia" w:ascii="宋体" w:hAnsi="宋体" w:eastAsia="宋体"/>
                <w:sz w:val="28"/>
                <w:szCs w:val="28"/>
                <w:lang w:val="en-US" w:eastAsia="zh-CN"/>
              </w:rPr>
            </w:pPr>
            <w:r>
              <w:rPr>
                <w:rFonts w:hint="eastAsia" w:ascii="宋体" w:hAnsi="宋体"/>
                <w:sz w:val="28"/>
                <w:szCs w:val="28"/>
                <w:lang w:val="en-US" w:eastAsia="zh-CN"/>
              </w:rPr>
              <w:t>96</w:t>
            </w:r>
          </w:p>
        </w:tc>
        <w:tc>
          <w:tcPr>
            <w:tcW w:w="1149" w:type="dxa"/>
            <w:vAlign w:val="center"/>
          </w:tcPr>
          <w:p>
            <w:pPr>
              <w:jc w:val="center"/>
              <w:rPr>
                <w:rFonts w:hint="eastAsia" w:ascii="宋体" w:hAnsi="宋体"/>
                <w:sz w:val="28"/>
                <w:szCs w:val="28"/>
              </w:rPr>
            </w:pPr>
            <w:r>
              <w:rPr>
                <w:rFonts w:hint="eastAsia" w:ascii="宋体" w:hAnsi="宋体"/>
                <w:sz w:val="28"/>
                <w:szCs w:val="28"/>
              </w:rPr>
              <w:t>电源一级防护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jc w:val="center"/>
              <w:rPr>
                <w:rFonts w:hint="eastAsia" w:ascii="宋体" w:hAnsi="宋体"/>
                <w:sz w:val="28"/>
                <w:szCs w:val="28"/>
              </w:rPr>
            </w:pPr>
            <w:r>
              <w:rPr>
                <w:rFonts w:hint="eastAsia" w:ascii="宋体" w:hAnsi="宋体"/>
                <w:sz w:val="28"/>
                <w:szCs w:val="28"/>
              </w:rPr>
              <w:t>2</w:t>
            </w:r>
          </w:p>
        </w:tc>
        <w:tc>
          <w:tcPr>
            <w:tcW w:w="2091" w:type="dxa"/>
            <w:vAlign w:val="center"/>
          </w:tcPr>
          <w:p>
            <w:pPr>
              <w:jc w:val="center"/>
              <w:rPr>
                <w:rFonts w:hint="eastAsia" w:ascii="宋体" w:hAnsi="宋体" w:eastAsia="宋体"/>
                <w:sz w:val="28"/>
                <w:szCs w:val="28"/>
                <w:lang w:eastAsia="zh-CN"/>
              </w:rPr>
            </w:pPr>
            <w:r>
              <w:rPr>
                <w:rFonts w:hint="eastAsia" w:ascii="宋体" w:hAnsi="宋体"/>
                <w:sz w:val="28"/>
                <w:szCs w:val="28"/>
                <w:lang w:eastAsia="zh-CN"/>
              </w:rPr>
              <w:t>接地装置</w:t>
            </w:r>
          </w:p>
        </w:tc>
        <w:tc>
          <w:tcPr>
            <w:tcW w:w="1415" w:type="dxa"/>
            <w:vAlign w:val="center"/>
          </w:tcPr>
          <w:p>
            <w:pPr>
              <w:jc w:val="center"/>
              <w:rPr>
                <w:rFonts w:hint="eastAsia" w:ascii="宋体" w:hAnsi="宋体" w:eastAsia="宋体"/>
                <w:sz w:val="28"/>
                <w:szCs w:val="28"/>
                <w:lang w:eastAsia="zh-CN"/>
              </w:rPr>
            </w:pPr>
            <w:r>
              <w:rPr>
                <w:rFonts w:hint="eastAsia" w:ascii="宋体" w:hAnsi="宋体"/>
                <w:sz w:val="28"/>
                <w:szCs w:val="28"/>
                <w:lang w:eastAsia="zh-CN"/>
              </w:rPr>
              <w:t>生产区域</w:t>
            </w:r>
          </w:p>
        </w:tc>
        <w:tc>
          <w:tcPr>
            <w:tcW w:w="2521" w:type="dxa"/>
            <w:vAlign w:val="center"/>
          </w:tcPr>
          <w:p>
            <w:pPr>
              <w:jc w:val="center"/>
              <w:rPr>
                <w:rFonts w:hint="eastAsia" w:ascii="宋体" w:hAnsi="宋体"/>
                <w:sz w:val="28"/>
                <w:szCs w:val="28"/>
              </w:rPr>
            </w:pPr>
          </w:p>
        </w:tc>
        <w:tc>
          <w:tcPr>
            <w:tcW w:w="742" w:type="dxa"/>
            <w:vAlign w:val="center"/>
          </w:tcPr>
          <w:p>
            <w:pPr>
              <w:jc w:val="center"/>
              <w:rPr>
                <w:rFonts w:hint="eastAsia" w:ascii="宋体" w:hAnsi="宋体"/>
                <w:sz w:val="28"/>
                <w:szCs w:val="28"/>
              </w:rPr>
            </w:pPr>
            <w:r>
              <w:rPr>
                <w:rFonts w:hint="eastAsia" w:ascii="宋体" w:hAnsi="宋体"/>
                <w:sz w:val="28"/>
                <w:szCs w:val="28"/>
              </w:rPr>
              <w:t>套</w:t>
            </w:r>
          </w:p>
        </w:tc>
        <w:tc>
          <w:tcPr>
            <w:tcW w:w="800" w:type="dxa"/>
            <w:vAlign w:val="center"/>
          </w:tcPr>
          <w:p>
            <w:pPr>
              <w:jc w:val="center"/>
              <w:rPr>
                <w:rFonts w:hint="eastAsia" w:ascii="宋体" w:hAnsi="宋体" w:eastAsia="宋体"/>
                <w:sz w:val="28"/>
                <w:szCs w:val="28"/>
                <w:lang w:val="en-US" w:eastAsia="zh-CN"/>
              </w:rPr>
            </w:pPr>
            <w:r>
              <w:rPr>
                <w:rFonts w:hint="eastAsia" w:ascii="宋体" w:hAnsi="宋体"/>
                <w:sz w:val="28"/>
                <w:szCs w:val="28"/>
                <w:lang w:val="en-US" w:eastAsia="zh-CN"/>
              </w:rPr>
              <w:t>14</w:t>
            </w:r>
          </w:p>
        </w:tc>
        <w:tc>
          <w:tcPr>
            <w:tcW w:w="1149" w:type="dxa"/>
            <w:vAlign w:val="center"/>
          </w:tcPr>
          <w:p>
            <w:pPr>
              <w:jc w:val="center"/>
              <w:rPr>
                <w:rFonts w:hint="eastAsia" w:ascii="宋体" w:hAnsi="宋体" w:eastAsia="宋体"/>
                <w:sz w:val="28"/>
                <w:szCs w:val="28"/>
                <w:lang w:eastAsia="zh-CN"/>
              </w:rPr>
            </w:pPr>
            <w:r>
              <w:rPr>
                <w:rFonts w:hint="eastAsia" w:ascii="宋体" w:hAnsi="宋体"/>
                <w:sz w:val="28"/>
                <w:szCs w:val="28"/>
                <w:lang w:eastAsia="zh-CN"/>
              </w:rPr>
              <w:t>更换或整改</w:t>
            </w:r>
          </w:p>
        </w:tc>
      </w:tr>
    </w:tbl>
    <w:p>
      <w:pPr>
        <w:pageBreakBefore w:val="0"/>
        <w:numPr>
          <w:ilvl w:val="0"/>
          <w:numId w:val="2"/>
        </w:numPr>
        <w:kinsoku/>
        <w:wordWrap/>
        <w:overflowPunct/>
        <w:topLinePunct w:val="0"/>
        <w:autoSpaceDE/>
        <w:autoSpaceDN/>
        <w:bidi w:val="0"/>
        <w:adjustRightInd/>
        <w:spacing w:line="560" w:lineRule="exact"/>
        <w:ind w:right="0" w:rightChars="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项目工期</w:t>
      </w:r>
    </w:p>
    <w:p>
      <w:pPr>
        <w:pageBreakBefore w:val="0"/>
        <w:numPr>
          <w:ilvl w:val="0"/>
          <w:numId w:val="0"/>
        </w:numPr>
        <w:kinsoku/>
        <w:wordWrap/>
        <w:overflowPunct/>
        <w:topLinePunct w:val="0"/>
        <w:autoSpaceDE/>
        <w:autoSpaceDN/>
        <w:bidi w:val="0"/>
        <w:adjustRightInd/>
        <w:spacing w:line="560" w:lineRule="exact"/>
        <w:ind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工期为合同签订之日起</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天</w:t>
      </w:r>
      <w:r>
        <w:rPr>
          <w:rFonts w:hint="eastAsia" w:ascii="仿宋_GB2312" w:hAnsi="仿宋_GB2312" w:eastAsia="仿宋_GB2312" w:cs="仿宋_GB2312"/>
          <w:sz w:val="32"/>
          <w:szCs w:val="32"/>
          <w:lang w:eastAsia="zh-CN"/>
        </w:rPr>
        <w:t>。</w:t>
      </w:r>
    </w:p>
    <w:sectPr>
      <w:pgSz w:w="11906" w:h="16838"/>
      <w:pgMar w:top="2098" w:right="1474" w:bottom="1984" w:left="1587" w:header="851" w:footer="992" w:gutter="0"/>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CF3C50" w:usb2="00000016" w:usb3="00000000" w:csb0="0004001F" w:csb1="00000000"/>
  </w:font>
  <w:font w:name="Microsoft JhengHei">
    <w:panose1 w:val="020B0604030504040204"/>
    <w:charset w:val="88"/>
    <w:family w:val="swiss"/>
    <w:pitch w:val="default"/>
    <w:sig w:usb0="000002A7" w:usb1="28CF4400" w:usb2="00000016" w:usb3="00000000" w:csb0="00100009"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Arial">
    <w:panose1 w:val="020B0604020202020204"/>
    <w:charset w:val="00"/>
    <w:family w:val="swiss"/>
    <w:pitch w:val="default"/>
    <w:sig w:usb0="E0002EFF" w:usb1="C0007843"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auto"/>
    <w:pitch w:val="default"/>
    <w:sig w:usb0="00000000" w:usb1="00000000" w:usb2="00000000" w:usb3="00000000" w:csb0="000000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9121C9"/>
    <w:multiLevelType w:val="singleLevel"/>
    <w:tmpl w:val="599121C9"/>
    <w:lvl w:ilvl="0" w:tentative="0">
      <w:start w:val="3"/>
      <w:numFmt w:val="decimal"/>
      <w:suff w:val="nothing"/>
      <w:lvlText w:val="%1、"/>
      <w:lvlJc w:val="left"/>
    </w:lvl>
  </w:abstractNum>
  <w:abstractNum w:abstractNumId="1">
    <w:nsid w:val="59915D7C"/>
    <w:multiLevelType w:val="singleLevel"/>
    <w:tmpl w:val="59915D7C"/>
    <w:lvl w:ilvl="0" w:tentative="0">
      <w:start w:val="6"/>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F56562"/>
    <w:rsid w:val="05E97F6D"/>
    <w:rsid w:val="12E046A3"/>
    <w:rsid w:val="1C225841"/>
    <w:rsid w:val="35B90E00"/>
    <w:rsid w:val="3CF56562"/>
    <w:rsid w:val="51B54685"/>
    <w:rsid w:val="6AB139F6"/>
    <w:rsid w:val="6D8D3135"/>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7">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4">
    <w:name w:val="Body Text"/>
    <w:basedOn w:val="1"/>
    <w:qFormat/>
    <w:uiPriority w:val="0"/>
    <w:rPr>
      <w:rFonts w:ascii="Times New Roman" w:hAnsi="Times New Roman" w:eastAsia="仿宋_GB2312" w:cs="Times New Roman"/>
      <w:sz w:val="32"/>
      <w:szCs w:val="20"/>
    </w:rPr>
  </w:style>
  <w:style w:type="paragraph" w:styleId="5">
    <w:name w:val="Body Text Indent 2"/>
    <w:basedOn w:val="1"/>
    <w:qFormat/>
    <w:uiPriority w:val="0"/>
    <w:pPr>
      <w:tabs>
        <w:tab w:val="left" w:pos="7020"/>
      </w:tabs>
      <w:spacing w:line="400" w:lineRule="exact"/>
      <w:ind w:firstLine="200" w:firstLineChars="200"/>
    </w:pPr>
    <w:rPr>
      <w:rFonts w:ascii="仿宋_GB2312" w:hAnsi="Calibri" w:eastAsia="仿宋_GB2312" w:cs="Times New Roman"/>
      <w:sz w:val="32"/>
      <w:szCs w:val="24"/>
    </w:rPr>
  </w:style>
  <w:style w:type="paragraph" w:styleId="6">
    <w:name w:val="Body Text Indent 3"/>
    <w:basedOn w:val="1"/>
    <w:qFormat/>
    <w:uiPriority w:val="0"/>
    <w:pPr>
      <w:spacing w:after="120" w:afterLines="0" w:afterAutospacing="0"/>
      <w:ind w:left="420" w:leftChars="200"/>
    </w:pPr>
    <w:rPr>
      <w:sz w:val="16"/>
    </w:rPr>
  </w:style>
  <w:style w:type="paragraph" w:customStyle="1" w:styleId="9">
    <w:name w:val="p0"/>
    <w:basedOn w:val="1"/>
    <w:qFormat/>
    <w:uiPriority w:val="0"/>
    <w:pPr>
      <w:widowControl/>
      <w:jc w:val="left"/>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2017-08-11T01:55:00Z</dcterms:created>
  <dc:creator>hhgljl</dc:creator>
  <cp:lastModifiedBy>于俊清</cp:lastModifiedBy>
  <dcterms:modified xsi:type="dcterms:W3CDTF">2017-08-22T06:55:54Z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ies>
</file>