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90"/>
        <w:ind w:firstLine="907"/>
        <w:jc w:val="left"/>
        <w:rPr>
          <w:rFonts w:hint="eastAsia" w:ascii="黑体" w:hAnsi="宋体" w:eastAsia="黑体"/>
          <w:bCs/>
          <w:spacing w:val="6"/>
          <w:sz w:val="32"/>
          <w:szCs w:val="32"/>
        </w:rPr>
      </w:pPr>
    </w:p>
    <w:p>
      <w:pPr>
        <w:spacing w:before="190"/>
        <w:ind w:firstLine="907"/>
        <w:jc w:val="left"/>
        <w:rPr>
          <w:rFonts w:ascii="黑体" w:hAnsi="宋体" w:eastAsia="黑体"/>
          <w:bCs/>
          <w:spacing w:val="6"/>
          <w:sz w:val="32"/>
          <w:szCs w:val="32"/>
        </w:rPr>
      </w:pPr>
    </w:p>
    <w:p>
      <w:pPr>
        <w:adjustRightInd w:val="0"/>
        <w:snapToGrid w:val="0"/>
        <w:spacing w:before="190" w:line="360" w:lineRule="auto"/>
        <w:ind w:firstLine="664"/>
        <w:jc w:val="center"/>
        <w:rPr>
          <w:rFonts w:hint="eastAsia" w:asciiTheme="majorEastAsia" w:hAnsiTheme="majorEastAsia" w:eastAsiaTheme="majorEastAsia" w:cstheme="majorEastAsia"/>
          <w:b/>
          <w:bCs/>
          <w:spacing w:val="6"/>
          <w:sz w:val="44"/>
          <w:szCs w:val="44"/>
        </w:rPr>
      </w:pPr>
      <w:r>
        <w:rPr>
          <w:rFonts w:hint="eastAsia" w:asciiTheme="majorEastAsia" w:hAnsiTheme="majorEastAsia" w:eastAsiaTheme="majorEastAsia" w:cstheme="majorEastAsia"/>
          <w:b/>
          <w:bCs/>
          <w:spacing w:val="6"/>
          <w:sz w:val="44"/>
          <w:szCs w:val="44"/>
        </w:rPr>
        <w:t>神华黄骅港务公司</w:t>
      </w:r>
    </w:p>
    <w:p>
      <w:pPr>
        <w:adjustRightInd w:val="0"/>
        <w:snapToGrid w:val="0"/>
        <w:spacing w:before="190" w:line="360" w:lineRule="auto"/>
        <w:ind w:firstLine="664"/>
        <w:jc w:val="center"/>
        <w:rPr>
          <w:rFonts w:hint="eastAsia" w:asciiTheme="majorEastAsia" w:hAnsiTheme="majorEastAsia" w:eastAsiaTheme="majorEastAsia" w:cstheme="majorEastAsia"/>
          <w:b/>
          <w:bCs/>
          <w:spacing w:val="6"/>
          <w:sz w:val="44"/>
          <w:szCs w:val="44"/>
        </w:rPr>
      </w:pPr>
      <w:r>
        <w:rPr>
          <w:rFonts w:hint="eastAsia" w:asciiTheme="majorEastAsia" w:hAnsiTheme="majorEastAsia" w:eastAsiaTheme="majorEastAsia" w:cstheme="majorEastAsia"/>
          <w:b/>
          <w:bCs/>
          <w:spacing w:val="6"/>
          <w:sz w:val="44"/>
          <w:szCs w:val="44"/>
        </w:rPr>
        <w:t>车牌识别设备采购安装项目</w:t>
      </w:r>
    </w:p>
    <w:p>
      <w:pPr>
        <w:adjustRightInd w:val="0"/>
        <w:snapToGrid w:val="0"/>
        <w:spacing w:before="190" w:line="360" w:lineRule="auto"/>
        <w:ind w:firstLine="664"/>
        <w:jc w:val="center"/>
        <w:rPr>
          <w:rFonts w:ascii="黑体" w:hAnsi="宋体" w:eastAsia="黑体"/>
          <w:spacing w:val="6"/>
          <w:sz w:val="32"/>
        </w:rPr>
      </w:pPr>
      <w:r>
        <w:rPr>
          <w:rFonts w:hint="eastAsia" w:asciiTheme="majorEastAsia" w:hAnsiTheme="majorEastAsia" w:eastAsiaTheme="majorEastAsia" w:cstheme="majorEastAsia"/>
          <w:b/>
          <w:bCs/>
          <w:spacing w:val="6"/>
          <w:sz w:val="44"/>
          <w:szCs w:val="44"/>
        </w:rPr>
        <w:t>技术规格书</w:t>
      </w: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584"/>
        <w:jc w:val="center"/>
        <w:rPr>
          <w:rFonts w:ascii="黑体" w:hAnsi="宋体" w:eastAsia="黑体"/>
          <w:spacing w:val="6"/>
          <w:sz w:val="28"/>
        </w:rPr>
      </w:pPr>
    </w:p>
    <w:p>
      <w:pPr>
        <w:adjustRightInd w:val="0"/>
        <w:snapToGrid w:val="0"/>
        <w:spacing w:before="190" w:line="360" w:lineRule="auto"/>
        <w:ind w:firstLine="667"/>
        <w:jc w:val="center"/>
        <w:rPr>
          <w:rFonts w:ascii="黑体" w:hAnsi="宋体" w:eastAsia="黑体"/>
          <w:b/>
          <w:spacing w:val="6"/>
          <w:sz w:val="32"/>
          <w:szCs w:val="32"/>
        </w:rPr>
      </w:pPr>
    </w:p>
    <w:p>
      <w:pPr>
        <w:adjustRightInd w:val="0"/>
        <w:snapToGrid w:val="0"/>
        <w:spacing w:before="190" w:line="360" w:lineRule="auto"/>
        <w:ind w:firstLine="667"/>
        <w:jc w:val="center"/>
        <w:rPr>
          <w:rFonts w:ascii="黑体" w:hAnsi="宋体" w:eastAsia="黑体"/>
          <w:b/>
          <w:bCs/>
          <w:spacing w:val="6"/>
          <w:sz w:val="32"/>
          <w:szCs w:val="32"/>
        </w:rPr>
      </w:pPr>
      <w:r>
        <w:rPr>
          <w:rFonts w:hint="eastAsia" w:ascii="黑体" w:hAnsi="宋体" w:eastAsia="黑体"/>
          <w:b/>
          <w:spacing w:val="6"/>
          <w:sz w:val="32"/>
          <w:szCs w:val="32"/>
        </w:rPr>
        <w:t xml:space="preserve"> </w:t>
      </w:r>
    </w:p>
    <w:p>
      <w:pPr>
        <w:adjustRightInd w:val="0"/>
        <w:snapToGrid w:val="0"/>
        <w:spacing w:before="190" w:line="360" w:lineRule="auto"/>
        <w:ind w:firstLine="667"/>
        <w:jc w:val="center"/>
        <w:rPr>
          <w:rFonts w:ascii="黑体" w:hAnsi="宋体" w:eastAsia="黑体"/>
          <w:b/>
          <w:spacing w:val="6"/>
          <w:sz w:val="32"/>
          <w:szCs w:val="32"/>
        </w:rPr>
      </w:pPr>
    </w:p>
    <w:p>
      <w:pPr>
        <w:adjustRightInd w:val="0"/>
        <w:snapToGrid w:val="0"/>
        <w:spacing w:before="190" w:line="360" w:lineRule="auto"/>
        <w:ind w:firstLine="667"/>
        <w:jc w:val="center"/>
        <w:rPr>
          <w:rFonts w:ascii="黑体" w:eastAsia="黑体"/>
          <w:sz w:val="32"/>
          <w:szCs w:val="32"/>
        </w:rPr>
      </w:pPr>
      <w:r>
        <w:rPr>
          <w:rFonts w:hint="eastAsia" w:ascii="黑体" w:hAnsi="宋体" w:eastAsia="黑体"/>
          <w:b/>
          <w:spacing w:val="6"/>
          <w:sz w:val="32"/>
          <w:szCs w:val="32"/>
        </w:rPr>
        <w:t>2017年</w:t>
      </w:r>
      <w:r>
        <w:rPr>
          <w:rFonts w:hint="eastAsia" w:ascii="黑体" w:hAnsi="宋体" w:eastAsia="黑体"/>
          <w:b/>
          <w:spacing w:val="6"/>
          <w:sz w:val="32"/>
          <w:szCs w:val="32"/>
          <w:lang w:val="en-US" w:eastAsia="zh-CN"/>
        </w:rPr>
        <w:t>8</w:t>
      </w:r>
      <w:r>
        <w:rPr>
          <w:rFonts w:hint="eastAsia" w:ascii="黑体" w:hAnsi="宋体" w:eastAsia="黑体"/>
          <w:b/>
          <w:spacing w:val="6"/>
          <w:sz w:val="32"/>
          <w:szCs w:val="32"/>
        </w:rPr>
        <w:t>月</w:t>
      </w:r>
    </w:p>
    <w:p>
      <w:pPr>
        <w:adjustRightInd w:val="0"/>
        <w:snapToGrid w:val="0"/>
        <w:spacing w:before="156" w:line="360" w:lineRule="auto"/>
        <w:ind w:left="84" w:firstLine="643"/>
        <w:jc w:val="center"/>
        <w:rPr>
          <w:rFonts w:ascii="黑体" w:eastAsia="黑体"/>
          <w:b/>
          <w:sz w:val="32"/>
          <w:szCs w:val="32"/>
        </w:rPr>
      </w:pPr>
      <w:bookmarkStart w:id="0" w:name="_Toc226344342"/>
    </w:p>
    <w:p>
      <w:pPr>
        <w:adjustRightInd w:val="0"/>
        <w:snapToGrid w:val="0"/>
        <w:spacing w:before="156" w:line="360" w:lineRule="auto"/>
        <w:ind w:left="84" w:firstLine="643"/>
        <w:jc w:val="center"/>
        <w:rPr>
          <w:rFonts w:ascii="黑体" w:eastAsia="黑体"/>
          <w:b/>
          <w:sz w:val="32"/>
          <w:szCs w:val="32"/>
        </w:rPr>
      </w:pPr>
    </w:p>
    <w:p>
      <w:pPr>
        <w:adjustRightInd w:val="0"/>
        <w:snapToGrid w:val="0"/>
        <w:spacing w:before="156" w:line="360" w:lineRule="auto"/>
        <w:ind w:left="84" w:firstLine="643"/>
        <w:jc w:val="center"/>
        <w:rPr>
          <w:rFonts w:ascii="黑体" w:eastAsia="黑体"/>
          <w:b/>
          <w:sz w:val="32"/>
          <w:szCs w:val="32"/>
        </w:rPr>
      </w:pPr>
      <w:r>
        <w:rPr>
          <w:rFonts w:hint="eastAsia" w:ascii="黑体" w:eastAsia="黑体"/>
          <w:b/>
          <w:sz w:val="32"/>
          <w:szCs w:val="32"/>
        </w:rPr>
        <w:t>目    录</w:t>
      </w:r>
      <w:bookmarkEnd w:id="0"/>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eastAsia="仿宋_GB2312"/>
          <w:bCs/>
          <w:caps/>
        </w:rPr>
        <w:fldChar w:fldCharType="begin"/>
      </w:r>
      <w:r>
        <w:rPr>
          <w:rFonts w:hint="eastAsia" w:ascii="仿宋_GB2312" w:eastAsia="仿宋_GB2312"/>
          <w:bCs/>
          <w:caps/>
        </w:rPr>
        <w:instrText xml:space="preserve"> TOC \o "1-2" \h \z \u </w:instrText>
      </w:r>
      <w:r>
        <w:rPr>
          <w:rFonts w:hint="eastAsia" w:ascii="仿宋_GB2312" w:eastAsia="仿宋_GB2312"/>
          <w:bCs/>
          <w:caps/>
        </w:rPr>
        <w:fldChar w:fldCharType="separate"/>
      </w: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_Toc8738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1.总则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_Toc8738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_Toc20221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2.现场条件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_Toc20221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_Toc11226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3.系统建设目标</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_Toc11226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_Toc11625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4.适用的标准、规范</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_Toc11625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_Toc22777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5.系统技术要求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_Toc22777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_Toc7044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6.系统设计原则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_Toc7044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_Toc16997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7.系统总体特点</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_Toc16997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8.系统工程量设备清单（包括单不限于）</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_Toc14803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9.系统组成</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_Toc14803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_Toc20065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10.系统设备技术参数</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_Toc20065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_Toc15562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10.1 车牌识别系统</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_Toc15562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_Toc9667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10.2平移式电动推拉门</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_Toc9667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13</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_Toc25832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10.3土建基础与隔离栏杆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_Toc25832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_Toc13630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11.车牌识别环境要求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_Toc13630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_Toc26397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11.1系统适用范围</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_Toc26397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_Toc17487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11.2车牌识别运行环境要求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_Toc17487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_Toc506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12.车牌识别系统工作流程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_Toc506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12.1. 入场流程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_Toc31562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12.2 出场流程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_Toc31562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_Toc5971 </w:instrText>
      </w:r>
      <w:r>
        <w:rPr>
          <w:rFonts w:hint="eastAsia" w:ascii="仿宋_GB2312" w:hAnsi="宋体" w:eastAsia="仿宋_GB2312" w:cs="Times New Roman"/>
          <w:bCs/>
          <w:caps/>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w:t>
      </w:r>
      <w:r>
        <w:rPr>
          <w:rFonts w:hint="eastAsia" w:cs="Arial" w:asciiTheme="minorEastAsia" w:hAnsiTheme="minorEastAsia" w:eastAsiaTheme="minorEastAsia"/>
          <w:spacing w:val="6"/>
          <w:kern w:val="2"/>
          <w:szCs w:val="30"/>
          <w:lang w:val="en-US" w:eastAsia="zh-CN" w:bidi="ar-SA"/>
        </w:rPr>
        <w:t xml:space="preserve">3. </w:t>
      </w:r>
      <w:r>
        <w:rPr>
          <w:rFonts w:hint="eastAsia" w:cs="Times New Roman" w:asciiTheme="minorEastAsia" w:hAnsiTheme="minorEastAsia" w:eastAsiaTheme="minorEastAsia"/>
          <w:spacing w:val="6"/>
          <w:kern w:val="2"/>
          <w:szCs w:val="30"/>
          <w:lang w:val="en-US" w:eastAsia="zh-CN" w:bidi="ar-SA"/>
        </w:rPr>
        <w:t>车牌识别软件说明</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_Toc5971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cs="Arial" w:asciiTheme="minorEastAsia" w:hAnsiTheme="minorEastAsia" w:eastAsiaTheme="minorEastAsia"/>
          <w:bCs/>
          <w:caps/>
          <w:spacing w:val="6"/>
          <w:kern w:val="2"/>
          <w:szCs w:val="30"/>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_Toc3976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13.1 权限管理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_Toc3976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_Toc9194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13.2 完善的报表系统</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_Toc9194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_Toc2545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13.3 高牌照识别率</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_Toc2545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_Toc24516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13.4 完善的误识别处理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_Toc24516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_Toc12869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14.安装指导书内容</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_Toc12869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_Toc15300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15.技术服务</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_Toc15300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_Toc25972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15.1在现场的技术服务</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_Toc25972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_Toc31306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15.2 现场服务的范围</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_Toc31306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_Toc6344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15.3工期要求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_Toc6344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_Toc11835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16.图纸和技术文件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_Toc11835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_Toc17230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16.1  提交的图纸和设计文件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_Toc17230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_Toc19268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16.2  其他图纸和资料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_Toc19268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_Toc18309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17.设备的检验、性能考核及验收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_Toc18309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_Toc6470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17.1  总则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_Toc6470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7"/>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_Toc1958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17.2  质量保证</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_Toc1958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6"/>
        <w:spacing w:before="156"/>
        <w:rPr>
          <w:rFonts w:hint="eastAsia" w:ascii="仿宋_GB2312" w:hAnsi="宋体" w:eastAsia="仿宋_GB2312" w:cs="Times New Roman"/>
          <w:bCs/>
          <w:caps/>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end"/>
      </w:r>
      <w:bookmarkStart w:id="1" w:name="_Toc370718088"/>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2" w:name="_Toc17447"/>
      <w:bookmarkStart w:id="3" w:name="_Toc8738"/>
      <w:bookmarkStart w:id="4" w:name="_Toc24704"/>
      <w:bookmarkStart w:id="5" w:name="_Toc9700"/>
      <w:r>
        <w:rPr>
          <w:rFonts w:hint="eastAsia" w:asciiTheme="minorEastAsia" w:hAnsiTheme="minorEastAsia" w:eastAsiaTheme="minorEastAsia"/>
          <w:b/>
          <w:spacing w:val="6"/>
          <w:sz w:val="30"/>
          <w:szCs w:val="30"/>
        </w:rPr>
        <w:t>1.总则</w:t>
      </w:r>
      <w:bookmarkEnd w:id="1"/>
      <w:bookmarkEnd w:id="2"/>
      <w:bookmarkEnd w:id="3"/>
      <w:bookmarkEnd w:id="4"/>
      <w:bookmarkEnd w:id="5"/>
    </w:p>
    <w:p>
      <w:pPr>
        <w:pStyle w:val="3"/>
        <w:keepNext w:val="0"/>
        <w:keepLines w:val="0"/>
        <w:pageBreakBefore w:val="0"/>
        <w:widowControl w:val="0"/>
        <w:kinsoku/>
        <w:wordWrap/>
        <w:overflowPunct/>
        <w:topLinePunct w:val="0"/>
        <w:autoSpaceDE/>
        <w:autoSpaceDN/>
        <w:bidi w:val="0"/>
        <w:adjustRightInd/>
        <w:spacing w:line="360" w:lineRule="auto"/>
        <w:ind w:left="420" w:leftChars="200" w:right="0" w:rightChars="0" w:firstLine="504" w:firstLineChars="200"/>
        <w:jc w:val="left"/>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w:t>
      </w:r>
      <w:r>
        <w:rPr>
          <w:rFonts w:asciiTheme="minorEastAsia" w:hAnsiTheme="minorEastAsia" w:eastAsiaTheme="minorEastAsia"/>
          <w:spacing w:val="6"/>
          <w:sz w:val="24"/>
        </w:rPr>
        <w:t>本技术规</w:t>
      </w:r>
      <w:r>
        <w:rPr>
          <w:rFonts w:hint="eastAsia" w:asciiTheme="minorEastAsia" w:hAnsiTheme="minorEastAsia" w:eastAsiaTheme="minorEastAsia"/>
          <w:spacing w:val="6"/>
          <w:sz w:val="24"/>
        </w:rPr>
        <w:t>格</w:t>
      </w:r>
      <w:r>
        <w:rPr>
          <w:rFonts w:asciiTheme="minorEastAsia" w:hAnsiTheme="minorEastAsia" w:eastAsiaTheme="minorEastAsia"/>
          <w:spacing w:val="6"/>
          <w:sz w:val="24"/>
        </w:rPr>
        <w:t>书描述</w:t>
      </w:r>
      <w:r>
        <w:rPr>
          <w:rFonts w:hint="eastAsia" w:cs="Times New Roman" w:asciiTheme="minorEastAsia" w:hAnsiTheme="minorEastAsia" w:eastAsiaTheme="minorEastAsia"/>
          <w:sz w:val="24"/>
          <w:szCs w:val="24"/>
        </w:rPr>
        <w:t>黄骅港车辆进出管理系统，</w:t>
      </w:r>
      <w:r>
        <w:rPr>
          <w:rFonts w:hint="eastAsia" w:asciiTheme="minorEastAsia" w:hAnsiTheme="minorEastAsia" w:eastAsiaTheme="minorEastAsia"/>
          <w:spacing w:val="6"/>
          <w:sz w:val="24"/>
        </w:rPr>
        <w:t>包含</w:t>
      </w:r>
      <w:r>
        <w:rPr>
          <w:rFonts w:hint="eastAsia" w:asciiTheme="minorEastAsia" w:hAnsiTheme="minorEastAsia" w:eastAsiaTheme="minorEastAsia"/>
          <w:spacing w:val="6"/>
          <w:sz w:val="24"/>
          <w:lang w:val="en-US" w:eastAsia="zh-CN"/>
        </w:rPr>
        <w:t>生活区、</w:t>
      </w:r>
      <w:r>
        <w:rPr>
          <w:rFonts w:hint="eastAsia" w:asciiTheme="minorEastAsia" w:hAnsiTheme="minorEastAsia" w:eastAsiaTheme="minorEastAsia"/>
          <w:spacing w:val="6"/>
          <w:sz w:val="24"/>
        </w:rPr>
        <w:t>港口大门</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堆场入口、码头、筒仓等区域新增车牌识别系统各一套。车辆出入口门禁系统施工</w:t>
      </w:r>
      <w:r>
        <w:rPr>
          <w:rFonts w:asciiTheme="minorEastAsia" w:hAnsiTheme="minorEastAsia" w:eastAsiaTheme="minorEastAsia"/>
          <w:spacing w:val="6"/>
          <w:sz w:val="24"/>
        </w:rPr>
        <w:t>与安装</w:t>
      </w:r>
      <w:r>
        <w:rPr>
          <w:rFonts w:hint="eastAsia" w:asciiTheme="minorEastAsia" w:hAnsiTheme="minorEastAsia" w:eastAsiaTheme="minorEastAsia"/>
          <w:spacing w:val="6"/>
          <w:sz w:val="24"/>
        </w:rPr>
        <w:t>，</w:t>
      </w:r>
      <w:r>
        <w:rPr>
          <w:rFonts w:hint="eastAsia" w:asciiTheme="minorEastAsia" w:hAnsiTheme="minorEastAsia" w:eastAsiaTheme="minorEastAsia"/>
          <w:sz w:val="24"/>
          <w:szCs w:val="24"/>
        </w:rPr>
        <w:t>与现有门禁系统整体对接调试</w:t>
      </w:r>
      <w:r>
        <w:rPr>
          <w:rFonts w:cs="Times New Roman" w:asciiTheme="minorEastAsia" w:hAnsiTheme="minorEastAsia" w:eastAsiaTheme="minorEastAsia"/>
          <w:sz w:val="24"/>
          <w:szCs w:val="24"/>
        </w:rPr>
        <w:t>，提</w:t>
      </w:r>
      <w:r>
        <w:rPr>
          <w:rFonts w:asciiTheme="minorEastAsia" w:hAnsiTheme="minorEastAsia" w:eastAsiaTheme="minorEastAsia"/>
          <w:spacing w:val="6"/>
          <w:sz w:val="24"/>
        </w:rPr>
        <w:t>出的是最低限度的技术要求，并非是该装置的所有细节。投标人提供的设备要满足本技术规范书的要求和国际、国内标准。</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w:t>
      </w:r>
      <w:r>
        <w:rPr>
          <w:rFonts w:hint="eastAsia" w:asciiTheme="minorEastAsia" w:hAnsiTheme="minorEastAsia" w:eastAsiaTheme="minorEastAsia"/>
          <w:sz w:val="24"/>
        </w:rPr>
        <w:t>车辆管理</w:t>
      </w:r>
      <w:r>
        <w:rPr>
          <w:rFonts w:asciiTheme="minorEastAsia" w:hAnsiTheme="minorEastAsia" w:eastAsiaTheme="minorEastAsia"/>
          <w:spacing w:val="6"/>
          <w:sz w:val="24"/>
        </w:rPr>
        <w:t>系统的设计、制造、包装、运输、储存和验收应遵循相应的国际、国内标准和规范。</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(3)招标人</w:t>
      </w:r>
      <w:r>
        <w:rPr>
          <w:rFonts w:asciiTheme="minorEastAsia" w:hAnsiTheme="minorEastAsia" w:eastAsiaTheme="minorEastAsia"/>
          <w:spacing w:val="6"/>
          <w:sz w:val="24"/>
        </w:rPr>
        <w:t>不会因使用</w:t>
      </w:r>
      <w:r>
        <w:rPr>
          <w:rFonts w:hint="eastAsia" w:asciiTheme="minorEastAsia" w:hAnsiTheme="minorEastAsia" w:eastAsiaTheme="minorEastAsia"/>
          <w:spacing w:val="6"/>
          <w:sz w:val="24"/>
        </w:rPr>
        <w:t>投标人</w:t>
      </w:r>
      <w:r>
        <w:rPr>
          <w:rFonts w:asciiTheme="minorEastAsia" w:hAnsiTheme="minorEastAsia" w:eastAsiaTheme="minorEastAsia"/>
          <w:spacing w:val="6"/>
          <w:sz w:val="24"/>
        </w:rPr>
        <w:t>所提供的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而受到第三方关于专利、商标等知识产权侵犯的投诉。</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(4)</w:t>
      </w:r>
      <w:r>
        <w:rPr>
          <w:rFonts w:asciiTheme="minorEastAsia" w:hAnsiTheme="minorEastAsia" w:eastAsiaTheme="minorEastAsia"/>
          <w:spacing w:val="6"/>
          <w:sz w:val="24"/>
        </w:rPr>
        <w:t>投标人提供的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、附件等材质必须满足本工程所处地理位置、环境条件的要求。对所供</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的总体性能负全部责任，保证该装置达到设计要求和满足运行需要。如因投标人所提供的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因设计、选型、制造质量、现场安装和调试等问题导致</w:t>
      </w:r>
      <w:r>
        <w:rPr>
          <w:rFonts w:hint="eastAsia" w:asciiTheme="minorEastAsia" w:hAnsiTheme="minorEastAsia" w:eastAsiaTheme="minorEastAsia"/>
          <w:spacing w:val="6"/>
          <w:sz w:val="24"/>
          <w:lang w:val="en-US" w:eastAsia="zh-CN"/>
        </w:rPr>
        <w:t>推拉门或升降杆</w:t>
      </w:r>
      <w:r>
        <w:rPr>
          <w:rFonts w:asciiTheme="minorEastAsia" w:hAnsiTheme="minorEastAsia" w:eastAsiaTheme="minorEastAsia"/>
          <w:spacing w:val="6"/>
          <w:sz w:val="24"/>
        </w:rPr>
        <w:t>无法正常运行，投标人为此负全部责任。</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w:t>
      </w:r>
      <w:r>
        <w:rPr>
          <w:rFonts w:hint="eastAsia" w:asciiTheme="minorEastAsia" w:hAnsiTheme="minorEastAsia" w:eastAsiaTheme="minorEastAsia"/>
          <w:spacing w:val="6"/>
          <w:sz w:val="24"/>
          <w:lang w:val="en-US" w:eastAsia="zh-CN"/>
        </w:rPr>
        <w:t>5</w:t>
      </w:r>
      <w:r>
        <w:rPr>
          <w:rFonts w:hint="eastAsia" w:asciiTheme="minorEastAsia" w:hAnsiTheme="minorEastAsia" w:eastAsiaTheme="minorEastAsia"/>
          <w:spacing w:val="6"/>
          <w:sz w:val="24"/>
        </w:rPr>
        <w:t>)投标人提供包括</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本体和保证</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正常运行的电缆、接线箱、控制缆等一切附属设备和材料。投标人负责可能影响</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安装的现有设施的移位和拆改过程对原设备的恢复工作。</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6" w:name="_Toc370718089"/>
      <w:bookmarkStart w:id="7" w:name="_Toc13827"/>
      <w:bookmarkStart w:id="8" w:name="_Toc5680"/>
      <w:bookmarkStart w:id="9" w:name="_Toc4977"/>
      <w:bookmarkStart w:id="10" w:name="_Toc20221"/>
      <w:r>
        <w:rPr>
          <w:rFonts w:hint="eastAsia" w:asciiTheme="minorEastAsia" w:hAnsiTheme="minorEastAsia" w:eastAsiaTheme="minorEastAsia"/>
          <w:b/>
          <w:spacing w:val="6"/>
          <w:sz w:val="30"/>
          <w:szCs w:val="30"/>
        </w:rPr>
        <w:t>2.现场条件</w:t>
      </w:r>
      <w:bookmarkEnd w:id="6"/>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(1) </w:t>
      </w:r>
      <w:r>
        <w:rPr>
          <w:rFonts w:asciiTheme="minorEastAsia" w:hAnsiTheme="minorEastAsia" w:eastAsiaTheme="minorEastAsia"/>
          <w:sz w:val="24"/>
        </w:rPr>
        <w:t>风况</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常风向：南南西(SSW），出现频率为11.1%。</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强风向：东北东(ENE），出现频率为0.4%。</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瞬时极大风速：＞40m/s</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(2) </w:t>
      </w:r>
      <w:r>
        <w:rPr>
          <w:rFonts w:asciiTheme="minorEastAsia" w:hAnsiTheme="minorEastAsia" w:eastAsiaTheme="minorEastAsia"/>
          <w:sz w:val="24"/>
        </w:rPr>
        <w:t>降水</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年平均降水量：</w:t>
      </w:r>
      <w:r>
        <w:rPr>
          <w:rFonts w:asciiTheme="minorEastAsia" w:hAnsiTheme="minorEastAsia" w:eastAsiaTheme="minorEastAsia"/>
          <w:sz w:val="24"/>
        </w:rPr>
        <w:tab/>
      </w:r>
      <w:r>
        <w:rPr>
          <w:rFonts w:asciiTheme="minorEastAsia" w:hAnsiTheme="minorEastAsia" w:eastAsiaTheme="minorEastAsia"/>
          <w:sz w:val="24"/>
        </w:rPr>
        <w:tab/>
      </w:r>
      <w:r>
        <w:rPr>
          <w:rFonts w:hint="eastAsia" w:asciiTheme="minorEastAsia" w:hAnsiTheme="minorEastAsia" w:eastAsiaTheme="minorEastAsia"/>
          <w:sz w:val="24"/>
        </w:rPr>
        <w:t xml:space="preserve">    </w:t>
      </w:r>
      <w:r>
        <w:rPr>
          <w:rFonts w:asciiTheme="minorEastAsia" w:hAnsiTheme="minorEastAsia" w:eastAsiaTheme="minorEastAsia"/>
          <w:sz w:val="24"/>
        </w:rPr>
        <w:t>501mm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历年最大年降水量：</w:t>
      </w:r>
      <w:r>
        <w:rPr>
          <w:rFonts w:asciiTheme="minorEastAsia" w:hAnsiTheme="minorEastAsia" w:eastAsiaTheme="minorEastAsia"/>
          <w:sz w:val="24"/>
        </w:rPr>
        <w:tab/>
      </w:r>
      <w:r>
        <w:rPr>
          <w:rFonts w:asciiTheme="minorEastAsia" w:hAnsiTheme="minorEastAsia" w:eastAsiaTheme="minorEastAsia"/>
          <w:sz w:val="24"/>
        </w:rPr>
        <w:t>719.4mm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历年最小年降水量：</w:t>
      </w:r>
      <w:r>
        <w:rPr>
          <w:rFonts w:asciiTheme="minorEastAsia" w:hAnsiTheme="minorEastAsia" w:eastAsiaTheme="minorEastAsia"/>
          <w:sz w:val="24"/>
        </w:rPr>
        <w:tab/>
      </w:r>
      <w:r>
        <w:rPr>
          <w:rFonts w:asciiTheme="minorEastAsia" w:hAnsiTheme="minorEastAsia" w:eastAsiaTheme="minorEastAsia"/>
          <w:sz w:val="24"/>
        </w:rPr>
        <w:t>336.8mm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历年最大日降水量：</w:t>
      </w:r>
      <w:r>
        <w:rPr>
          <w:rFonts w:asciiTheme="minorEastAsia" w:hAnsiTheme="minorEastAsia" w:eastAsiaTheme="minorEastAsia"/>
          <w:sz w:val="24"/>
        </w:rPr>
        <w:tab/>
      </w:r>
      <w:r>
        <w:rPr>
          <w:rFonts w:asciiTheme="minorEastAsia" w:hAnsiTheme="minorEastAsia" w:eastAsiaTheme="minorEastAsia"/>
          <w:sz w:val="24"/>
        </w:rPr>
        <w:t>136.8mm</w:t>
      </w:r>
    </w:p>
    <w:p>
      <w:pPr>
        <w:keepNext w:val="0"/>
        <w:keepLines w:val="0"/>
        <w:pageBreakBefore w:val="0"/>
        <w:widowControl w:val="0"/>
        <w:kinsoku/>
        <w:wordWrap/>
        <w:overflowPunct/>
        <w:topLinePunct w:val="0"/>
        <w:autoSpaceDE/>
        <w:autoSpaceDN/>
        <w:bidi w:val="0"/>
        <w:adjustRightInd/>
        <w:snapToGrid w:val="0"/>
        <w:spacing w:line="360" w:lineRule="auto"/>
        <w:ind w:left="1155" w:leftChars="550" w:right="0" w:rightChars="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降水量主要集中在6、7、8三个月，占全年降水量的70%以上。年内日降水量大于25.0mm的天数平均5天，最多7天。</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最大积雪深度：</w:t>
      </w:r>
      <w:r>
        <w:rPr>
          <w:rFonts w:asciiTheme="minorEastAsia" w:hAnsiTheme="minorEastAsia" w:eastAsiaTheme="minorEastAsia"/>
          <w:sz w:val="24"/>
        </w:rPr>
        <w:tab/>
      </w:r>
      <w:r>
        <w:rPr>
          <w:rFonts w:asciiTheme="minorEastAsia" w:hAnsiTheme="minorEastAsia" w:eastAsiaTheme="minorEastAsia"/>
          <w:sz w:val="24"/>
        </w:rPr>
        <w:t>21cm</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(3) </w:t>
      </w:r>
      <w:r>
        <w:rPr>
          <w:rFonts w:asciiTheme="minorEastAsia" w:hAnsiTheme="minorEastAsia" w:eastAsiaTheme="minorEastAsia"/>
          <w:sz w:val="24"/>
        </w:rPr>
        <w:t>气温</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多年平均气温：</w:t>
      </w:r>
      <w:r>
        <w:rPr>
          <w:rFonts w:asciiTheme="minorEastAsia" w:hAnsiTheme="minorEastAsia" w:eastAsiaTheme="minorEastAsia"/>
          <w:sz w:val="24"/>
        </w:rPr>
        <w:tab/>
      </w:r>
      <w:r>
        <w:rPr>
          <w:rFonts w:asciiTheme="minorEastAsia" w:hAnsiTheme="minorEastAsia" w:eastAsiaTheme="minorEastAsia"/>
          <w:sz w:val="24"/>
        </w:rPr>
        <w:tab/>
      </w:r>
      <w:r>
        <w:rPr>
          <w:rFonts w:hint="eastAsia" w:asciiTheme="minorEastAsia" w:hAnsiTheme="minorEastAsia" w:eastAsiaTheme="minorEastAsia"/>
          <w:sz w:val="24"/>
        </w:rPr>
        <w:t xml:space="preserve">   </w:t>
      </w:r>
      <w:r>
        <w:rPr>
          <w:rFonts w:asciiTheme="minorEastAsia" w:hAnsiTheme="minorEastAsia" w:eastAsiaTheme="minorEastAsia"/>
          <w:sz w:val="24"/>
        </w:rPr>
        <w:t>12.2</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多年平均最高气温：</w:t>
      </w:r>
      <w:r>
        <w:rPr>
          <w:rFonts w:asciiTheme="minorEastAsia" w:hAnsiTheme="minorEastAsia" w:eastAsiaTheme="minorEastAsia"/>
          <w:sz w:val="24"/>
        </w:rPr>
        <w:tab/>
      </w:r>
      <w:r>
        <w:rPr>
          <w:rFonts w:asciiTheme="minorEastAsia" w:hAnsiTheme="minorEastAsia" w:eastAsiaTheme="minorEastAsia"/>
          <w:sz w:val="24"/>
        </w:rPr>
        <w:t>17.3</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多年平均最低气温：</w:t>
      </w:r>
      <w:r>
        <w:rPr>
          <w:rFonts w:asciiTheme="minorEastAsia" w:hAnsiTheme="minorEastAsia" w:eastAsiaTheme="minorEastAsia"/>
          <w:sz w:val="24"/>
        </w:rPr>
        <w:tab/>
      </w:r>
      <w:r>
        <w:rPr>
          <w:rFonts w:asciiTheme="minorEastAsia" w:hAnsiTheme="minorEastAsia" w:eastAsiaTheme="minorEastAsia"/>
          <w:sz w:val="24"/>
        </w:rPr>
        <w:t>7.8</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历年极端最高气温：</w:t>
      </w:r>
      <w:r>
        <w:rPr>
          <w:rFonts w:asciiTheme="minorEastAsia" w:hAnsiTheme="minorEastAsia" w:eastAsiaTheme="minorEastAsia"/>
          <w:sz w:val="24"/>
        </w:rPr>
        <w:tab/>
      </w:r>
      <w:r>
        <w:rPr>
          <w:rFonts w:asciiTheme="minorEastAsia" w:hAnsiTheme="minorEastAsia" w:eastAsiaTheme="minorEastAsia"/>
          <w:sz w:val="24"/>
        </w:rPr>
        <w:t>40.0</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历年极端最低气温：</w:t>
      </w:r>
      <w:r>
        <w:rPr>
          <w:rFonts w:asciiTheme="minorEastAsia" w:hAnsiTheme="minorEastAsia" w:eastAsiaTheme="minorEastAsia"/>
          <w:sz w:val="24"/>
        </w:rPr>
        <w:tab/>
      </w:r>
      <w:r>
        <w:rPr>
          <w:rFonts w:asciiTheme="minorEastAsia" w:hAnsiTheme="minorEastAsia" w:eastAsiaTheme="minorEastAsia"/>
          <w:sz w:val="24"/>
        </w:rPr>
        <w:t>-19.5</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年日平均气温低于-5</w:t>
      </w:r>
      <w:r>
        <w:rPr>
          <w:rFonts w:hint="eastAsia" w:cs="宋体" w:asciiTheme="minorEastAsia" w:hAnsiTheme="minorEastAsia" w:eastAsiaTheme="minorEastAsia"/>
          <w:sz w:val="24"/>
        </w:rPr>
        <w:t>℃</w:t>
      </w:r>
      <w:r>
        <w:rPr>
          <w:rFonts w:asciiTheme="minorEastAsia" w:hAnsiTheme="minorEastAsia" w:eastAsiaTheme="minorEastAsia"/>
          <w:sz w:val="24"/>
        </w:rPr>
        <w:t>的天数为71天，低于-10</w:t>
      </w:r>
      <w:r>
        <w:rPr>
          <w:rFonts w:hint="eastAsia" w:cs="宋体" w:asciiTheme="minorEastAsia" w:hAnsiTheme="minorEastAsia" w:eastAsiaTheme="minorEastAsia"/>
          <w:sz w:val="24"/>
        </w:rPr>
        <w:t>℃</w:t>
      </w:r>
      <w:r>
        <w:rPr>
          <w:rFonts w:asciiTheme="minorEastAsia" w:hAnsiTheme="minorEastAsia" w:eastAsiaTheme="minorEastAsia"/>
          <w:sz w:val="24"/>
        </w:rPr>
        <w:t>的天数为23.8天。</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(4) </w:t>
      </w:r>
      <w:r>
        <w:rPr>
          <w:rFonts w:asciiTheme="minorEastAsia" w:hAnsiTheme="minorEastAsia" w:eastAsiaTheme="minorEastAsia"/>
          <w:sz w:val="24"/>
        </w:rPr>
        <w:t>雾</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雾日多发生在秋、冬两季。年平均雾日数为12.2天，最多20天。</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(5) </w:t>
      </w:r>
      <w:r>
        <w:rPr>
          <w:rFonts w:asciiTheme="minorEastAsia" w:hAnsiTheme="minorEastAsia" w:eastAsiaTheme="minorEastAsia"/>
          <w:sz w:val="24"/>
        </w:rPr>
        <w:t>相对湿度</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最热月室外计算相对湿度：78%</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1" w:name="_Toc290444440"/>
      <w:bookmarkStart w:id="12" w:name="_Toc290445206"/>
      <w:bookmarkStart w:id="13" w:name="_Toc290534997"/>
      <w:bookmarkStart w:id="14" w:name="_Toc290444219"/>
      <w:bookmarkStart w:id="15" w:name="_Toc290555574"/>
      <w:bookmarkStart w:id="16" w:name="_Toc290535684"/>
      <w:bookmarkStart w:id="17" w:name="_Toc290443629"/>
      <w:bookmarkStart w:id="18" w:name="_Toc284159228"/>
      <w:bookmarkStart w:id="19" w:name="_Toc283812328"/>
      <w:bookmarkStart w:id="20" w:name="_Toc290534514"/>
      <w:bookmarkStart w:id="21" w:name="_Toc290454067"/>
      <w:bookmarkStart w:id="22" w:name="_Toc4886"/>
      <w:bookmarkStart w:id="23" w:name="_Toc29738"/>
      <w:bookmarkStart w:id="24" w:name="_Toc11226"/>
      <w:bookmarkStart w:id="25" w:name="_Toc20137"/>
      <w:r>
        <w:rPr>
          <w:rFonts w:hint="eastAsia" w:asciiTheme="minorEastAsia" w:hAnsiTheme="minorEastAsia" w:eastAsiaTheme="minorEastAsia"/>
          <w:b/>
          <w:spacing w:val="6"/>
          <w:sz w:val="30"/>
          <w:szCs w:val="30"/>
        </w:rPr>
        <w:t>3.</w:t>
      </w:r>
      <w:bookmarkEnd w:id="11"/>
      <w:bookmarkEnd w:id="12"/>
      <w:bookmarkEnd w:id="13"/>
      <w:bookmarkEnd w:id="14"/>
      <w:bookmarkEnd w:id="15"/>
      <w:bookmarkEnd w:id="16"/>
      <w:bookmarkEnd w:id="17"/>
      <w:bookmarkEnd w:id="18"/>
      <w:bookmarkEnd w:id="19"/>
      <w:bookmarkEnd w:id="20"/>
      <w:bookmarkEnd w:id="21"/>
      <w:r>
        <w:rPr>
          <w:rFonts w:hint="eastAsia" w:asciiTheme="minorEastAsia" w:hAnsiTheme="minorEastAsia" w:eastAsiaTheme="minorEastAsia"/>
          <w:b/>
          <w:spacing w:val="6"/>
          <w:sz w:val="30"/>
          <w:szCs w:val="30"/>
        </w:rPr>
        <w:t>系统建设目标</w:t>
      </w:r>
      <w:bookmarkEnd w:id="22"/>
      <w:bookmarkEnd w:id="23"/>
      <w:bookmarkEnd w:id="24"/>
      <w:bookmarkEnd w:id="25"/>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cs="Times New Roman" w:asciiTheme="minorEastAsia" w:hAnsiTheme="minorEastAsia" w:eastAsiaTheme="minorEastAsia"/>
          <w:sz w:val="24"/>
          <w:szCs w:val="24"/>
        </w:rPr>
      </w:pPr>
      <w:r>
        <w:rPr>
          <w:rFonts w:hint="eastAsia" w:asciiTheme="minorEastAsia" w:hAnsiTheme="minorEastAsia" w:eastAsiaTheme="minorEastAsia"/>
          <w:spacing w:val="6"/>
          <w:sz w:val="24"/>
          <w:lang w:val="en-US" w:eastAsia="zh-CN"/>
        </w:rPr>
        <w:t>生活区、</w:t>
      </w:r>
      <w:r>
        <w:rPr>
          <w:rFonts w:hint="eastAsia" w:asciiTheme="minorEastAsia" w:hAnsiTheme="minorEastAsia" w:eastAsiaTheme="minorEastAsia"/>
          <w:spacing w:val="6"/>
          <w:sz w:val="24"/>
        </w:rPr>
        <w:t>港口大门</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堆场入口、码头、筒仓</w:t>
      </w:r>
      <w:r>
        <w:rPr>
          <w:rFonts w:hint="eastAsia" w:cs="Times New Roman" w:asciiTheme="minorEastAsia" w:hAnsiTheme="minorEastAsia" w:eastAsiaTheme="minorEastAsia"/>
          <w:sz w:val="24"/>
          <w:szCs w:val="24"/>
          <w:lang w:val="en-US" w:eastAsia="zh-CN"/>
        </w:rPr>
        <w:t>等</w:t>
      </w:r>
      <w:r>
        <w:rPr>
          <w:rFonts w:hint="eastAsia" w:cs="Times New Roman" w:asciiTheme="minorEastAsia" w:hAnsiTheme="minorEastAsia" w:eastAsiaTheme="minorEastAsia"/>
          <w:sz w:val="24"/>
          <w:szCs w:val="24"/>
        </w:rPr>
        <w:t>新增车牌识别系统各一套，新增加车牌识别功能，能和公司现有系统兼容（蓝牙、射频卡和车牌识别）。并对不同使用者的权限进行不同的</w:t>
      </w:r>
      <w:r>
        <w:rPr>
          <w:rFonts w:hint="eastAsia" w:cs="Times New Roman" w:asciiTheme="minorEastAsia" w:hAnsiTheme="minorEastAsia" w:eastAsiaTheme="minorEastAsia"/>
          <w:sz w:val="24"/>
          <w:szCs w:val="24"/>
          <w:lang w:val="en-US" w:eastAsia="zh-CN"/>
        </w:rPr>
        <w:t>划分</w:t>
      </w:r>
      <w:r>
        <w:rPr>
          <w:rFonts w:hint="eastAsia" w:cs="Times New Roman" w:asciiTheme="minorEastAsia" w:hAnsiTheme="minorEastAsia" w:eastAsiaTheme="minorEastAsia"/>
          <w:sz w:val="24"/>
          <w:szCs w:val="24"/>
        </w:rPr>
        <w:t>；进而联动港口现有的系统，实现车辆路径管理查询和记录、人员路径管理查询等功能。</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26" w:name="_Toc11625"/>
      <w:bookmarkStart w:id="27" w:name="_Toc6961"/>
      <w:bookmarkStart w:id="28" w:name="_Toc23230"/>
      <w:bookmarkStart w:id="29" w:name="_Toc1233"/>
      <w:r>
        <w:rPr>
          <w:rFonts w:hint="eastAsia" w:asciiTheme="minorEastAsia" w:hAnsiTheme="minorEastAsia" w:eastAsiaTheme="minorEastAsia"/>
          <w:b/>
          <w:spacing w:val="6"/>
          <w:sz w:val="30"/>
          <w:szCs w:val="30"/>
        </w:rPr>
        <w:t>4.适用的标准、规范</w:t>
      </w:r>
      <w:bookmarkEnd w:id="26"/>
      <w:bookmarkEnd w:id="27"/>
      <w:bookmarkEnd w:id="28"/>
      <w:bookmarkEnd w:id="29"/>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车辆管理系统所有部分的</w:t>
      </w:r>
      <w:r>
        <w:rPr>
          <w:rFonts w:cs="Times New Roman" w:asciiTheme="minorEastAsia" w:hAnsiTheme="minorEastAsia" w:eastAsiaTheme="minorEastAsia"/>
          <w:sz w:val="24"/>
          <w:szCs w:val="24"/>
        </w:rPr>
        <w:t>设计和制造，应遵循下列最新版本的标准和规范：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GA/T 761-2008             停车库（场）安全管理系统技术要求</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建设部1997              建筑智能化系统工程设计管理暂行规定</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JGJ／T16－92             民用建筑电气设计规范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DBJ08－4－95</w:t>
      </w:r>
      <w:r>
        <w:rPr>
          <w:rFonts w:cs="Times New Roman" w:asciiTheme="minorEastAsia" w:hAnsiTheme="minorEastAsia" w:eastAsiaTheme="minorEastAsia"/>
          <w:sz w:val="24"/>
          <w:szCs w:val="24"/>
        </w:rPr>
        <w:t xml:space="preserve">      </w:t>
      </w:r>
      <w:r>
        <w:rPr>
          <w:rFonts w:hint="eastAsia" w:cs="Times New Roman" w:asciiTheme="minorEastAsia" w:hAnsiTheme="minorEastAsia" w:eastAsiaTheme="minorEastAsia"/>
          <w:sz w:val="24"/>
          <w:szCs w:val="24"/>
        </w:rPr>
        <w:t xml:space="preserve">       智能建筑设计标准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中国工程建设标准协会1997  建筑和建筑群综合布线工程设计规范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 xml:space="preserve">中国工程建设标准协会1997   建筑和建筑群综合布线工程施工及验收规范 </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UD／T926邮电部1997       大楼通信综合布线系统</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国家计委1988             火灾自动报警系统设计规范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 xml:space="preserve">GB 50045-1995             高层民用建筑设计防火规范  </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GBJ/232-1992              电气装置安装工程施工验收规范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GJBT-471                   智能建筑弱电工程设计施工图集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GA/T70-94 GA/T75-94        中华人民共和国公共安全行业标准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GBJ42-91                   工业企业通信设计规范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·GT/T75-94</w:t>
      </w:r>
      <w:r>
        <w:rPr>
          <w:rFonts w:hint="eastAsia" w:cs="Times New Roman" w:asciiTheme="minorEastAsia" w:hAnsiTheme="minorEastAsia" w:eastAsiaTheme="minorEastAsia"/>
          <w:sz w:val="24"/>
          <w:szCs w:val="24"/>
        </w:rPr>
        <w:t xml:space="preserve">                  安全防范工程程序与要求</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GB50057-94                 建筑物防雷设计规范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 45-92                  建筑电气安装工程质量检验评定标准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GBJ52-93                   工业与民用供电系统设计规范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GBJ54-93                   低压配电装置及线路设计规范</w:t>
      </w:r>
    </w:p>
    <w:p>
      <w:pPr>
        <w:keepNext w:val="0"/>
        <w:keepLines w:val="0"/>
        <w:pageBreakBefore w:val="0"/>
        <w:widowControl w:val="0"/>
        <w:tabs>
          <w:tab w:val="left" w:pos="4680"/>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bookmarkStart w:id="30" w:name="_Toc276126645"/>
      <w:r>
        <w:rPr>
          <w:rFonts w:cs="Times New Roman" w:asciiTheme="minorEastAsia" w:hAnsiTheme="minorEastAsia" w:eastAsiaTheme="minorEastAsia"/>
          <w:sz w:val="24"/>
          <w:szCs w:val="24"/>
        </w:rPr>
        <w:t>若投标人要采用其它国家标准补充或替代上述标准，须经</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认可后方可采用。对于投标人制造厂标准，若高于经</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认可的标准或其他标准的，</w:t>
      </w:r>
      <w:r>
        <w:rPr>
          <w:rFonts w:hint="eastAsia" w:cs="Times New Roman" w:asciiTheme="minorEastAsia" w:hAnsiTheme="minorEastAsia" w:eastAsiaTheme="minorEastAsia"/>
          <w:sz w:val="24"/>
          <w:szCs w:val="24"/>
        </w:rPr>
        <w:t>投标人</w:t>
      </w:r>
      <w:r>
        <w:rPr>
          <w:rFonts w:cs="Times New Roman" w:asciiTheme="minorEastAsia" w:hAnsiTheme="minorEastAsia" w:eastAsiaTheme="minorEastAsia"/>
          <w:sz w:val="24"/>
          <w:szCs w:val="24"/>
        </w:rPr>
        <w:t>可以直接采用；对没有规定的标准，须征得</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同意后方能采用。</w:t>
      </w:r>
      <w:bookmarkEnd w:id="30"/>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31" w:name="_Toc22777"/>
      <w:bookmarkStart w:id="32" w:name="_Toc28053"/>
      <w:bookmarkStart w:id="33" w:name="_Toc3762"/>
      <w:bookmarkStart w:id="34" w:name="_Toc16400"/>
      <w:bookmarkStart w:id="35" w:name="_Toc284159232"/>
      <w:bookmarkStart w:id="36" w:name="_Toc290555578"/>
      <w:bookmarkStart w:id="37" w:name="_Toc290535688"/>
      <w:bookmarkStart w:id="38" w:name="_Toc290443633"/>
      <w:bookmarkStart w:id="39" w:name="_Toc283812336"/>
      <w:bookmarkStart w:id="40" w:name="_Toc290454071"/>
      <w:bookmarkStart w:id="41" w:name="_Toc290535001"/>
      <w:bookmarkStart w:id="42" w:name="_Toc290444444"/>
      <w:bookmarkStart w:id="43" w:name="_Toc290534518"/>
      <w:bookmarkStart w:id="44" w:name="_Toc290445210"/>
      <w:bookmarkStart w:id="45" w:name="_Toc290444223"/>
      <w:r>
        <w:rPr>
          <w:rFonts w:hint="eastAsia" w:asciiTheme="minorEastAsia" w:hAnsiTheme="minorEastAsia" w:eastAsiaTheme="minorEastAsia"/>
          <w:b/>
          <w:spacing w:val="6"/>
          <w:sz w:val="30"/>
          <w:szCs w:val="30"/>
        </w:rPr>
        <w:t>5.系统技术要求</w:t>
      </w:r>
      <w:bookmarkEnd w:id="31"/>
      <w:bookmarkEnd w:id="32"/>
      <w:bookmarkEnd w:id="33"/>
      <w:bookmarkEnd w:id="34"/>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新建车牌识别系统和现有蓝牙读卡系统并行使用，并且相互兼容。后台软件应具有和公司现有门禁系统相对应的管理模块和功能。系统采用抬杆式快速智能道闸或</w:t>
      </w:r>
      <w:r>
        <w:rPr>
          <w:rFonts w:cs="Times New Roman" w:asciiTheme="minorEastAsia" w:hAnsiTheme="minorEastAsia" w:eastAsiaTheme="minorEastAsia"/>
          <w:sz w:val="24"/>
          <w:szCs w:val="24"/>
        </w:rPr>
        <w:t>平移式电动门</w:t>
      </w:r>
      <w:r>
        <w:rPr>
          <w:rFonts w:hint="eastAsia" w:cs="Times New Roman" w:asciiTheme="minorEastAsia" w:hAnsiTheme="minorEastAsia" w:eastAsiaTheme="minorEastAsia"/>
          <w:sz w:val="24"/>
          <w:szCs w:val="24"/>
        </w:rPr>
        <w:t>。</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46" w:name="_Toc7044"/>
      <w:bookmarkStart w:id="47" w:name="_Toc14354"/>
      <w:bookmarkStart w:id="48" w:name="_Toc2451"/>
      <w:bookmarkStart w:id="49" w:name="_Toc4200"/>
      <w:r>
        <w:rPr>
          <w:rFonts w:hint="eastAsia" w:asciiTheme="minorEastAsia" w:hAnsiTheme="minorEastAsia" w:eastAsiaTheme="minorEastAsia"/>
          <w:b/>
          <w:spacing w:val="6"/>
          <w:sz w:val="30"/>
          <w:szCs w:val="30"/>
        </w:rPr>
        <w:t>6.</w:t>
      </w:r>
      <w:bookmarkEnd w:id="35"/>
      <w:bookmarkEnd w:id="36"/>
      <w:bookmarkEnd w:id="37"/>
      <w:bookmarkEnd w:id="38"/>
      <w:bookmarkEnd w:id="39"/>
      <w:bookmarkEnd w:id="40"/>
      <w:bookmarkEnd w:id="41"/>
      <w:bookmarkEnd w:id="42"/>
      <w:bookmarkEnd w:id="43"/>
      <w:bookmarkEnd w:id="44"/>
      <w:bookmarkEnd w:id="45"/>
      <w:r>
        <w:rPr>
          <w:rFonts w:hint="eastAsia" w:asciiTheme="minorEastAsia" w:hAnsiTheme="minorEastAsia" w:eastAsiaTheme="minorEastAsia"/>
          <w:b/>
          <w:spacing w:val="6"/>
          <w:sz w:val="30"/>
          <w:szCs w:val="30"/>
        </w:rPr>
        <w:t>系统设计原则</w:t>
      </w:r>
      <w:bookmarkEnd w:id="46"/>
      <w:bookmarkEnd w:id="47"/>
      <w:bookmarkEnd w:id="48"/>
      <w:bookmarkEnd w:id="49"/>
      <w:r>
        <w:rPr>
          <w:rFonts w:hint="eastAsia" w:asciiTheme="minorEastAsia" w:hAnsiTheme="minorEastAsia" w:eastAsiaTheme="minorEastAsia"/>
          <w:b/>
          <w:spacing w:val="6"/>
          <w:sz w:val="30"/>
          <w:szCs w:val="30"/>
        </w:rPr>
        <w:t xml:space="preserve">   </w:t>
      </w:r>
    </w:p>
    <w:p>
      <w:pPr>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cs="宋体" w:asciiTheme="minorEastAsia" w:hAnsiTheme="minorEastAsia" w:eastAsiaTheme="minorEastAsia"/>
          <w:color w:val="auto"/>
          <w:kern w:val="24"/>
          <w:sz w:val="24"/>
          <w:szCs w:val="20"/>
          <w:lang w:val="sv-SE"/>
        </w:rPr>
      </w:pPr>
      <w:r>
        <w:rPr>
          <w:rFonts w:hint="eastAsia" w:cs="宋体" w:asciiTheme="minorEastAsia" w:hAnsiTheme="minorEastAsia" w:eastAsiaTheme="minorEastAsia"/>
          <w:b/>
          <w:color w:val="auto"/>
          <w:kern w:val="24"/>
          <w:sz w:val="24"/>
          <w:szCs w:val="20"/>
          <w:lang w:val="sv-SE"/>
        </w:rPr>
        <w:t>技术先进性</w:t>
      </w:r>
      <w:r>
        <w:rPr>
          <w:rFonts w:hint="eastAsia" w:cs="宋体" w:asciiTheme="minorEastAsia" w:hAnsiTheme="minorEastAsia" w:eastAsiaTheme="minorEastAsia"/>
          <w:color w:val="auto"/>
          <w:kern w:val="24"/>
          <w:sz w:val="24"/>
          <w:szCs w:val="20"/>
          <w:lang w:val="sv-SE"/>
        </w:rPr>
        <w:t>：建设安全、稳定、可靠的车辆管理系统是解决静态交通的重点和核心，其稳定性、成熟性毋容置疑。</w:t>
      </w:r>
    </w:p>
    <w:p>
      <w:pPr>
        <w:pStyle w:val="10"/>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color w:val="auto"/>
        </w:rPr>
      </w:pPr>
      <w:r>
        <w:rPr>
          <w:rFonts w:hint="eastAsia" w:asciiTheme="minorEastAsia" w:hAnsiTheme="minorEastAsia"/>
          <w:b/>
          <w:color w:val="auto"/>
        </w:rPr>
        <w:t>系统高可靠性</w:t>
      </w:r>
      <w:r>
        <w:rPr>
          <w:rFonts w:hint="eastAsia" w:asciiTheme="minorEastAsia" w:hAnsiTheme="minorEastAsia"/>
          <w:color w:val="auto"/>
        </w:rPr>
        <w:t>：系统硬件为工业级产品。软件为专业厂商的成熟型市场化产品。系统具有故障隔离功能，在工作过程中，当一个或数个终端发生故障时，将不妨碍其它终端的正常工作。</w:t>
      </w:r>
    </w:p>
    <w:p>
      <w:pPr>
        <w:pStyle w:val="10"/>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b/>
          <w:color w:val="auto"/>
        </w:rPr>
      </w:pPr>
      <w:r>
        <w:rPr>
          <w:rFonts w:hint="eastAsia" w:asciiTheme="minorEastAsia" w:hAnsiTheme="minorEastAsia"/>
          <w:b/>
          <w:color w:val="auto"/>
        </w:rPr>
        <w:t>系统可拓展性原则：</w:t>
      </w:r>
      <w:r>
        <w:rPr>
          <w:rFonts w:hint="eastAsia" w:asciiTheme="minorEastAsia" w:hAnsiTheme="minorEastAsia"/>
          <w:color w:val="auto"/>
          <w:spacing w:val="6"/>
        </w:rPr>
        <w:t>系统可满足用户不断更新的需求，可灵活增减或更新各个子系统。在软件上方便为应用客户升级，同时可根据将来的需求扩展为消费、通道管理、考勤、巡更等车安一卡通管理系统，也可就目前已有的其它厂家的一卡通子系统提供系统集成接口。</w:t>
      </w:r>
    </w:p>
    <w:p>
      <w:pPr>
        <w:pStyle w:val="10"/>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b/>
          <w:color w:val="FF0000"/>
        </w:rPr>
      </w:pPr>
      <w:r>
        <w:rPr>
          <w:rFonts w:hint="eastAsia" w:asciiTheme="minorEastAsia" w:hAnsiTheme="minorEastAsia"/>
          <w:b/>
          <w:color w:val="auto"/>
        </w:rPr>
        <w:t>系统易维护性原则：</w:t>
      </w:r>
      <w:r>
        <w:rPr>
          <w:rFonts w:hint="eastAsia" w:asciiTheme="minorEastAsia" w:hAnsiTheme="minorEastAsia"/>
          <w:color w:val="auto"/>
          <w:spacing w:val="6"/>
        </w:rPr>
        <w:t>在设备的设计、生产过程中就严格把好质量关，始终采用优质的元器件，使系统运行的故障率达到最低。当系统在现场就某一功能暂时无法正常使用时，只须通过简单查看，很快即可判断故障模块，从而更换配件即可；即使在系统维护同时不会影响其它联网设备的运行，也可使用本出入口的应急装置，控制道闸升降，保证车道的畅通。</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50" w:name="_Toc32614"/>
      <w:bookmarkStart w:id="51" w:name="_Toc17083"/>
      <w:bookmarkStart w:id="52" w:name="_Toc16103"/>
      <w:bookmarkStart w:id="53" w:name="_Toc16997"/>
      <w:r>
        <w:rPr>
          <w:rFonts w:hint="eastAsia" w:asciiTheme="minorEastAsia" w:hAnsiTheme="minorEastAsia" w:eastAsiaTheme="minorEastAsia"/>
          <w:b/>
          <w:spacing w:val="6"/>
          <w:sz w:val="30"/>
          <w:szCs w:val="30"/>
        </w:rPr>
        <w:t>7.系统总体特点</w:t>
      </w:r>
      <w:bookmarkEnd w:id="50"/>
      <w:bookmarkEnd w:id="51"/>
      <w:bookmarkEnd w:id="52"/>
      <w:bookmarkEnd w:id="53"/>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系统总体技术先进、性能可靠、经济实用。</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联网和脱机功能相结合，即使暂时的网络故障也不会影响系统正常运行。</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系统为24×7全年不间断运行。</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系统能记录每一个事件信息，支持各类统计分析、报表生成和打印功能。</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系统能对设备的工作状态进行集中监控管理、配置和设置，及时诊断、显示设备故障及故障处理措施，进行报警、存储、统计和打印功能。</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系统选用的硬件和软件都是成熟可靠的产品。</w:t>
      </w:r>
    </w:p>
    <w:p>
      <w:pPr>
        <w:pStyle w:val="10"/>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本系统选用的硬件设备的防护等级适应安装环境的要求，室外设备具有防尘、防水、防雷、防酸雨、散热等措施；</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54" w:name="_Toc13188"/>
      <w:bookmarkStart w:id="55" w:name="_Toc6772"/>
      <w:bookmarkStart w:id="56" w:name="_Toc1962"/>
      <w:bookmarkStart w:id="57" w:name="_Toc5905"/>
      <w:r>
        <w:rPr>
          <w:rFonts w:hint="eastAsia" w:asciiTheme="minorEastAsia" w:hAnsiTheme="minorEastAsia" w:eastAsiaTheme="minorEastAsia"/>
          <w:b/>
          <w:spacing w:val="6"/>
          <w:sz w:val="30"/>
          <w:szCs w:val="30"/>
          <w:lang w:val="en-US" w:eastAsia="zh-CN"/>
        </w:rPr>
        <w:t>8.</w:t>
      </w:r>
      <w:r>
        <w:rPr>
          <w:rFonts w:hint="eastAsia" w:asciiTheme="minorEastAsia" w:hAnsiTheme="minorEastAsia" w:eastAsiaTheme="minorEastAsia"/>
          <w:b/>
          <w:spacing w:val="6"/>
          <w:sz w:val="30"/>
          <w:szCs w:val="30"/>
        </w:rPr>
        <w:t>系统工程量设备清单（包括单不限于）</w:t>
      </w:r>
      <w:bookmarkEnd w:id="54"/>
      <w:bookmarkEnd w:id="55"/>
      <w:bookmarkEnd w:id="56"/>
      <w:bookmarkEnd w:id="57"/>
    </w:p>
    <w:tbl>
      <w:tblPr>
        <w:tblStyle w:val="9"/>
        <w:tblW w:w="83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78"/>
        <w:gridCol w:w="1474"/>
        <w:gridCol w:w="1853"/>
        <w:gridCol w:w="1079"/>
        <w:gridCol w:w="1079"/>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33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项　　　目</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1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i w:val="0"/>
                <w:color w:val="000000"/>
                <w:sz w:val="22"/>
                <w:szCs w:val="22"/>
                <w:u w:val="none"/>
              </w:rPr>
            </w:pPr>
          </w:p>
        </w:tc>
        <w:tc>
          <w:tcPr>
            <w:tcW w:w="33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一、高清车牌识别一体机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船务中心码头区出入口设备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生产一部码头和堆场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生产二部码头和堆场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生产三部码头和堆场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港区主出入口出入口设备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家属区（东区、西区、北区）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二、生产二部堆场新建门禁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b/>
                <w:i w:val="0"/>
                <w:color w:val="000000"/>
                <w:sz w:val="20"/>
                <w:szCs w:val="20"/>
                <w:u w:val="none"/>
              </w:rPr>
            </w:pP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名称</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参考型号</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1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平移式电动推拉门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不小于7m*1.5m，圆钢管，表面处理工艺，全自动静电粉末喷涂（即喷塑）或喷漆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数字车辆检测器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车安CA-EM0111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地感线圈</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高清车牌识别一体机</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数字车辆检测器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车安CA-EM0111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地感线圈</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高清车牌识别一体机</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其他设备</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工业级单模光纤HUB，带一个光口，8个以太口</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0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土建基础</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3m*0.6m*0.4m 钢筋商混，外面喷漆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定制设备防撞护栏</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圆钢管，表面处理工艺：全自动静电粉末喷涂（即喷塑）或喷漆。制成防撞护栏外形美观，且不易生锈。尺寸：10m*0.6m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单模光纤及布线</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钢管、线缆等辅材</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就地箱</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0"/>
                <w:szCs w:val="20"/>
                <w:u w:val="none"/>
                <w:lang w:val="en-US" w:eastAsia="zh-CN" w:bidi="ar"/>
              </w:rPr>
              <w:t>三、安装调试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2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安装机调试及软件开发</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bl>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right="0" w:rightChars="0" w:firstLine="640" w:firstLineChars="200"/>
        <w:jc w:val="both"/>
        <w:textAlignment w:val="auto"/>
        <w:outlineLvl w:val="9"/>
        <w:rPr>
          <w:rFonts w:hint="eastAsia" w:cs="Courier New" w:asciiTheme="minorEastAsia" w:hAnsiTheme="minorEastAsia" w:eastAsiaTheme="minorEastAsia"/>
          <w:b/>
          <w:bCs/>
          <w:color w:val="000000" w:themeColor="text1"/>
          <w:kern w:val="2"/>
          <w:sz w:val="24"/>
          <w:szCs w:val="21"/>
          <w:lang w:val="en-US" w:eastAsia="zh-CN" w:bidi="ar-SA"/>
          <w14:textFill>
            <w14:solidFill>
              <w14:schemeClr w14:val="tx1"/>
            </w14:solidFill>
          </w14:textFill>
        </w:rPr>
      </w:pPr>
      <w:bookmarkStart w:id="58" w:name="_Toc290555697"/>
      <w:bookmarkStart w:id="59" w:name="_Toc25358"/>
      <w:bookmarkStart w:id="60" w:name="_Toc1510"/>
      <w:bookmarkStart w:id="61" w:name="_Toc31059"/>
      <w:bookmarkStart w:id="62" w:name="_Toc14803"/>
      <w:r>
        <w:rPr>
          <w:rFonts w:hint="eastAsia" w:cs="Courier New" w:asciiTheme="minorEastAsia" w:hAnsiTheme="minorEastAsia" w:eastAsiaTheme="minorEastAsia"/>
          <w:b/>
          <w:bCs/>
          <w:color w:val="000000" w:themeColor="text1"/>
          <w:kern w:val="2"/>
          <w:sz w:val="24"/>
          <w:szCs w:val="21"/>
          <w:lang w:val="en-US" w:eastAsia="zh-CN" w:bidi="ar-SA"/>
          <w14:textFill>
            <w14:solidFill>
              <w14:schemeClr w14:val="tx1"/>
            </w14:solidFill>
          </w14:textFill>
        </w:rPr>
        <w:t>以上工程量为参考量，以实际施工工程量为准，费用不做调整。</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r>
        <w:rPr>
          <w:rFonts w:hint="eastAsia" w:asciiTheme="minorEastAsia" w:hAnsiTheme="minorEastAsia" w:eastAsiaTheme="minorEastAsia"/>
          <w:b/>
          <w:spacing w:val="6"/>
          <w:sz w:val="30"/>
          <w:szCs w:val="30"/>
        </w:rPr>
        <w:t>9.</w:t>
      </w:r>
      <w:bookmarkEnd w:id="58"/>
      <w:r>
        <w:rPr>
          <w:rFonts w:hint="eastAsia" w:asciiTheme="minorEastAsia" w:hAnsiTheme="minorEastAsia" w:eastAsiaTheme="minorEastAsia"/>
          <w:b/>
          <w:spacing w:val="6"/>
          <w:sz w:val="30"/>
          <w:szCs w:val="30"/>
        </w:rPr>
        <w:t>系统组成</w:t>
      </w:r>
      <w:bookmarkEnd w:id="59"/>
      <w:bookmarkEnd w:id="60"/>
      <w:bookmarkEnd w:id="61"/>
      <w:bookmarkEnd w:id="62"/>
      <w:bookmarkStart w:id="63" w:name="_Toc379790403"/>
      <w:bookmarkStart w:id="203" w:name="_GoBack"/>
      <w:bookmarkEnd w:id="203"/>
    </w:p>
    <w:bookmarkEnd w:id="63"/>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港区采用一</w:t>
      </w:r>
      <w:r>
        <w:rPr>
          <w:rFonts w:hint="eastAsia" w:asciiTheme="minorEastAsia" w:hAnsiTheme="minorEastAsia" w:eastAsiaTheme="minorEastAsia"/>
          <w:color w:val="000000" w:themeColor="text1"/>
          <w:sz w:val="24"/>
          <w14:textFill>
            <w14:solidFill>
              <w14:schemeClr w14:val="tx1"/>
            </w14:solidFill>
          </w14:textFill>
        </w:rPr>
        <w:t>个主控中心；将主控中心设置在管</w:t>
      </w:r>
      <w:r>
        <w:rPr>
          <w:rFonts w:hint="eastAsia" w:asciiTheme="minorEastAsia" w:hAnsiTheme="minorEastAsia" w:eastAsiaTheme="minorEastAsia"/>
          <w:sz w:val="24"/>
        </w:rPr>
        <w:t>控楼一楼消防室，通过光纤千兆网连接，以解决传输速率问题。</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分</w:t>
      </w:r>
      <w:r>
        <w:rPr>
          <w:rFonts w:asciiTheme="minorEastAsia" w:hAnsiTheme="minorEastAsia" w:eastAsiaTheme="minorEastAsia"/>
          <w:sz w:val="24"/>
        </w:rPr>
        <w:t>控中心</w:t>
      </w:r>
      <w:r>
        <w:rPr>
          <w:rFonts w:hint="eastAsia" w:asciiTheme="minorEastAsia" w:hAnsiTheme="minorEastAsia" w:eastAsiaTheme="minorEastAsia"/>
          <w:sz w:val="24"/>
        </w:rPr>
        <w:t>设在各</w:t>
      </w:r>
      <w:r>
        <w:rPr>
          <w:rFonts w:asciiTheme="minorEastAsia" w:hAnsiTheme="minorEastAsia" w:eastAsiaTheme="minorEastAsia"/>
          <w:sz w:val="24"/>
        </w:rPr>
        <w:t>区域的值班室</w:t>
      </w:r>
      <w:r>
        <w:rPr>
          <w:rFonts w:hint="eastAsia" w:asciiTheme="minorEastAsia" w:hAnsiTheme="minorEastAsia" w:eastAsiaTheme="minorEastAsia"/>
          <w:sz w:val="24"/>
        </w:rPr>
        <w:t>，</w:t>
      </w:r>
      <w:r>
        <w:rPr>
          <w:rFonts w:asciiTheme="minorEastAsia" w:hAnsiTheme="minorEastAsia" w:eastAsiaTheme="minorEastAsia"/>
          <w:sz w:val="24"/>
        </w:rPr>
        <w:t>实现远程监控和开门。</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系统选用快速智能电动道闸在出入端各设置一套车牌识别装置。长期车辆采用蓝牙远程读卡器和车牌识别系统，拾取距离达到10M并可随意调整到制定读取区域。</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b/>
        </w:rPr>
      </w:pPr>
      <w:bookmarkStart w:id="64" w:name="_Toc29262"/>
      <w:bookmarkStart w:id="65" w:name="_Toc4383"/>
      <w:bookmarkStart w:id="66" w:name="_Toc20065"/>
      <w:bookmarkStart w:id="67" w:name="_Toc14125"/>
      <w:r>
        <w:rPr>
          <w:rFonts w:hint="eastAsia" w:asciiTheme="minorEastAsia" w:hAnsiTheme="minorEastAsia" w:eastAsiaTheme="minorEastAsia"/>
          <w:b/>
          <w:spacing w:val="6"/>
          <w:sz w:val="30"/>
          <w:szCs w:val="30"/>
        </w:rPr>
        <w:t>10.系统设备技术参数</w:t>
      </w:r>
      <w:bookmarkEnd w:id="64"/>
      <w:bookmarkEnd w:id="65"/>
      <w:bookmarkEnd w:id="66"/>
      <w:bookmarkEnd w:id="67"/>
      <w:bookmarkStart w:id="68" w:name="_Toc379790415"/>
      <w:r>
        <w:rPr>
          <w:rFonts w:hint="eastAsia"/>
        </w:rPr>
        <w:t xml:space="preserve">                    </w:t>
      </w:r>
    </w:p>
    <w:p>
      <w:pPr>
        <w:pStyle w:val="2"/>
        <w:spacing w:before="156"/>
        <w:rPr>
          <w:rFonts w:hint="eastAsia" w:asciiTheme="minorEastAsia" w:hAnsiTheme="minorEastAsia" w:eastAsiaTheme="minorEastAsia"/>
          <w:b/>
          <w:lang w:val="en-US" w:eastAsia="zh-CN"/>
        </w:rPr>
      </w:pPr>
      <w:bookmarkStart w:id="69" w:name="_Toc3121"/>
      <w:bookmarkStart w:id="70" w:name="_Toc15562"/>
      <w:bookmarkStart w:id="71" w:name="_Toc16473"/>
      <w:bookmarkStart w:id="72" w:name="_Toc20861"/>
      <w:r>
        <w:rPr>
          <w:rFonts w:hint="eastAsia" w:asciiTheme="minorEastAsia" w:hAnsiTheme="minorEastAsia" w:eastAsiaTheme="minorEastAsia"/>
          <w:b/>
          <w:lang w:val="en-US" w:eastAsia="zh-CN"/>
        </w:rPr>
        <w:t>10.1 车牌识别系统</w:t>
      </w:r>
      <w:bookmarkEnd w:id="69"/>
      <w:bookmarkEnd w:id="70"/>
      <w:bookmarkEnd w:id="71"/>
      <w:bookmarkEnd w:id="72"/>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工作原理：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车牌识别技术是指对摄像机所拍摄的车辆图像或视频序列，经过机器视觉、图像处理和模式识别等算法处理后自动读取车牌号码、车牌类型、车牌颜色等信息的技术，是人工智能技术中重要的分支。它的硬件基础包括触发设备、摄像设备、照明设备、图像采集设备、识别车牌号码的处理机，其软件核心包括车牌定位、字符分割、字符识别等算法。</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车辆牌照识别整个系统主要是由车牌定位和字符识别两部分组成，当中车牌定位又能够分为图像预处理及边缘提取模块和牌照的定位及切割模块；字符识别能够分为字符切割与特征提取和单个字符识别两个模块。</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为了用于牌照的切割和牌照字符的识别，原始图像应具有适当的亮度，较大的对照度和清晰可辩的牌照图像。但因为该系统的摄像部分工作于开放的户外环境，加之车辆牌照的整洁度、自然光照条件、拍摄时摄像机与牌照的距离和角度以及车辆行驶速度等因素的影响，牌照图像可能出现模糊、歪斜和缺损等严重缺陷，因此须要对原始图像进行识别前的预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牌照的定位和切割是牌照识别系统的关键技术之中的一个，其主要目的是在经图像预处理后的原始灰度图像中确定牌照的详细位置，并将包括牌照字符的一块子图像从整个图像中切割出来，供字符识别子系统识别之用，切割的准确与否直接关系到整个牌照字符识别系统的识别率。</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因为拍摄时的光照条件、牌照的整洁程度的影响，和摄像机的焦距调整、镜头的光学畸变所产生的噪声都会不同程度地造成牌照字符的边界模糊、细节不清、笔划断开或粗细不均，加上牌照上的污斑等缺陷，致使字符提取困难，进而影响字符识别的准确性。因此，须要对字符在识别之前再进行一次针对性的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r>
        <w:rPr>
          <w:rFonts w:hint="eastAsia" w:asciiTheme="minorEastAsia" w:hAnsiTheme="minorEastAsia" w:eastAsiaTheme="minorEastAsia"/>
          <w:b/>
          <w:bCs/>
          <w:sz w:val="24"/>
        </w:rPr>
        <w:t>各部分实现流程：</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一、图像采集和转换</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考虑到现有牌照的字符与背景的颜色搭配一般有蓝底白字、黄底黑字、白底红字、绿底白字和黑底白字等几种，利用不同的色彩通道就能够将区域与背景明显地区分出来。</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二、边缘提取</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边缘是指图</w:t>
      </w:r>
      <w:bookmarkStart w:id="73" w:name="OLE_LINK1"/>
      <w:bookmarkStart w:id="74" w:name="OLE_LINK2"/>
      <w:r>
        <w:rPr>
          <w:rFonts w:hint="eastAsia" w:asciiTheme="minorEastAsia" w:hAnsiTheme="minorEastAsia" w:eastAsiaTheme="minorEastAsia"/>
          <w:sz w:val="24"/>
        </w:rPr>
        <w:t>像</w:t>
      </w:r>
      <w:bookmarkEnd w:id="73"/>
      <w:bookmarkEnd w:id="74"/>
      <w:r>
        <w:rPr>
          <w:rFonts w:hint="eastAsia" w:asciiTheme="minorEastAsia" w:hAnsiTheme="minorEastAsia" w:eastAsiaTheme="minorEastAsia"/>
          <w:sz w:val="24"/>
        </w:rPr>
        <w:t>局部亮度变化显著的部分，是图像风、纹理特征提取和形状特征提取等图像分析的重要基础。所以在此我们要对图像进行边缘检测。图像增强处理对图像牌照的可辨认度的改善和简化牌照字符定位和切割的难度都是非常有必要的。增强图像对照度的方法有：灰度线性变换、图象平滑处理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三、牌照的定位和切割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牌照的定位和切割是牌照识别系统的关键技术之中的一个，其主要目的是在经图像预处理后的原始灰度图像中确定牌照的详细位置，并将包括牌照字符的一块子图像从整个图像中切割出来，供字符识别子系统识别之用，切割的准确与否直接关系到整个牌照字符识别系统的识别率。因为牌照图像在原始图像中是非常有特征的一个子区域，确切说是水平度较高的横向近似的长方形，它在原始图像中的相对位置比较集中，并且其灰度值与周边区域有明显的不同，因而在其边缘形成了灰度突变的边界，这样就便于通过边缘检测来对图像进行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四、字符切割和比对</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在汽车牌照自己主动识别过程中，字符切割有承前启后的作用。它在前期牌照定位的基础上进行字符的切割，然后再利用切割的结果进行字符识别。字符识别的算法非常多，由于车牌字符间间隔较大，不会出现字符粘连情况，所以此处采用的方法为寻找连续有文字的块，若长度大于某阈值，则觉得该块有两个字符组成，须要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一般切割出来的字符要进行进一步的处理，以满足下一步字符识别的须要。可是对于车牌的识别，并不须要太多的处理就已经能够达到正确识别的目的。在此仅仅进行了归一化处理，然后进行后期处理。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此处采用相减的方法来求得字符与模板中哪一个字符最相似，然后找到相似度最大的输出。汽车牌照的字符一般有七个，大部分车牌第一位是汉字，通常代表车辆所属省份，或是军种、警别等有特定含义的字符简称；紧接其后的为字母与数字。车牌字符识别与一般文字识别在于它的字符数有限，汉字共约50多个，大写英文字母26个，数字10个。所以建立字符模板库也极为方便。首先取字符模板，接着依次取待识别字符与模板进行匹配，将其与模板字符相减，得到的0越多那么就越匹配。把每一幅相减后的图的0值个数保存，然后找数值最大的，即为识别出来的结果。</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pPr>
      <w:r>
        <w:rPr>
          <w:rFonts w:hint="eastAsia" w:asciiTheme="minorEastAsia" w:hAnsiTheme="minorEastAsia" w:eastAsiaTheme="minorEastAsia"/>
          <w:sz w:val="24"/>
        </w:rPr>
        <w:t>工作原理：图像采集—预处理—车牌定位-车牌校正-字符分割-字符识别-识别结果输出</w:t>
      </w:r>
    </w:p>
    <w:p>
      <w:pPr>
        <w:spacing w:line="360" w:lineRule="auto"/>
      </w:pPr>
    </w:p>
    <w:p>
      <w:pPr>
        <w:spacing w:line="360" w:lineRule="auto"/>
      </w:pPr>
      <w:r>
        <w:rPr>
          <w:rFonts w:hint="eastAsia"/>
        </w:rPr>
        <w:drawing>
          <wp:inline distT="0" distB="0" distL="0" distR="0">
            <wp:extent cx="3099435" cy="4338955"/>
            <wp:effectExtent l="0" t="0" r="571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00450" cy="4340480"/>
                    </a:xfrm>
                    <a:prstGeom prst="rect">
                      <a:avLst/>
                    </a:prstGeom>
                  </pic:spPr>
                </pic:pic>
              </a:graphicData>
            </a:graphic>
          </wp:inline>
        </w:drawing>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1、原理就是通过摄像机拍摄道路上行驶的车辆图像进行车牌号码的识别，过程涉及：车辆检测—图像采集—预处理—车牌定位—字符分割—字符识别—结果输出。</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2、车辆检测：可采用埋地线圈检测、红外检测、视频检测等多种方式感知车辆的经过，并触发图像采集抓拍。</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3、图像采集：通过高清摄像抓拍主机对通行车辆进行实时、不间断记录、采集。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4、预处理：噪声过滤、自动白平衡、自动曝光以及伽马校正、边缘增强、对比度调整等。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5、车牌定位：在经过图像预处理之后的灰度图像上进行行列扫描，确定车牌区域。</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6、字符分割：在图像中定位出车牌区域后，通过灰度化、二值化等处理，精确定位字符区域，然后根据字符尺寸特征进行字符分割。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7、字符识别：对分割后的字符进行缩放、特征提取，与字符数据库模板中的标准字符表达形式进行匹配判别。</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8、结果输出：将车牌识别的结果以文本格式输出。</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r>
        <w:rPr>
          <w:rFonts w:hint="eastAsia" w:asciiTheme="minorEastAsia" w:hAnsiTheme="minorEastAsia" w:eastAsiaTheme="minorEastAsia"/>
          <w:b/>
          <w:bCs/>
          <w:sz w:val="24"/>
        </w:rPr>
        <w:t>技术参数：</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图像传感器</w:t>
      </w:r>
      <w:r>
        <w:rPr>
          <w:rFonts w:hint="eastAsia" w:asciiTheme="minorEastAsia" w:hAnsiTheme="minorEastAsia" w:eastAsiaTheme="minorEastAsia"/>
          <w:sz w:val="24"/>
        </w:rPr>
        <w:tab/>
      </w:r>
      <w:r>
        <w:rPr>
          <w:rFonts w:hint="eastAsia" w:asciiTheme="minorEastAsia" w:hAnsiTheme="minorEastAsia" w:eastAsiaTheme="minorEastAsia"/>
          <w:sz w:val="24"/>
        </w:rPr>
        <w:t>1/2.8" CMOS</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号牌识别率：白天≥99.8%；夜间≥99.6%</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号牌检出率：白天≥99.9%；夜间≥99.7%</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单车牌识别时间</w:t>
      </w:r>
      <w:r>
        <w:rPr>
          <w:rFonts w:hint="eastAsia" w:asciiTheme="minorEastAsia" w:hAnsiTheme="minorEastAsia" w:eastAsiaTheme="minorEastAsia"/>
          <w:sz w:val="24"/>
        </w:rPr>
        <w:tab/>
      </w:r>
      <w:r>
        <w:rPr>
          <w:rFonts w:hint="eastAsia" w:asciiTheme="minorEastAsia" w:hAnsiTheme="minorEastAsia" w:eastAsiaTheme="minorEastAsia"/>
          <w:sz w:val="24"/>
        </w:rPr>
        <w:t>≤30ms</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适应车速范围</w:t>
      </w:r>
      <w:r>
        <w:rPr>
          <w:rFonts w:hint="eastAsia" w:asciiTheme="minorEastAsia" w:hAnsiTheme="minorEastAsia" w:eastAsiaTheme="minorEastAsia"/>
          <w:sz w:val="24"/>
        </w:rPr>
        <w:tab/>
      </w:r>
      <w:r>
        <w:rPr>
          <w:rFonts w:hint="eastAsia" w:asciiTheme="minorEastAsia" w:hAnsiTheme="minorEastAsia" w:eastAsiaTheme="minorEastAsia"/>
          <w:sz w:val="24"/>
        </w:rPr>
        <w:t>0～40km/h</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识别角度</w:t>
      </w:r>
      <w:r>
        <w:rPr>
          <w:rFonts w:hint="eastAsia" w:asciiTheme="minorEastAsia" w:hAnsiTheme="minorEastAsia" w:eastAsiaTheme="minorEastAsia"/>
          <w:sz w:val="24"/>
        </w:rPr>
        <w:tab/>
      </w:r>
      <w:r>
        <w:rPr>
          <w:rFonts w:hint="eastAsia" w:asciiTheme="minorEastAsia" w:hAnsiTheme="minorEastAsia" w:eastAsiaTheme="minorEastAsia"/>
          <w:sz w:val="24"/>
        </w:rPr>
        <w:t>≤45°</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有效像素</w:t>
      </w:r>
      <w:r>
        <w:rPr>
          <w:rFonts w:hint="eastAsia" w:asciiTheme="minorEastAsia" w:hAnsiTheme="minorEastAsia" w:eastAsiaTheme="minorEastAsia"/>
          <w:sz w:val="24"/>
        </w:rPr>
        <w:tab/>
      </w:r>
      <w:r>
        <w:rPr>
          <w:rFonts w:hint="eastAsia" w:asciiTheme="minorEastAsia" w:hAnsiTheme="minorEastAsia" w:eastAsiaTheme="minorEastAsia"/>
          <w:sz w:val="24"/>
        </w:rPr>
        <w:t>1920*1080</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最低照度</w:t>
      </w:r>
      <w:r>
        <w:rPr>
          <w:rFonts w:hint="eastAsia" w:asciiTheme="minorEastAsia" w:hAnsiTheme="minorEastAsia" w:eastAsiaTheme="minorEastAsia"/>
          <w:sz w:val="24"/>
        </w:rPr>
        <w:tab/>
      </w:r>
      <w:r>
        <w:rPr>
          <w:rFonts w:hint="eastAsia" w:asciiTheme="minorEastAsia" w:hAnsiTheme="minorEastAsia" w:eastAsiaTheme="minorEastAsia"/>
          <w:sz w:val="24"/>
        </w:rPr>
        <w:t>0.02Lux</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输出视频格式</w:t>
      </w:r>
      <w:r>
        <w:rPr>
          <w:rFonts w:hint="eastAsia" w:asciiTheme="minorEastAsia" w:hAnsiTheme="minorEastAsia" w:eastAsiaTheme="minorEastAsia"/>
          <w:sz w:val="24"/>
        </w:rPr>
        <w:tab/>
      </w:r>
      <w:r>
        <w:rPr>
          <w:rFonts w:hint="eastAsia" w:asciiTheme="minorEastAsia" w:hAnsiTheme="minorEastAsia" w:eastAsiaTheme="minorEastAsia"/>
          <w:sz w:val="24"/>
        </w:rPr>
        <w:t>H.264</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通讯接口</w:t>
      </w:r>
      <w:r>
        <w:rPr>
          <w:rFonts w:hint="eastAsia" w:asciiTheme="minorEastAsia" w:hAnsiTheme="minorEastAsia" w:eastAsiaTheme="minorEastAsia"/>
          <w:sz w:val="24"/>
        </w:rPr>
        <w:tab/>
      </w:r>
      <w:r>
        <w:rPr>
          <w:rFonts w:hint="eastAsia" w:asciiTheme="minorEastAsia" w:hAnsiTheme="minorEastAsia" w:eastAsiaTheme="minorEastAsia"/>
          <w:sz w:val="24"/>
        </w:rPr>
        <w:t>100M自适应网口</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工作电压电流</w:t>
      </w:r>
      <w:r>
        <w:rPr>
          <w:rFonts w:hint="eastAsia" w:asciiTheme="minorEastAsia" w:hAnsiTheme="minorEastAsia" w:eastAsiaTheme="minorEastAsia"/>
          <w:sz w:val="24"/>
        </w:rPr>
        <w:tab/>
      </w:r>
      <w:r>
        <w:rPr>
          <w:rFonts w:hint="eastAsia" w:asciiTheme="minorEastAsia" w:hAnsiTheme="minorEastAsia" w:eastAsiaTheme="minorEastAsia"/>
          <w:sz w:val="24"/>
        </w:rPr>
        <w:t>DC 12V 2A</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整机功耗</w:t>
      </w:r>
      <w:r>
        <w:rPr>
          <w:rFonts w:hint="eastAsia" w:asciiTheme="minorEastAsia" w:hAnsiTheme="minorEastAsia" w:eastAsiaTheme="minorEastAsia"/>
          <w:sz w:val="24"/>
        </w:rPr>
        <w:tab/>
      </w:r>
      <w:r>
        <w:rPr>
          <w:rFonts w:hint="eastAsia" w:asciiTheme="minorEastAsia" w:hAnsiTheme="minorEastAsia" w:eastAsiaTheme="minorEastAsia"/>
          <w:sz w:val="24"/>
        </w:rPr>
        <w:t>关灯&lt;10W，开灯&lt;15W</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工作温度</w:t>
      </w:r>
      <w:r>
        <w:rPr>
          <w:rFonts w:hint="eastAsia" w:asciiTheme="minorEastAsia" w:hAnsiTheme="minorEastAsia" w:eastAsiaTheme="minorEastAsia"/>
          <w:sz w:val="24"/>
        </w:rPr>
        <w:tab/>
      </w:r>
      <w:r>
        <w:rPr>
          <w:rFonts w:hint="eastAsia" w:asciiTheme="minorEastAsia" w:hAnsiTheme="minorEastAsia" w:eastAsiaTheme="minorEastAsia"/>
          <w:sz w:val="24"/>
        </w:rPr>
        <w:t>-30℃~+70℃</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防护等级</w:t>
      </w:r>
      <w:r>
        <w:rPr>
          <w:rFonts w:hint="eastAsia" w:asciiTheme="minorEastAsia" w:hAnsiTheme="minorEastAsia" w:eastAsiaTheme="minorEastAsia"/>
          <w:sz w:val="24"/>
        </w:rPr>
        <w:tab/>
      </w:r>
      <w:r>
        <w:rPr>
          <w:rFonts w:hint="eastAsia" w:asciiTheme="minorEastAsia" w:hAnsiTheme="minorEastAsia" w:eastAsiaTheme="minorEastAsia"/>
          <w:sz w:val="24"/>
        </w:rPr>
        <w:t>IP65</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工作湿度</w:t>
      </w:r>
      <w:r>
        <w:rPr>
          <w:rFonts w:hint="eastAsia" w:asciiTheme="minorEastAsia" w:hAnsiTheme="minorEastAsia" w:eastAsiaTheme="minorEastAsia"/>
          <w:sz w:val="24"/>
        </w:rPr>
        <w:tab/>
      </w:r>
      <w:r>
        <w:rPr>
          <w:rFonts w:hint="eastAsia" w:asciiTheme="minorEastAsia" w:hAnsiTheme="minorEastAsia" w:eastAsiaTheme="minorEastAsia"/>
          <w:sz w:val="24"/>
        </w:rPr>
        <w:t>&lt;95％，无凝结</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尺寸</w:t>
      </w:r>
      <w:r>
        <w:rPr>
          <w:rFonts w:hint="eastAsia" w:asciiTheme="minorEastAsia" w:hAnsiTheme="minorEastAsia" w:eastAsiaTheme="minorEastAsia"/>
          <w:sz w:val="24"/>
        </w:rPr>
        <w:tab/>
      </w:r>
      <w:r>
        <w:rPr>
          <w:rFonts w:hint="eastAsia" w:asciiTheme="minorEastAsia" w:hAnsiTheme="minorEastAsia" w:eastAsiaTheme="minorEastAsia"/>
          <w:sz w:val="24"/>
        </w:rPr>
        <w:t>450mm × 158mm × 115mm</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重量</w:t>
      </w:r>
      <w:r>
        <w:rPr>
          <w:rFonts w:hint="eastAsia" w:asciiTheme="minorEastAsia" w:hAnsiTheme="minorEastAsia" w:eastAsiaTheme="minorEastAsia"/>
          <w:sz w:val="24"/>
        </w:rPr>
        <w:tab/>
      </w:r>
      <w:r>
        <w:rPr>
          <w:rFonts w:hint="eastAsia" w:asciiTheme="minorEastAsia" w:hAnsiTheme="minorEastAsia" w:eastAsiaTheme="minorEastAsia"/>
          <w:sz w:val="24"/>
        </w:rPr>
        <w:t>2790g</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摄像机内置四颗补光灯珠，亮度可调</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除摄像机内置补光灯珠外，还另外配置光感LED补光灯，在光线弱的场合自动补光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内置语音模块，可以通过软件编辑语音和进行音量调节，满足进出口车辆通行语音播报，包括进出提醒、车牌播报等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内置车辆检测器，可以实现视频和地感双重触发识别</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具备丰富输入、输入接口，包括TCP/IP接口、RS485接口及多路I/O输入输出。</w:t>
      </w:r>
    </w:p>
    <w:p>
      <w:pPr>
        <w:pStyle w:val="2"/>
        <w:spacing w:before="156"/>
        <w:rPr>
          <w:rFonts w:hint="eastAsia" w:asciiTheme="minorEastAsia" w:hAnsiTheme="minorEastAsia" w:eastAsiaTheme="minorEastAsia"/>
          <w:b/>
        </w:rPr>
      </w:pPr>
      <w:bookmarkStart w:id="75" w:name="_Toc285623051"/>
      <w:bookmarkStart w:id="76" w:name="_Toc13200"/>
      <w:bookmarkStart w:id="77" w:name="_Toc379790413"/>
      <w:bookmarkStart w:id="78" w:name="_Toc461096091"/>
      <w:bookmarkStart w:id="79" w:name="_Toc28366"/>
      <w:bookmarkStart w:id="80" w:name="_Toc18317"/>
      <w:bookmarkStart w:id="81" w:name="_Toc8835"/>
      <w:bookmarkStart w:id="82" w:name="_Toc9667"/>
      <w:r>
        <w:rPr>
          <w:rFonts w:hint="eastAsia" w:asciiTheme="minorEastAsia" w:hAnsiTheme="minorEastAsia" w:eastAsiaTheme="minorEastAsia"/>
          <w:b/>
        </w:rPr>
        <w:t>1</w:t>
      </w:r>
      <w:bookmarkEnd w:id="75"/>
      <w:bookmarkEnd w:id="76"/>
      <w:bookmarkEnd w:id="77"/>
      <w:r>
        <w:rPr>
          <w:rFonts w:hint="eastAsia" w:asciiTheme="minorEastAsia" w:hAnsiTheme="minorEastAsia" w:eastAsiaTheme="minorEastAsia"/>
          <w:b/>
          <w:lang w:val="en-US" w:eastAsia="zh-CN"/>
        </w:rPr>
        <w:t>0.</w:t>
      </w:r>
      <w:bookmarkEnd w:id="78"/>
      <w:r>
        <w:rPr>
          <w:rFonts w:hint="eastAsia" w:asciiTheme="minorEastAsia" w:hAnsiTheme="minorEastAsia" w:eastAsiaTheme="minorEastAsia"/>
          <w:b/>
          <w:lang w:val="en-US" w:eastAsia="zh-CN"/>
        </w:rPr>
        <w:t>2平移式电动推拉门</w:t>
      </w:r>
      <w:bookmarkEnd w:id="79"/>
      <w:bookmarkEnd w:id="80"/>
      <w:bookmarkEnd w:id="81"/>
      <w:bookmarkEnd w:id="82"/>
    </w:p>
    <w:p>
      <w:pPr>
        <w:pStyle w:val="3"/>
        <w:spacing w:line="48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快速智能电动道闸。</w:t>
      </w:r>
      <w:r>
        <w:rPr>
          <w:rFonts w:hint="eastAsia" w:asciiTheme="minorEastAsia" w:hAnsiTheme="minorEastAsia" w:eastAsiaTheme="minorEastAsia"/>
          <w:sz w:val="24"/>
          <w:szCs w:val="24"/>
          <w:lang w:val="en-US" w:eastAsia="zh-CN"/>
        </w:rPr>
        <w:t>开门</w:t>
      </w:r>
      <w:r>
        <w:rPr>
          <w:rFonts w:hint="eastAsia" w:asciiTheme="minorEastAsia" w:hAnsiTheme="minorEastAsia" w:eastAsiaTheme="minorEastAsia"/>
          <w:sz w:val="24"/>
          <w:szCs w:val="24"/>
        </w:rPr>
        <w:t>速度小于</w:t>
      </w:r>
      <w:r>
        <w:rPr>
          <w:rFonts w:hint="eastAsia"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rPr>
        <w:t>秒，使用寿命不低于300万次；从刷卡到道闸反应小于0.5秒。</w:t>
      </w:r>
    </w:p>
    <w:p/>
    <w:p>
      <w:pPr>
        <w:pStyle w:val="2"/>
        <w:spacing w:before="156"/>
        <w:rPr>
          <w:rFonts w:hint="eastAsia" w:asciiTheme="minorEastAsia" w:hAnsiTheme="minorEastAsia" w:eastAsiaTheme="minorEastAsia"/>
          <w:b/>
        </w:rPr>
      </w:pPr>
      <w:bookmarkStart w:id="83" w:name="_Toc25832"/>
      <w:bookmarkStart w:id="84" w:name="_Toc23180"/>
      <w:bookmarkStart w:id="85" w:name="_Toc18293"/>
      <w:bookmarkStart w:id="86" w:name="_Toc461096093"/>
      <w:bookmarkStart w:id="87" w:name="_Toc6163"/>
      <w:r>
        <w:rPr>
          <w:rFonts w:hint="eastAsia" w:asciiTheme="minorEastAsia" w:hAnsiTheme="minorEastAsia" w:eastAsiaTheme="minorEastAsia"/>
          <w:b/>
        </w:rPr>
        <w:t>1</w:t>
      </w:r>
      <w:r>
        <w:rPr>
          <w:rFonts w:hint="eastAsia" w:asciiTheme="minorEastAsia" w:hAnsiTheme="minorEastAsia" w:eastAsiaTheme="minorEastAsia"/>
          <w:b/>
          <w:lang w:val="en-US" w:eastAsia="zh-CN"/>
        </w:rPr>
        <w:t>0.3</w:t>
      </w:r>
      <w:r>
        <w:rPr>
          <w:rFonts w:hint="eastAsia" w:asciiTheme="minorEastAsia" w:hAnsiTheme="minorEastAsia" w:eastAsiaTheme="minorEastAsia"/>
          <w:b/>
        </w:rPr>
        <w:t>土建基础与隔离栏杆</w:t>
      </w:r>
      <w:bookmarkEnd w:id="83"/>
      <w:bookmarkEnd w:id="84"/>
      <w:bookmarkEnd w:id="85"/>
      <w:bookmarkEnd w:id="86"/>
      <w:bookmarkEnd w:id="87"/>
    </w:p>
    <w:p>
      <w:pPr>
        <w:pStyle w:val="3"/>
        <w:spacing w:line="48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门禁应设置相适应的土建基础及安全岛，并在周边设置不小于</w:t>
      </w:r>
      <w:r>
        <w:rPr>
          <w:rFonts w:asciiTheme="minorEastAsia" w:hAnsiTheme="minorEastAsia" w:eastAsiaTheme="minorEastAsia"/>
          <w:sz w:val="24"/>
          <w:szCs w:val="24"/>
        </w:rPr>
        <w:t>1</w:t>
      </w:r>
      <w:r>
        <w:rPr>
          <w:rFonts w:hint="eastAsia" w:asciiTheme="minorEastAsia" w:hAnsiTheme="minorEastAsia" w:eastAsiaTheme="minorEastAsia"/>
          <w:sz w:val="24"/>
          <w:szCs w:val="24"/>
        </w:rPr>
        <w:t>米高的的隔离护栏。</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88" w:name="_Toc28531"/>
      <w:bookmarkStart w:id="89" w:name="_Toc8297"/>
      <w:bookmarkStart w:id="90" w:name="_Toc13630"/>
      <w:bookmarkStart w:id="91" w:name="_Toc20024"/>
      <w:r>
        <w:rPr>
          <w:rFonts w:hint="eastAsia" w:asciiTheme="minorEastAsia" w:hAnsiTheme="minorEastAsia" w:eastAsiaTheme="minorEastAsia"/>
          <w:b/>
          <w:spacing w:val="6"/>
          <w:sz w:val="30"/>
          <w:szCs w:val="30"/>
        </w:rPr>
        <w:t>11.车牌识别环境要求</w:t>
      </w:r>
      <w:bookmarkEnd w:id="88"/>
      <w:bookmarkEnd w:id="89"/>
      <w:bookmarkEnd w:id="90"/>
      <w:bookmarkEnd w:id="91"/>
    </w:p>
    <w:p>
      <w:pPr>
        <w:pStyle w:val="2"/>
        <w:spacing w:before="156"/>
        <w:rPr>
          <w:rFonts w:hint="eastAsia" w:asciiTheme="minorEastAsia" w:hAnsiTheme="minorEastAsia" w:eastAsiaTheme="minorEastAsia"/>
          <w:b/>
        </w:rPr>
      </w:pPr>
      <w:bookmarkStart w:id="92" w:name="_Toc21698"/>
      <w:bookmarkStart w:id="93" w:name="_Toc32453"/>
      <w:bookmarkStart w:id="94" w:name="_Toc4396"/>
      <w:bookmarkStart w:id="95" w:name="_Toc26397"/>
      <w:r>
        <w:rPr>
          <w:rFonts w:hint="eastAsia" w:asciiTheme="minorEastAsia" w:hAnsiTheme="minorEastAsia" w:eastAsiaTheme="minorEastAsia"/>
          <w:b/>
        </w:rPr>
        <w:t>1</w:t>
      </w:r>
      <w:r>
        <w:rPr>
          <w:rFonts w:hint="eastAsia" w:asciiTheme="minorEastAsia" w:hAnsiTheme="minorEastAsia" w:eastAsiaTheme="minorEastAsia"/>
          <w:b/>
          <w:lang w:val="en-US" w:eastAsia="zh-CN"/>
        </w:rPr>
        <w:t>1.1</w:t>
      </w:r>
      <w:r>
        <w:rPr>
          <w:rFonts w:hint="eastAsia" w:asciiTheme="minorEastAsia" w:hAnsiTheme="minorEastAsia" w:eastAsiaTheme="minorEastAsia"/>
          <w:b/>
        </w:rPr>
        <w:t>系统适用范围</w:t>
      </w:r>
      <w:bookmarkEnd w:id="92"/>
      <w:bookmarkEnd w:id="93"/>
      <w:bookmarkEnd w:id="94"/>
      <w:bookmarkEnd w:id="95"/>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此系统适用于进出口较直的停车场，有转弯入场或转弯出场的车道，不适合采用车牌识别，有弯道的车道由于车辆进出倾斜太厉害严重影响车牌识别准确率。</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一 </w:t>
      </w:r>
      <w:r>
        <w:rPr>
          <w:rFonts w:hint="eastAsia" w:asciiTheme="minorEastAsia" w:hAnsiTheme="minorEastAsia" w:eastAsiaTheme="minorEastAsia"/>
          <w:sz w:val="24"/>
          <w:szCs w:val="24"/>
        </w:rPr>
        <w:t>进口车道环境要求：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从车辆入场到入口道闸距离</w:t>
      </w:r>
      <w:r>
        <w:rPr>
          <w:rFonts w:hint="eastAsia" w:asciiTheme="minorEastAsia" w:hAnsiTheme="minorEastAsia" w:eastAsiaTheme="minorEastAsia"/>
          <w:sz w:val="24"/>
          <w:szCs w:val="24"/>
          <w:lang w:val="en-US" w:eastAsia="zh-CN"/>
        </w:rPr>
        <w:t>&gt;</w:t>
      </w:r>
      <w:r>
        <w:rPr>
          <w:rFonts w:hint="eastAsia" w:asciiTheme="minorEastAsia" w:hAnsiTheme="minorEastAsia" w:eastAsiaTheme="minorEastAsia"/>
          <w:sz w:val="24"/>
          <w:szCs w:val="24"/>
        </w:rPr>
        <w:t>3米，5米距离最佳；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入口车道宽度</w:t>
      </w:r>
      <w:r>
        <w:rPr>
          <w:rFonts w:hint="eastAsia" w:asciiTheme="minorEastAsia" w:hAnsiTheme="minorEastAsia" w:eastAsiaTheme="minorEastAsia"/>
          <w:sz w:val="24"/>
          <w:szCs w:val="24"/>
          <w:lang w:val="en-US" w:eastAsia="zh-CN"/>
        </w:rPr>
        <w:t>&lt;</w:t>
      </w:r>
      <w:r>
        <w:rPr>
          <w:rFonts w:hint="eastAsia" w:asciiTheme="minorEastAsia" w:hAnsiTheme="minorEastAsia" w:eastAsiaTheme="minorEastAsia"/>
          <w:sz w:val="24"/>
          <w:szCs w:val="24"/>
        </w:rPr>
        <w:t>4米；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二 </w:t>
      </w:r>
      <w:r>
        <w:rPr>
          <w:rFonts w:hint="eastAsia" w:asciiTheme="minorEastAsia" w:hAnsiTheme="minorEastAsia" w:eastAsiaTheme="minorEastAsia"/>
          <w:sz w:val="24"/>
          <w:szCs w:val="24"/>
        </w:rPr>
        <w:t>进口车道环境要求：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从车辆出场到出口道闸距离</w:t>
      </w:r>
      <w:r>
        <w:rPr>
          <w:rFonts w:hint="eastAsia" w:asciiTheme="minorEastAsia" w:hAnsiTheme="minorEastAsia" w:eastAsiaTheme="minorEastAsia"/>
          <w:sz w:val="24"/>
          <w:szCs w:val="24"/>
          <w:lang w:val="en-US" w:eastAsia="zh-CN"/>
        </w:rPr>
        <w:t>&gt;</w:t>
      </w:r>
      <w:r>
        <w:rPr>
          <w:rFonts w:hint="eastAsia" w:asciiTheme="minorEastAsia" w:hAnsiTheme="minorEastAsia" w:eastAsiaTheme="minorEastAsia"/>
          <w:sz w:val="24"/>
          <w:szCs w:val="24"/>
        </w:rPr>
        <w:t>3米，5米距离最佳；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出口车道宽度</w:t>
      </w:r>
      <w:r>
        <w:rPr>
          <w:rFonts w:hint="eastAsia" w:asciiTheme="minorEastAsia" w:hAnsiTheme="minorEastAsia" w:eastAsiaTheme="minorEastAsia"/>
          <w:sz w:val="24"/>
          <w:szCs w:val="24"/>
          <w:lang w:val="en-US" w:eastAsia="zh-CN"/>
        </w:rPr>
        <w:t>&lt;</w:t>
      </w:r>
      <w:r>
        <w:rPr>
          <w:rFonts w:hint="eastAsia" w:asciiTheme="minorEastAsia" w:hAnsiTheme="minorEastAsia" w:eastAsiaTheme="minorEastAsia"/>
          <w:sz w:val="24"/>
          <w:szCs w:val="24"/>
        </w:rPr>
        <w:t>4米；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如环境达不到以上要加，必须配卡作为辅助。</w:t>
      </w:r>
    </w:p>
    <w:p>
      <w:pPr>
        <w:pStyle w:val="2"/>
        <w:spacing w:before="156"/>
        <w:rPr>
          <w:rFonts w:hint="eastAsia" w:asciiTheme="minorEastAsia" w:hAnsiTheme="minorEastAsia" w:eastAsiaTheme="minorEastAsia"/>
          <w:b/>
        </w:rPr>
      </w:pPr>
      <w:bookmarkStart w:id="96" w:name="_Toc30299"/>
      <w:bookmarkStart w:id="97" w:name="_Toc9065"/>
      <w:bookmarkStart w:id="98" w:name="_Toc17487"/>
      <w:bookmarkStart w:id="99" w:name="_Toc17028"/>
      <w:r>
        <w:rPr>
          <w:rFonts w:hint="eastAsia" w:asciiTheme="minorEastAsia" w:hAnsiTheme="minorEastAsia" w:eastAsiaTheme="minorEastAsia"/>
          <w:b/>
          <w:lang w:val="en-US" w:eastAsia="zh-CN"/>
        </w:rPr>
        <w:t>11.2</w:t>
      </w:r>
      <w:r>
        <w:rPr>
          <w:rFonts w:hint="eastAsia" w:asciiTheme="minorEastAsia" w:hAnsiTheme="minorEastAsia" w:eastAsiaTheme="minorEastAsia"/>
          <w:b/>
        </w:rPr>
        <w:t>车牌识别运行环境要求</w:t>
      </w:r>
      <w:bookmarkEnd w:id="96"/>
      <w:bookmarkEnd w:id="97"/>
      <w:bookmarkEnd w:id="98"/>
      <w:bookmarkEnd w:id="99"/>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电脑配置：Intel 酷睿2双核CPU（2.1G以上）+ 2G内存 + 250GB硬盘(对于无速度要求的应用可降低硬件要求)；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操作系统：Microsoft Windows XP/2000/2003/WIN7 + Microsoft DirectX9；</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显示卡：最好为独立内存显卡，颜色质量最好设置为16位增强色；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摄像机：嵌入式一体化摄像机，无需后端分析服务器即可实现视频检测车辆、抓拍车辆图片并识别相关车辆信息。</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00" w:name="_Toc21"/>
      <w:bookmarkStart w:id="101" w:name="_Toc18337"/>
      <w:bookmarkStart w:id="102" w:name="_Toc8601"/>
      <w:bookmarkStart w:id="103" w:name="_Toc506"/>
      <w:r>
        <w:rPr>
          <w:rFonts w:hint="eastAsia" w:asciiTheme="minorEastAsia" w:hAnsiTheme="minorEastAsia" w:eastAsiaTheme="minorEastAsia"/>
          <w:b/>
          <w:spacing w:val="6"/>
          <w:sz w:val="30"/>
          <w:szCs w:val="30"/>
        </w:rPr>
        <w:t>12.车牌识别系统工作流程</w:t>
      </w:r>
      <w:bookmarkEnd w:id="100"/>
      <w:bookmarkEnd w:id="101"/>
      <w:bookmarkEnd w:id="102"/>
      <w:bookmarkEnd w:id="103"/>
    </w:p>
    <w:p>
      <w:pPr>
        <w:pStyle w:val="2"/>
        <w:spacing w:before="156"/>
        <w:rPr>
          <w:rFonts w:hint="eastAsia" w:asciiTheme="minorEastAsia" w:hAnsiTheme="minorEastAsia" w:eastAsiaTheme="minorEastAsia"/>
          <w:b/>
        </w:rPr>
      </w:pPr>
      <w:bookmarkStart w:id="104" w:name="_Toc38"/>
      <w:bookmarkStart w:id="105" w:name="_Toc20998"/>
      <w:bookmarkStart w:id="106" w:name="_Toc18113"/>
      <w:bookmarkStart w:id="107" w:name="_Toc19442"/>
      <w:r>
        <w:rPr>
          <w:rFonts w:hint="eastAsia" w:asciiTheme="minorEastAsia" w:hAnsiTheme="minorEastAsia" w:eastAsiaTheme="minorEastAsia"/>
          <w:b/>
        </w:rPr>
        <w:t>12.1. 入场流程</w:t>
      </w:r>
      <w:bookmarkEnd w:id="104"/>
      <w:bookmarkEnd w:id="105"/>
      <w:bookmarkEnd w:id="106"/>
      <w:bookmarkEnd w:id="107"/>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车辆入场，驶入到有效识别区，识别模块收到地感信号，开始触发识别车牌号码（触发识别）；视频识别为车辆车牌在视频范围内开始识别；如果识别到车牌号码，到系统数据库比对，判断有效则开闸入场,并记录入场记录，保存图像；</w:t>
      </w:r>
    </w:p>
    <w:p>
      <w:pPr>
        <w:spacing w:line="360" w:lineRule="auto"/>
        <w:ind w:left="1260" w:leftChars="600" w:firstLine="480" w:firstLineChars="200"/>
        <w:rPr>
          <w:rFonts w:ascii="宋体" w:hAnsi="宋体" w:eastAsia="宋体"/>
          <w:color w:val="FF0000"/>
          <w:sz w:val="24"/>
          <w:szCs w:val="24"/>
        </w:rPr>
      </w:pPr>
    </w:p>
    <w:p>
      <w:pPr>
        <w:spacing w:line="360" w:lineRule="auto"/>
        <w:ind w:left="900"/>
        <w:rPr>
          <w:rFonts w:ascii="宋体" w:hAnsi="宋体"/>
          <w:color w:val="FF0000"/>
          <w:sz w:val="24"/>
          <w:szCs w:val="24"/>
        </w:rPr>
      </w:pPr>
      <w:r>
        <w:rPr>
          <w:rFonts w:ascii="宋体" w:hAnsi="宋体"/>
          <w:color w:val="FF0000"/>
          <w:sz w:val="24"/>
          <w:szCs w:val="24"/>
        </w:rPr>
        <mc:AlternateContent>
          <mc:Choice Requires="wpg">
            <w:drawing>
              <wp:inline distT="0" distB="0" distL="0" distR="0">
                <wp:extent cx="3863340" cy="4419600"/>
                <wp:effectExtent l="0" t="0" r="0" b="0"/>
                <wp:docPr id="59" name="组合 59"/>
                <wp:cNvGraphicFramePr/>
                <a:graphic xmlns:a="http://schemas.openxmlformats.org/drawingml/2006/main">
                  <a:graphicData uri="http://schemas.microsoft.com/office/word/2010/wordprocessingGroup">
                    <wpg:wgp>
                      <wpg:cNvGrpSpPr/>
                      <wpg:grpSpPr>
                        <a:xfrm>
                          <a:off x="0" y="0"/>
                          <a:ext cx="3863340" cy="4419600"/>
                          <a:chOff x="0" y="0"/>
                          <a:chExt cx="5400" cy="5616"/>
                        </a:xfrm>
                      </wpg:grpSpPr>
                      <wps:wsp>
                        <wps:cNvPr id="60" name="AutoShape 38"/>
                        <wps:cNvSpPr>
                          <a:spLocks noChangeAspect="1" noChangeArrowheads="1" noTextEdit="1"/>
                        </wps:cNvSpPr>
                        <wps:spPr bwMode="auto">
                          <a:xfrm>
                            <a:off x="0" y="0"/>
                            <a:ext cx="5400" cy="5616"/>
                          </a:xfrm>
                          <a:prstGeom prst="rect">
                            <a:avLst/>
                          </a:prstGeom>
                          <a:noFill/>
                          <a:ln>
                            <a:noFill/>
                          </a:ln>
                        </wps:spPr>
                        <wps:bodyPr rot="0" vert="horz" wrap="square" lIns="91440" tIns="45720" rIns="91440" bIns="45720" anchor="t" anchorCtr="0" upright="1">
                          <a:noAutofit/>
                        </wps:bodyPr>
                      </wps:wsp>
                      <wps:wsp>
                        <wps:cNvPr id="61" name="Rectangle 39"/>
                        <wps:cNvSpPr>
                          <a:spLocks noChangeArrowheads="1"/>
                        </wps:cNvSpPr>
                        <wps:spPr bwMode="auto">
                          <a:xfrm>
                            <a:off x="1260" y="156"/>
                            <a:ext cx="1440" cy="467"/>
                          </a:xfrm>
                          <a:prstGeom prst="rect">
                            <a:avLst/>
                          </a:prstGeom>
                          <a:solidFill>
                            <a:srgbClr val="FFFFFF"/>
                          </a:solidFill>
                          <a:ln w="9525">
                            <a:solidFill>
                              <a:srgbClr val="000000"/>
                            </a:solidFill>
                            <a:miter lim="800000"/>
                          </a:ln>
                        </wps:spPr>
                        <wps:txbx>
                          <w:txbxContent>
                            <w:p>
                              <w:pPr>
                                <w:jc w:val="center"/>
                              </w:pPr>
                              <w:r>
                                <w:rPr>
                                  <w:rFonts w:hint="eastAsia"/>
                                </w:rPr>
                                <w:t>车辆入场</w:t>
                              </w:r>
                            </w:p>
                          </w:txbxContent>
                        </wps:txbx>
                        <wps:bodyPr rot="0" vert="horz" wrap="square" lIns="91440" tIns="45720" rIns="91440" bIns="45720" anchor="t" anchorCtr="0" upright="1">
                          <a:noAutofit/>
                        </wps:bodyPr>
                      </wps:wsp>
                      <wps:wsp>
                        <wps:cNvPr id="62" name="Line 40"/>
                        <wps:cNvCnPr/>
                        <wps:spPr bwMode="auto">
                          <a:xfrm>
                            <a:off x="1980" y="623"/>
                            <a:ext cx="0" cy="313"/>
                          </a:xfrm>
                          <a:prstGeom prst="line">
                            <a:avLst/>
                          </a:prstGeom>
                          <a:noFill/>
                          <a:ln w="9525">
                            <a:solidFill>
                              <a:srgbClr val="000000"/>
                            </a:solidFill>
                            <a:round/>
                            <a:tailEnd type="triangle" w="med" len="med"/>
                          </a:ln>
                        </wps:spPr>
                        <wps:bodyPr/>
                      </wps:wsp>
                      <wps:wsp>
                        <wps:cNvPr id="63" name="Rectangle 41"/>
                        <wps:cNvSpPr>
                          <a:spLocks noChangeArrowheads="1"/>
                        </wps:cNvSpPr>
                        <wps:spPr bwMode="auto">
                          <a:xfrm>
                            <a:off x="901" y="937"/>
                            <a:ext cx="2159" cy="467"/>
                          </a:xfrm>
                          <a:prstGeom prst="rect">
                            <a:avLst/>
                          </a:prstGeom>
                          <a:solidFill>
                            <a:srgbClr val="FFFFFF"/>
                          </a:solidFill>
                          <a:ln w="9525">
                            <a:solidFill>
                              <a:srgbClr val="000000"/>
                            </a:solidFill>
                            <a:miter lim="800000"/>
                          </a:ln>
                        </wps:spPr>
                        <wps:txbx>
                          <w:txbxContent>
                            <w:p>
                              <w:pPr>
                                <w:jc w:val="center"/>
                              </w:pPr>
                              <w:r>
                                <w:rPr>
                                  <w:rFonts w:hint="eastAsia"/>
                                </w:rPr>
                                <w:t>自动识别车牌</w:t>
                              </w:r>
                            </w:p>
                          </w:txbxContent>
                        </wps:txbx>
                        <wps:bodyPr rot="0" vert="horz" wrap="square" lIns="91440" tIns="45720" rIns="91440" bIns="45720" anchor="t" anchorCtr="0" upright="1">
                          <a:noAutofit/>
                        </wps:bodyPr>
                      </wps:wsp>
                      <wps:wsp>
                        <wps:cNvPr id="64" name="Line 42"/>
                        <wps:cNvCnPr/>
                        <wps:spPr bwMode="auto">
                          <a:xfrm>
                            <a:off x="1980" y="1404"/>
                            <a:ext cx="0" cy="468"/>
                          </a:xfrm>
                          <a:prstGeom prst="line">
                            <a:avLst/>
                          </a:prstGeom>
                          <a:noFill/>
                          <a:ln w="9525">
                            <a:solidFill>
                              <a:srgbClr val="000000"/>
                            </a:solidFill>
                            <a:round/>
                            <a:tailEnd type="triangle" w="med" len="med"/>
                          </a:ln>
                        </wps:spPr>
                        <wps:bodyPr/>
                      </wps:wsp>
                      <wps:wsp>
                        <wps:cNvPr id="65" name="AutoShape 43"/>
                        <wps:cNvSpPr>
                          <a:spLocks noChangeArrowheads="1"/>
                        </wps:cNvSpPr>
                        <wps:spPr bwMode="auto">
                          <a:xfrm>
                            <a:off x="540" y="1872"/>
                            <a:ext cx="2880" cy="936"/>
                          </a:xfrm>
                          <a:prstGeom prst="diamond">
                            <a:avLst/>
                          </a:prstGeom>
                          <a:solidFill>
                            <a:srgbClr val="FFFFFF"/>
                          </a:solidFill>
                          <a:ln w="9525">
                            <a:solidFill>
                              <a:srgbClr val="000000"/>
                            </a:solidFill>
                            <a:miter lim="800000"/>
                          </a:ln>
                        </wps:spPr>
                        <wps:txbx>
                          <w:txbxContent>
                            <w:p>
                              <w:r>
                                <w:rPr>
                                  <w:rFonts w:hint="eastAsia"/>
                                </w:rPr>
                                <w:t>判断识别结果</w:t>
                              </w:r>
                            </w:p>
                          </w:txbxContent>
                        </wps:txbx>
                        <wps:bodyPr rot="0" vert="horz" wrap="square" lIns="91440" tIns="45720" rIns="91440" bIns="45720" anchor="t" anchorCtr="0" upright="1">
                          <a:noAutofit/>
                        </wps:bodyPr>
                      </wps:wsp>
                      <wps:wsp>
                        <wps:cNvPr id="66" name="Line 44"/>
                        <wps:cNvCnPr/>
                        <wps:spPr bwMode="auto">
                          <a:xfrm>
                            <a:off x="1980" y="2808"/>
                            <a:ext cx="1" cy="468"/>
                          </a:xfrm>
                          <a:prstGeom prst="line">
                            <a:avLst/>
                          </a:prstGeom>
                          <a:noFill/>
                          <a:ln w="9525">
                            <a:solidFill>
                              <a:srgbClr val="000000"/>
                            </a:solidFill>
                            <a:round/>
                            <a:tailEnd type="triangle" w="med" len="med"/>
                          </a:ln>
                        </wps:spPr>
                        <wps:bodyPr/>
                      </wps:wsp>
                      <wps:wsp>
                        <wps:cNvPr id="67" name="Rectangle 45"/>
                        <wps:cNvSpPr>
                          <a:spLocks noChangeArrowheads="1"/>
                        </wps:cNvSpPr>
                        <wps:spPr bwMode="auto">
                          <a:xfrm>
                            <a:off x="1260" y="3276"/>
                            <a:ext cx="1440" cy="467"/>
                          </a:xfrm>
                          <a:prstGeom prst="rect">
                            <a:avLst/>
                          </a:prstGeom>
                          <a:solidFill>
                            <a:srgbClr val="FFFFFF"/>
                          </a:solidFill>
                          <a:ln w="9525">
                            <a:solidFill>
                              <a:srgbClr val="000000"/>
                            </a:solidFill>
                            <a:miter lim="800000"/>
                          </a:ln>
                        </wps:spPr>
                        <wps:txbx>
                          <w:txbxContent>
                            <w:p>
                              <w:pPr>
                                <w:jc w:val="center"/>
                              </w:pPr>
                              <w:r>
                                <w:rPr>
                                  <w:rFonts w:hint="eastAsia"/>
                                </w:rPr>
                                <w:t>识别通过</w:t>
                              </w:r>
                            </w:p>
                          </w:txbxContent>
                        </wps:txbx>
                        <wps:bodyPr rot="0" vert="horz" wrap="square" lIns="91440" tIns="45720" rIns="91440" bIns="45720" anchor="t" anchorCtr="0" upright="1">
                          <a:noAutofit/>
                        </wps:bodyPr>
                      </wps:wsp>
                      <wps:wsp>
                        <wps:cNvPr id="68" name="Line 46"/>
                        <wps:cNvCnPr/>
                        <wps:spPr bwMode="auto">
                          <a:xfrm>
                            <a:off x="1980" y="3744"/>
                            <a:ext cx="1" cy="624"/>
                          </a:xfrm>
                          <a:prstGeom prst="line">
                            <a:avLst/>
                          </a:prstGeom>
                          <a:noFill/>
                          <a:ln w="9525">
                            <a:solidFill>
                              <a:srgbClr val="000000"/>
                            </a:solidFill>
                            <a:round/>
                            <a:tailEnd type="triangle" w="med" len="med"/>
                          </a:ln>
                        </wps:spPr>
                        <wps:bodyPr/>
                      </wps:wsp>
                      <wps:wsp>
                        <wps:cNvPr id="69" name="Rectangle 47"/>
                        <wps:cNvSpPr>
                          <a:spLocks noChangeArrowheads="1"/>
                        </wps:cNvSpPr>
                        <wps:spPr bwMode="auto">
                          <a:xfrm>
                            <a:off x="3240" y="2964"/>
                            <a:ext cx="1620" cy="936"/>
                          </a:xfrm>
                          <a:prstGeom prst="rect">
                            <a:avLst/>
                          </a:prstGeom>
                          <a:solidFill>
                            <a:srgbClr val="FFFFFF"/>
                          </a:solidFill>
                          <a:ln w="9525">
                            <a:solidFill>
                              <a:srgbClr val="000000"/>
                            </a:solidFill>
                            <a:miter lim="800000"/>
                          </a:ln>
                        </wps:spPr>
                        <wps:txbx>
                          <w:txbxContent>
                            <w:p>
                              <w:pPr>
                                <w:jc w:val="center"/>
                              </w:pPr>
                              <w:r>
                                <w:rPr>
                                  <w:rFonts w:hint="eastAsia"/>
                                </w:rPr>
                                <w:t>识别不通过</w:t>
                              </w:r>
                            </w:p>
                            <w:p>
                              <w:pPr>
                                <w:jc w:val="center"/>
                              </w:pPr>
                              <w:r>
                                <w:rPr>
                                  <w:rFonts w:hint="eastAsia"/>
                                </w:rPr>
                                <w:t>人工处理</w:t>
                              </w:r>
                            </w:p>
                          </w:txbxContent>
                        </wps:txbx>
                        <wps:bodyPr rot="0" vert="horz" wrap="square" lIns="91440" tIns="45720" rIns="91440" bIns="45720" anchor="t" anchorCtr="0" upright="1">
                          <a:noAutofit/>
                        </wps:bodyPr>
                      </wps:wsp>
                      <wps:wsp>
                        <wps:cNvPr id="70" name="Line 48"/>
                        <wps:cNvCnPr/>
                        <wps:spPr bwMode="auto">
                          <a:xfrm>
                            <a:off x="3420" y="2340"/>
                            <a:ext cx="540" cy="0"/>
                          </a:xfrm>
                          <a:prstGeom prst="line">
                            <a:avLst/>
                          </a:prstGeom>
                          <a:noFill/>
                          <a:ln w="9525">
                            <a:solidFill>
                              <a:srgbClr val="000000"/>
                            </a:solidFill>
                            <a:round/>
                          </a:ln>
                        </wps:spPr>
                        <wps:bodyPr/>
                      </wps:wsp>
                      <wps:wsp>
                        <wps:cNvPr id="71" name="Line 49"/>
                        <wps:cNvCnPr/>
                        <wps:spPr bwMode="auto">
                          <a:xfrm>
                            <a:off x="3960" y="2340"/>
                            <a:ext cx="1" cy="624"/>
                          </a:xfrm>
                          <a:prstGeom prst="line">
                            <a:avLst/>
                          </a:prstGeom>
                          <a:noFill/>
                          <a:ln w="9525">
                            <a:solidFill>
                              <a:srgbClr val="000000"/>
                            </a:solidFill>
                            <a:round/>
                            <a:tailEnd type="triangle" w="med" len="med"/>
                          </a:ln>
                        </wps:spPr>
                        <wps:bodyPr/>
                      </wps:wsp>
                      <wps:wsp>
                        <wps:cNvPr id="72" name="Rectangle 50"/>
                        <wps:cNvSpPr>
                          <a:spLocks noChangeArrowheads="1"/>
                        </wps:cNvSpPr>
                        <wps:spPr bwMode="auto">
                          <a:xfrm>
                            <a:off x="2160" y="4836"/>
                            <a:ext cx="1440" cy="467"/>
                          </a:xfrm>
                          <a:prstGeom prst="rect">
                            <a:avLst/>
                          </a:prstGeom>
                          <a:solidFill>
                            <a:srgbClr val="FFFFFF"/>
                          </a:solidFill>
                          <a:ln w="9525">
                            <a:solidFill>
                              <a:srgbClr val="000000"/>
                            </a:solidFill>
                            <a:miter lim="800000"/>
                          </a:ln>
                        </wps:spPr>
                        <wps:txbx>
                          <w:txbxContent>
                            <w:p>
                              <w:pPr>
                                <w:jc w:val="center"/>
                              </w:pPr>
                              <w:r>
                                <w:rPr>
                                  <w:rFonts w:hint="eastAsia"/>
                                </w:rPr>
                                <w:t>开闸</w:t>
                              </w:r>
                            </w:p>
                          </w:txbxContent>
                        </wps:txbx>
                        <wps:bodyPr rot="0" vert="horz" wrap="square" lIns="91440" tIns="45720" rIns="91440" bIns="45720" anchor="t" anchorCtr="0" upright="1">
                          <a:noAutofit/>
                        </wps:bodyPr>
                      </wps:wsp>
                      <wps:wsp>
                        <wps:cNvPr id="73" name="Line 51"/>
                        <wps:cNvCnPr/>
                        <wps:spPr bwMode="auto">
                          <a:xfrm>
                            <a:off x="3960" y="3900"/>
                            <a:ext cx="1" cy="468"/>
                          </a:xfrm>
                          <a:prstGeom prst="line">
                            <a:avLst/>
                          </a:prstGeom>
                          <a:noFill/>
                          <a:ln w="9525">
                            <a:solidFill>
                              <a:srgbClr val="000000"/>
                            </a:solidFill>
                            <a:round/>
                            <a:tailEnd type="triangle" w="med" len="med"/>
                          </a:ln>
                        </wps:spPr>
                        <wps:bodyPr/>
                      </wps:wsp>
                      <wps:wsp>
                        <wps:cNvPr id="74" name="Line 52"/>
                        <wps:cNvCnPr/>
                        <wps:spPr bwMode="auto">
                          <a:xfrm>
                            <a:off x="1980" y="4368"/>
                            <a:ext cx="1980" cy="0"/>
                          </a:xfrm>
                          <a:prstGeom prst="line">
                            <a:avLst/>
                          </a:prstGeom>
                          <a:noFill/>
                          <a:ln w="9525">
                            <a:solidFill>
                              <a:srgbClr val="000000"/>
                            </a:solidFill>
                            <a:round/>
                          </a:ln>
                        </wps:spPr>
                        <wps:bodyPr/>
                      </wps:wsp>
                      <wps:wsp>
                        <wps:cNvPr id="75" name="Line 53"/>
                        <wps:cNvCnPr/>
                        <wps:spPr bwMode="auto">
                          <a:xfrm>
                            <a:off x="2880" y="4368"/>
                            <a:ext cx="0" cy="468"/>
                          </a:xfrm>
                          <a:prstGeom prst="line">
                            <a:avLst/>
                          </a:prstGeom>
                          <a:noFill/>
                          <a:ln w="9525">
                            <a:solidFill>
                              <a:srgbClr val="000000"/>
                            </a:solidFill>
                            <a:round/>
                            <a:tailEnd type="triangle" w="med" len="med"/>
                          </a:ln>
                        </wps:spPr>
                        <wps:bodyPr/>
                      </wps:wsp>
                    </wpg:wgp>
                  </a:graphicData>
                </a:graphic>
              </wp:inline>
            </w:drawing>
          </mc:Choice>
          <mc:Fallback>
            <w:pict>
              <v:group id="_x0000_s1026" o:spid="_x0000_s1026" o:spt="203" style="height:348pt;width:304.2pt;" coordsize="5400,5616" o:gfxdata="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">
                <o:lock v:ext="edit" aspectratio="f"/>
                <v:rect id="AutoShape 38" o:spid="_x0000_s1026" o:spt="1" style="position:absolute;left:0;top:0;height:5616;width:5400;" filled="f" stroked="f" coordsize="21600,21600" o:gfxdata="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DnXbbsAAADb&#10;AAAADwAAAAAAAAABACAAAAAiAAAAZHJzL2Rvd25yZXYueG1sUEsBAhQAFAAAAAgAh07iQDMvBZ47&#10;AAAAOQAAABAAAAAAAAAAAQAgAAAACgEAAGRycy9zaGFwZXhtbC54bWxQSwUGAAAAAAYABgBbAQAA&#10;tAMAAAAA&#10;">
                  <v:fill on="f" focussize="0,0"/>
                  <v:stroke on="f"/>
                  <v:imagedata o:title=""/>
                  <o:lock v:ext="edit" text="t" aspectratio="t"/>
                </v:rect>
                <v:rect id="Rectangle 39" o:spid="_x0000_s1026" o:spt="1" style="position:absolute;left:1260;top:156;height:467;width:1440;" fillcolor="#FFFFFF" filled="t" stroked="t" coordsize="21600,21600" o:gfxdata="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LWyHe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pPr>
                        <w:r>
                          <w:rPr>
                            <w:rFonts w:hint="eastAsia"/>
                          </w:rPr>
                          <w:t>车辆入场</w:t>
                        </w:r>
                      </w:p>
                    </w:txbxContent>
                  </v:textbox>
                </v:rect>
                <v:line id="Line 40" o:spid="_x0000_s1026" o:spt="20" style="position:absolute;left:1980;top:623;height:313;width:0;" filled="f" stroked="t" coordsize="21600,21600" o:gfxdata="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G0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Rectangle 41" o:spid="_x0000_s1026" o:spt="1" style="position:absolute;left:901;top:937;height:467;width:2159;" fillcolor="#FFFFFF" filled="t" stroked="t" coordsize="21600,21600" o:gfxdata="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SPOb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pPr>
                        <w:r>
                          <w:rPr>
                            <w:rFonts w:hint="eastAsia"/>
                          </w:rPr>
                          <w:t>自动识别车牌</w:t>
                        </w:r>
                      </w:p>
                    </w:txbxContent>
                  </v:textbox>
                </v:rect>
                <v:line id="Line 42" o:spid="_x0000_s1026" o:spt="20" style="position:absolute;left:1980;top:1404;height:468;width:0;" filled="f" stroked="t" coordsize="21600,21600" o:gfxdata="UEsDBAoAAAAAAIdO4kAAAAAAAAAAAAAAAAAEAAAAZHJzL1BLAwQUAAAACACHTuJATpSJ1b8AAADb&#10;AAAADwAAAGRycy9kb3ducmV2LnhtbEWPT2vCQBTE74LfYXmCN92kF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Uid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AutoShape 43" o:spid="_x0000_s1026" o:spt="4" type="#_x0000_t4" style="position:absolute;left:540;top:1872;height:936;width:2880;" fillcolor="#FFFFFF" filled="t" stroked="t" coordsize="21600,21600" o:gfxdata="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R6ki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r>
                          <w:rPr>
                            <w:rFonts w:hint="eastAsia"/>
                          </w:rPr>
                          <w:t>判断识别结果</w:t>
                        </w:r>
                      </w:p>
                    </w:txbxContent>
                  </v:textbox>
                </v:shape>
                <v:line id="Line 44" o:spid="_x0000_s1026" o:spt="20" style="position:absolute;left:1980;top:2808;height:468;width:1;" filled="f" stroked="t" coordsize="21600,21600" o:gfxdata="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Ksj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45" o:spid="_x0000_s1026" o:spt="1" style="position:absolute;left:1260;top:3276;height:467;width:1440;" fillcolor="#FFFFFF" filled="t" stroked="t" coordsize="21600,21600" o:gfxdata="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P1m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pPr>
                        <w:r>
                          <w:rPr>
                            <w:rFonts w:hint="eastAsia"/>
                          </w:rPr>
                          <w:t>识别通过</w:t>
                        </w:r>
                      </w:p>
                    </w:txbxContent>
                  </v:textbox>
                </v:rect>
                <v:line id="Line 46" o:spid="_x0000_s1026" o:spt="20" style="position:absolute;left:1980;top:3744;height:624;width:1;" filled="f" stroked="t" coordsize="21600,21600" o:gfxdata="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9mD0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Rectangle 47" o:spid="_x0000_s1026" o:spt="1" style="position:absolute;left:3240;top:2964;height:936;width:1620;" fillcolor="#FFFFFF" filled="t" stroked="t" coordsize="21600,21600" o:gfxdata="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DEc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jc w:val="center"/>
                        </w:pPr>
                        <w:r>
                          <w:rPr>
                            <w:rFonts w:hint="eastAsia"/>
                          </w:rPr>
                          <w:t>识别不通过</w:t>
                        </w:r>
                      </w:p>
                      <w:p>
                        <w:pPr>
                          <w:jc w:val="center"/>
                        </w:pPr>
                        <w:r>
                          <w:rPr>
                            <w:rFonts w:hint="eastAsia"/>
                          </w:rPr>
                          <w:t>人工处理</w:t>
                        </w:r>
                      </w:p>
                    </w:txbxContent>
                  </v:textbox>
                </v:rect>
                <v:line id="Line 48" o:spid="_x0000_s1026" o:spt="20" style="position:absolute;left:3420;top:2340;height:0;width:540;" filled="f" stroked="t" coordsize="21600,21600" o:gfxdata="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4zUI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Line 49" o:spid="_x0000_s1026" o:spt="20" style="position:absolute;left:3960;top:2340;height:624;width:1;" filled="f" stroked="t" coordsize="21600,21600" o:gfxdata="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zq8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Rectangle 50" o:spid="_x0000_s1026" o:spt="1" style="position:absolute;left:2160;top:4836;height:467;width:1440;" fillcolor="#FFFFFF" filled="t" stroked="t" coordsize="21600,21600" o:gfxdata="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3cDd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pPr>
                        <w:r>
                          <w:rPr>
                            <w:rFonts w:hint="eastAsia"/>
                          </w:rPr>
                          <w:t>开闸</w:t>
                        </w:r>
                      </w:p>
                    </w:txbxContent>
                  </v:textbox>
                </v:rect>
                <v:line id="Line 51" o:spid="_x0000_s1026" o:spt="20" style="position:absolute;left:3960;top:3900;height:468;width:1;" filled="f" stroked="t" coordsize="21600,21600" o:gfxdata="UEsDBAoAAAAAAIdO4kAAAAAAAAAAAAAAAAAEAAAAZHJzL1BLAwQUAAAACACHTuJARKSHfL8AAADb&#10;AAAADwAAAGRycy9kb3ducmV2LnhtbEWPT2vCQBTE7wW/w/KE3uomFmqI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kh3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52" o:spid="_x0000_s1026" o:spt="20" style="position:absolute;left:1980;top:4368;height:0;width:1980;" filled="f" stroked="t" coordsize="21600,21600" o:gfxdata="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YMwu/&#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Line 53" o:spid="_x0000_s1026" o:spt="20" style="position:absolute;left:2880;top:4368;height:468;width:0;" filled="f" stroked="t" coordsize="21600,21600" o:gfxdata="UEsDBAoAAAAAAIdO4kAAAAAAAAAAAAAAAAAEAAAAZHJzL1BLAwQUAAAACACHTuJApAG6k78AAADb&#10;AAAADwAAAGRycy9kb3ducmV2LnhtbEWPT2vCQBTE7wW/w/KE3uomQmuI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Bup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none"/>
                <w10:anchorlock/>
              </v:group>
            </w:pict>
          </mc:Fallback>
        </mc:AlternateContent>
      </w:r>
    </w:p>
    <w:p>
      <w:pPr>
        <w:pStyle w:val="2"/>
        <w:spacing w:before="156"/>
        <w:rPr>
          <w:rFonts w:hint="eastAsia" w:asciiTheme="minorEastAsia" w:hAnsiTheme="minorEastAsia" w:eastAsiaTheme="minorEastAsia"/>
          <w:b/>
        </w:rPr>
      </w:pPr>
      <w:bookmarkStart w:id="108" w:name="_Toc32245"/>
      <w:bookmarkStart w:id="109" w:name="_Toc29723"/>
      <w:bookmarkStart w:id="110" w:name="_Toc24441"/>
      <w:bookmarkStart w:id="111" w:name="_Toc31562"/>
      <w:r>
        <w:rPr>
          <w:rFonts w:hint="eastAsia" w:asciiTheme="minorEastAsia" w:hAnsiTheme="minorEastAsia" w:eastAsiaTheme="minorEastAsia"/>
          <w:b/>
          <w:lang w:val="en-US" w:eastAsia="zh-CN"/>
        </w:rPr>
        <w:t>12.2 出场流</w:t>
      </w:r>
      <w:r>
        <w:rPr>
          <w:rFonts w:hint="eastAsia" w:asciiTheme="minorEastAsia" w:hAnsiTheme="minorEastAsia" w:eastAsiaTheme="minorEastAsia"/>
          <w:b/>
        </w:rPr>
        <w:t>程</w:t>
      </w:r>
      <w:bookmarkEnd w:id="108"/>
      <w:bookmarkEnd w:id="109"/>
      <w:bookmarkEnd w:id="110"/>
      <w:bookmarkEnd w:id="111"/>
    </w:p>
    <w:p>
      <w:pPr>
        <w:pStyle w:val="3"/>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both"/>
        <w:textAlignment w:val="auto"/>
        <w:outlineLvl w:val="9"/>
      </w:pPr>
      <w:r>
        <w:rPr>
          <w:rFonts w:hint="eastAsia" w:asciiTheme="minorEastAsia" w:hAnsiTheme="minorEastAsia" w:eastAsiaTheme="minorEastAsia"/>
          <w:color w:val="auto"/>
          <w:sz w:val="24"/>
          <w:szCs w:val="24"/>
        </w:rPr>
        <w:t>车辆出场，驶入到有效识别区，开始识别车牌号码；如果识别到车牌号码，到系统数据库场内车辆比对。并记录出场记录，保存图像；</w:t>
      </w:r>
      <w:r>
        <w:rPr>
          <w:rFonts w:hint="eastAsia" w:asciiTheme="minorEastAsia" w:hAnsiTheme="minorEastAsia" w:eastAsiaTheme="minorEastAsia"/>
          <w:color w:val="auto"/>
          <w:sz w:val="24"/>
          <w:szCs w:val="24"/>
          <w:lang w:val="en-US" w:eastAsia="zh-CN"/>
        </w:rPr>
        <w:t>如果没有识别到车牌号码，联系人工处理开门。</w:t>
      </w:r>
    </w:p>
    <w:p>
      <w:pPr>
        <w:keepNext w:val="0"/>
        <w:keepLines w:val="0"/>
        <w:pageBreakBefore w:val="0"/>
        <w:widowControl w:val="0"/>
        <w:numPr>
          <w:ilvl w:val="0"/>
          <w:numId w:val="1"/>
        </w:numPr>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12" w:name="_Toc17334"/>
      <w:bookmarkStart w:id="113" w:name="_Toc1718"/>
      <w:bookmarkStart w:id="114" w:name="_Toc4051"/>
      <w:bookmarkStart w:id="115" w:name="_Toc5971"/>
      <w:r>
        <w:rPr>
          <w:rFonts w:hint="eastAsia" w:asciiTheme="minorEastAsia" w:hAnsiTheme="minorEastAsia" w:eastAsiaTheme="minorEastAsia"/>
          <w:b/>
          <w:spacing w:val="6"/>
          <w:sz w:val="30"/>
          <w:szCs w:val="30"/>
        </w:rPr>
        <w:t>车牌识别软件说明</w:t>
      </w:r>
      <w:bookmarkEnd w:id="112"/>
      <w:bookmarkEnd w:id="113"/>
      <w:bookmarkEnd w:id="114"/>
      <w:bookmarkEnd w:id="115"/>
    </w:p>
    <w:p>
      <w:pPr>
        <w:pStyle w:val="2"/>
        <w:spacing w:before="156"/>
        <w:rPr>
          <w:rFonts w:hint="eastAsia" w:asciiTheme="minorEastAsia" w:hAnsiTheme="minorEastAsia" w:eastAsiaTheme="minorEastAsia"/>
          <w:b/>
        </w:rPr>
      </w:pPr>
      <w:bookmarkStart w:id="116" w:name="_Toc3976"/>
      <w:bookmarkStart w:id="117" w:name="_Toc918"/>
      <w:bookmarkStart w:id="118" w:name="_Toc25025"/>
      <w:bookmarkStart w:id="119" w:name="_Toc26729"/>
      <w:r>
        <w:rPr>
          <w:rFonts w:hint="eastAsia" w:asciiTheme="minorEastAsia" w:hAnsiTheme="minorEastAsia" w:eastAsiaTheme="minorEastAsia"/>
          <w:b/>
        </w:rPr>
        <w:t>13.1</w:t>
      </w:r>
      <w:r>
        <w:rPr>
          <w:rFonts w:hint="eastAsia" w:asciiTheme="minorEastAsia" w:hAnsiTheme="minorEastAsia" w:eastAsiaTheme="minorEastAsia"/>
          <w:b/>
          <w:lang w:val="en-US" w:eastAsia="zh-CN"/>
        </w:rPr>
        <w:t xml:space="preserve"> </w:t>
      </w:r>
      <w:r>
        <w:rPr>
          <w:rFonts w:hint="eastAsia" w:asciiTheme="minorEastAsia" w:hAnsiTheme="minorEastAsia" w:eastAsiaTheme="minorEastAsia"/>
          <w:b/>
        </w:rPr>
        <w:t>权限管理</w:t>
      </w:r>
      <w:bookmarkEnd w:id="116"/>
      <w:bookmarkEnd w:id="117"/>
      <w:bookmarkEnd w:id="118"/>
      <w:bookmarkEnd w:id="119"/>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车牌识别管理系统可以针对不同的用户分配相应的权限及角色，分配权限时，管理员可以自由配置和选择相应的功能。</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角色的添加、删除、修改，细化到相应权限的设置。 </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用户的添加、删除、修改及用户所属角色的设置。 </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建立不同的值班用户，所有记录能够在不同的值班用户报表体现。</w:t>
      </w:r>
    </w:p>
    <w:p>
      <w:pPr>
        <w:pStyle w:val="2"/>
        <w:spacing w:before="156"/>
        <w:rPr>
          <w:rFonts w:hint="eastAsia" w:asciiTheme="minorEastAsia" w:hAnsiTheme="minorEastAsia" w:eastAsiaTheme="minorEastAsia"/>
          <w:b/>
        </w:rPr>
      </w:pPr>
      <w:bookmarkStart w:id="120" w:name="_Toc12170"/>
      <w:bookmarkStart w:id="121" w:name="_Toc1667"/>
      <w:bookmarkStart w:id="122" w:name="_Toc25362"/>
      <w:bookmarkStart w:id="123" w:name="_Toc9194"/>
      <w:r>
        <w:rPr>
          <w:rFonts w:hint="eastAsia" w:asciiTheme="minorEastAsia" w:hAnsiTheme="minorEastAsia" w:eastAsiaTheme="minorEastAsia"/>
          <w:b/>
        </w:rPr>
        <w:t>13.2</w:t>
      </w:r>
      <w:r>
        <w:rPr>
          <w:rFonts w:hint="eastAsia" w:asciiTheme="minorEastAsia" w:hAnsiTheme="minorEastAsia" w:eastAsiaTheme="minorEastAsia"/>
          <w:b/>
          <w:lang w:val="en-US" w:eastAsia="zh-CN"/>
        </w:rPr>
        <w:t xml:space="preserve"> </w:t>
      </w:r>
      <w:r>
        <w:rPr>
          <w:rFonts w:hint="eastAsia" w:asciiTheme="minorEastAsia" w:hAnsiTheme="minorEastAsia" w:eastAsiaTheme="minorEastAsia"/>
          <w:b/>
        </w:rPr>
        <w:t>完善的报表系统</w:t>
      </w:r>
      <w:bookmarkEnd w:id="120"/>
      <w:bookmarkEnd w:id="121"/>
      <w:bookmarkEnd w:id="122"/>
      <w:bookmarkEnd w:id="123"/>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外来车辆和内部车辆分开管理，即内部人员固定车辆进出记录生成一个报表，外来车辆生成一个报表，分类管理，便于查询。</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报表在没有专业人员指导的情况下无法删除，免除报表被使用者人为删除的情况，保证所有记录真实可靠。</w:t>
      </w:r>
    </w:p>
    <w:p>
      <w:pPr>
        <w:pStyle w:val="2"/>
        <w:spacing w:before="156"/>
        <w:rPr>
          <w:rFonts w:hint="eastAsia" w:asciiTheme="minorEastAsia" w:hAnsiTheme="minorEastAsia" w:eastAsiaTheme="minorEastAsia"/>
          <w:b/>
        </w:rPr>
      </w:pPr>
      <w:bookmarkStart w:id="124" w:name="_Toc16176"/>
      <w:bookmarkStart w:id="125" w:name="_Toc2923"/>
      <w:bookmarkStart w:id="126" w:name="_Toc28252"/>
      <w:bookmarkStart w:id="127" w:name="_Toc2545"/>
      <w:r>
        <w:rPr>
          <w:rFonts w:hint="eastAsia" w:asciiTheme="minorEastAsia" w:hAnsiTheme="minorEastAsia" w:eastAsiaTheme="minorEastAsia"/>
          <w:b/>
        </w:rPr>
        <w:t>13.</w:t>
      </w:r>
      <w:r>
        <w:rPr>
          <w:rFonts w:hint="eastAsia" w:asciiTheme="minorEastAsia" w:hAnsiTheme="minorEastAsia" w:eastAsiaTheme="minorEastAsia"/>
          <w:b/>
          <w:lang w:val="en-US" w:eastAsia="zh-CN"/>
        </w:rPr>
        <w:t xml:space="preserve">3 </w:t>
      </w:r>
      <w:r>
        <w:rPr>
          <w:rFonts w:hint="eastAsia" w:asciiTheme="minorEastAsia" w:hAnsiTheme="minorEastAsia" w:eastAsiaTheme="minorEastAsia"/>
          <w:b/>
        </w:rPr>
        <w:t>高牌照识别率</w:t>
      </w:r>
      <w:bookmarkEnd w:id="124"/>
      <w:bookmarkEnd w:id="125"/>
      <w:bookmarkEnd w:id="126"/>
      <w:bookmarkEnd w:id="127"/>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系统采用先进的视频触发技术和计算机人工智能算法，具有触发率准确性高，速度快的优点，且不受光照强度影响，不受行人、自行车、树木阴影等各种因素影响，车牌捕捉率99.0%以上，车牌识别率可达98.0%以上，对出入车辆进行全天候记录。漏抓率低、无牌车辆同样可以抓拍。本系统采用视频检测技术检测车辆，无需对地面进行破坏，并且结合先进的视频跟踪技术，对视频中车辆进行跟踪，能够准确判定其行为方向，有效地克服了感应线圈检测无法判定车辆运动方向以及车辆过多时会产生判断错误的弊端。并且可以与本系统有机结合，形成全方位、多区域、多角度的立体化的停车场自动监测综合管理系统。 </w:t>
      </w:r>
    </w:p>
    <w:p>
      <w:pPr>
        <w:pStyle w:val="2"/>
        <w:spacing w:before="156"/>
        <w:rPr>
          <w:rFonts w:hint="eastAsia" w:asciiTheme="minorEastAsia" w:hAnsiTheme="minorEastAsia" w:eastAsiaTheme="minorEastAsia"/>
          <w:b/>
        </w:rPr>
      </w:pPr>
      <w:bookmarkStart w:id="128" w:name="_Toc6066"/>
      <w:bookmarkStart w:id="129" w:name="_Toc134"/>
      <w:bookmarkStart w:id="130" w:name="_Toc21065"/>
      <w:bookmarkStart w:id="131" w:name="_Toc24516"/>
      <w:r>
        <w:rPr>
          <w:rFonts w:hint="eastAsia" w:asciiTheme="minorEastAsia" w:hAnsiTheme="minorEastAsia" w:eastAsiaTheme="minorEastAsia"/>
          <w:b/>
        </w:rPr>
        <w:t>13.</w:t>
      </w:r>
      <w:r>
        <w:rPr>
          <w:rFonts w:hint="eastAsia" w:asciiTheme="minorEastAsia" w:hAnsiTheme="minorEastAsia" w:eastAsiaTheme="minorEastAsia"/>
          <w:b/>
          <w:lang w:val="en-US" w:eastAsia="zh-CN"/>
        </w:rPr>
        <w:t xml:space="preserve">4 </w:t>
      </w:r>
      <w:r>
        <w:rPr>
          <w:rFonts w:hint="eastAsia" w:asciiTheme="minorEastAsia" w:hAnsiTheme="minorEastAsia" w:eastAsiaTheme="minorEastAsia"/>
          <w:b/>
        </w:rPr>
        <w:t>完善的误识别处理</w:t>
      </w:r>
      <w:bookmarkEnd w:id="128"/>
      <w:bookmarkEnd w:id="129"/>
      <w:bookmarkEnd w:id="130"/>
      <w:bookmarkEnd w:id="131"/>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软件具有车牌模糊匹配功能即：出入口识别时车牌数字或者字母有单独个数错误时，能够根据对的几位自动匹配,如果出口一个车牌模糊对应入口几个车牌，可以自行切换选择；</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有牌车辆进出时，由于车牌清晰度或者车辆入场角度没有对准摄像机或者光线等原因没有识别车牌时，软件具有手动纠错和补录功能，管理人员可以手动自行输入；</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对于出场临时车辆识别错误时，管理人员通过查看入场信息手动纠错；</w:t>
      </w:r>
    </w:p>
    <w:bookmarkEnd w:id="68"/>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32" w:name="_Toc28357"/>
      <w:bookmarkStart w:id="133" w:name="_Toc15717"/>
      <w:bookmarkStart w:id="134" w:name="_Toc12869"/>
      <w:bookmarkStart w:id="135" w:name="_Toc25786"/>
      <w:bookmarkStart w:id="136" w:name="_Toc370718101"/>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4</w:t>
      </w:r>
      <w:r>
        <w:rPr>
          <w:rFonts w:hint="eastAsia" w:asciiTheme="minorEastAsia" w:hAnsiTheme="minorEastAsia" w:eastAsiaTheme="minorEastAsia"/>
          <w:b/>
          <w:spacing w:val="6"/>
          <w:sz w:val="30"/>
          <w:szCs w:val="30"/>
        </w:rPr>
        <w:t>.安装指导书内容</w:t>
      </w:r>
      <w:bookmarkEnd w:id="132"/>
      <w:bookmarkEnd w:id="133"/>
      <w:bookmarkEnd w:id="134"/>
      <w:bookmarkEnd w:id="135"/>
      <w:bookmarkEnd w:id="13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投标人负责设备的安装(包括机械设备及设备相关的电气控制线路)，投标人应向需方提供一个完整的安装说明书，包括设备的安装指导说明以及有关的图纸，具体内容如下：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1、投标人应该向需方提交有详细安装程序的图纸。</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2、全部图纸和资料应在安装开始前</w:t>
      </w:r>
      <w:r>
        <w:rPr>
          <w:rFonts w:hint="eastAsia" w:asciiTheme="minorEastAsia" w:hAnsiTheme="minorEastAsia" w:eastAsiaTheme="minorEastAsia"/>
          <w:spacing w:val="6"/>
          <w:sz w:val="24"/>
          <w:lang w:val="en-US" w:eastAsia="zh-CN"/>
        </w:rPr>
        <w:t>7</w:t>
      </w:r>
      <w:r>
        <w:rPr>
          <w:rFonts w:hint="eastAsia" w:asciiTheme="minorEastAsia" w:hAnsiTheme="minorEastAsia" w:eastAsiaTheme="minorEastAsia"/>
          <w:spacing w:val="6"/>
          <w:sz w:val="24"/>
        </w:rPr>
        <w:t xml:space="preserve">天送交招标人。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3、图纸和资料应包括下列各项，但不局限于此。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（1）车辆管理系统设备布置图；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（2）投标人</w:t>
      </w:r>
      <w:r>
        <w:rPr>
          <w:rFonts w:asciiTheme="minorEastAsia" w:hAnsiTheme="minorEastAsia" w:eastAsiaTheme="minorEastAsia"/>
          <w:spacing w:val="6"/>
          <w:sz w:val="24"/>
        </w:rPr>
        <w:t>推荐的备品备件清单、维修工具清单和专用工具清单；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（3）门禁系统由管理计算机、发行器、对讲主机、入出口读卡控制机、入出口道闸</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图像对比系统组成。</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37" w:name="_Toc15300"/>
      <w:bookmarkStart w:id="138" w:name="_Toc17811"/>
      <w:bookmarkStart w:id="139" w:name="_Toc28658"/>
      <w:bookmarkStart w:id="140" w:name="_Toc10172"/>
      <w:bookmarkStart w:id="141" w:name="_Toc370718102"/>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5</w:t>
      </w:r>
      <w:r>
        <w:rPr>
          <w:rFonts w:hint="eastAsia" w:asciiTheme="minorEastAsia" w:hAnsiTheme="minorEastAsia" w:eastAsiaTheme="minorEastAsia"/>
          <w:b/>
          <w:spacing w:val="6"/>
          <w:sz w:val="30"/>
          <w:szCs w:val="30"/>
        </w:rPr>
        <w:t>.技术服务</w:t>
      </w:r>
      <w:bookmarkEnd w:id="137"/>
      <w:bookmarkEnd w:id="138"/>
      <w:bookmarkEnd w:id="139"/>
      <w:bookmarkEnd w:id="140"/>
      <w:bookmarkEnd w:id="141"/>
    </w:p>
    <w:p>
      <w:pPr>
        <w:pStyle w:val="2"/>
        <w:spacing w:before="156"/>
        <w:rPr>
          <w:rFonts w:hint="eastAsia" w:asciiTheme="minorEastAsia" w:hAnsiTheme="minorEastAsia" w:eastAsiaTheme="minorEastAsia"/>
          <w:b/>
        </w:rPr>
      </w:pPr>
      <w:bookmarkStart w:id="142" w:name="_Toc8531"/>
      <w:bookmarkStart w:id="143" w:name="_Toc6714"/>
      <w:bookmarkStart w:id="144" w:name="_Toc370718103"/>
      <w:bookmarkStart w:id="145" w:name="_Toc27735"/>
      <w:bookmarkStart w:id="146" w:name="_Toc25972"/>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.1在现场的技术服务</w:t>
      </w:r>
      <w:bookmarkEnd w:id="142"/>
      <w:bookmarkEnd w:id="143"/>
      <w:bookmarkEnd w:id="144"/>
      <w:bookmarkEnd w:id="145"/>
      <w:bookmarkEnd w:id="14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1、为了便于合同设备的顺利安装，投标人应派遣有丰富经验的、健康和能胜任本职工作的技术人员到安装现场服务。投标人技术人员的时间安排表应在设备供货前提供给需方。并由需方进行确认。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在合同设备的保证期内，投标人应派遣有丰富经验的、健康和能胜任本职工作的技术人员进行现场售后服务。如果由于投标人的责任使合同设备停止运行，则投标人必须在24小时内解决问题，恢复设备正常运行，不能按时解决的问题必须在24小时内提出解决方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w:t>
      </w:r>
      <w:r>
        <w:rPr>
          <w:rFonts w:asciiTheme="minorEastAsia" w:hAnsiTheme="minorEastAsia" w:eastAsiaTheme="minorEastAsia"/>
          <w:spacing w:val="6"/>
          <w:sz w:val="24"/>
        </w:rPr>
        <w:t>投标人必须保证全年</w:t>
      </w:r>
      <w:r>
        <w:rPr>
          <w:rFonts w:hint="eastAsia" w:asciiTheme="minorEastAsia" w:hAnsiTheme="minorEastAsia" w:eastAsiaTheme="minorEastAsia"/>
          <w:spacing w:val="6"/>
          <w:sz w:val="24"/>
        </w:rPr>
        <w:t>7</w:t>
      </w:r>
      <w:r>
        <w:rPr>
          <w:rFonts w:asciiTheme="minorEastAsia" w:hAnsiTheme="minorEastAsia" w:eastAsiaTheme="minorEastAsia"/>
          <w:spacing w:val="6"/>
          <w:sz w:val="24"/>
        </w:rPr>
        <w:t>*24</w:t>
      </w:r>
      <w:r>
        <w:rPr>
          <w:rFonts w:hint="eastAsia" w:asciiTheme="minorEastAsia" w:hAnsiTheme="minorEastAsia" w:eastAsiaTheme="minorEastAsia"/>
          <w:spacing w:val="6"/>
          <w:sz w:val="24"/>
        </w:rPr>
        <w:t>小时</w:t>
      </w:r>
      <w:r>
        <w:rPr>
          <w:rFonts w:asciiTheme="minorEastAsia" w:hAnsiTheme="minorEastAsia" w:eastAsiaTheme="minorEastAsia"/>
          <w:spacing w:val="6"/>
          <w:sz w:val="24"/>
        </w:rPr>
        <w:t>的</w:t>
      </w:r>
      <w:r>
        <w:rPr>
          <w:rFonts w:hint="eastAsia" w:asciiTheme="minorEastAsia" w:hAnsiTheme="minorEastAsia" w:eastAsiaTheme="minorEastAsia"/>
          <w:spacing w:val="6"/>
          <w:sz w:val="24"/>
        </w:rPr>
        <w:t>电话</w:t>
      </w:r>
      <w:r>
        <w:rPr>
          <w:rFonts w:asciiTheme="minorEastAsia" w:hAnsiTheme="minorEastAsia" w:eastAsiaTheme="minorEastAsia"/>
          <w:spacing w:val="6"/>
          <w:sz w:val="24"/>
        </w:rPr>
        <w:t>响应</w:t>
      </w:r>
      <w:r>
        <w:rPr>
          <w:rFonts w:hint="eastAsia" w:asciiTheme="minorEastAsia" w:hAnsiTheme="minorEastAsia" w:eastAsiaTheme="minorEastAsia"/>
          <w:spacing w:val="6"/>
          <w:sz w:val="24"/>
        </w:rPr>
        <w:t>，</w:t>
      </w:r>
      <w:r>
        <w:rPr>
          <w:rFonts w:asciiTheme="minorEastAsia" w:hAnsiTheme="minorEastAsia" w:eastAsiaTheme="minorEastAsia"/>
          <w:spacing w:val="6"/>
          <w:sz w:val="24"/>
        </w:rPr>
        <w:t>接到</w:t>
      </w:r>
      <w:r>
        <w:rPr>
          <w:rFonts w:hint="eastAsia" w:asciiTheme="minorEastAsia" w:hAnsiTheme="minorEastAsia" w:eastAsiaTheme="minorEastAsia"/>
          <w:spacing w:val="6"/>
          <w:sz w:val="24"/>
        </w:rPr>
        <w:t>故障</w:t>
      </w:r>
      <w:r>
        <w:rPr>
          <w:rFonts w:asciiTheme="minorEastAsia" w:hAnsiTheme="minorEastAsia" w:eastAsiaTheme="minorEastAsia"/>
          <w:spacing w:val="6"/>
          <w:sz w:val="24"/>
        </w:rPr>
        <w:t>报修</w:t>
      </w:r>
      <w:r>
        <w:rPr>
          <w:rFonts w:hint="eastAsia" w:asciiTheme="minorEastAsia" w:hAnsiTheme="minorEastAsia" w:eastAsiaTheme="minorEastAsia"/>
          <w:spacing w:val="6"/>
          <w:sz w:val="24"/>
        </w:rPr>
        <w:t>后于</w:t>
      </w:r>
      <w:r>
        <w:rPr>
          <w:rFonts w:hint="eastAsia" w:asciiTheme="minorEastAsia" w:hAnsiTheme="minorEastAsia" w:eastAsiaTheme="minorEastAsia"/>
          <w:strike w:val="0"/>
          <w:spacing w:val="6"/>
          <w:sz w:val="24"/>
          <w:lang w:eastAsia="zh-CN"/>
        </w:rPr>
        <w:t>1</w:t>
      </w:r>
      <w:r>
        <w:rPr>
          <w:rFonts w:hint="eastAsia" w:asciiTheme="minorEastAsia" w:hAnsiTheme="minorEastAsia" w:eastAsiaTheme="minorEastAsia"/>
          <w:strike w:val="0"/>
          <w:spacing w:val="6"/>
          <w:sz w:val="24"/>
          <w:lang w:val="en-US" w:eastAsia="zh-CN"/>
        </w:rPr>
        <w:t>2小时</w:t>
      </w:r>
      <w:r>
        <w:rPr>
          <w:rFonts w:asciiTheme="minorEastAsia" w:hAnsiTheme="minorEastAsia" w:eastAsiaTheme="minorEastAsia"/>
          <w:spacing w:val="6"/>
          <w:sz w:val="24"/>
        </w:rPr>
        <w:t>内赶到现场解决。</w:t>
      </w:r>
    </w:p>
    <w:p>
      <w:pPr>
        <w:pStyle w:val="2"/>
        <w:spacing w:before="156"/>
        <w:rPr>
          <w:rFonts w:hint="eastAsia" w:asciiTheme="minorEastAsia" w:hAnsiTheme="minorEastAsia" w:eastAsiaTheme="minorEastAsia"/>
          <w:b/>
        </w:rPr>
      </w:pPr>
      <w:bookmarkStart w:id="147" w:name="_Toc15593"/>
      <w:bookmarkStart w:id="148" w:name="_Toc27109"/>
      <w:bookmarkStart w:id="149" w:name="_Toc31306"/>
      <w:bookmarkStart w:id="150" w:name="_Toc1808"/>
      <w:bookmarkStart w:id="151" w:name="_Toc290555700"/>
      <w:bookmarkStart w:id="152" w:name="_Toc370718104"/>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.2 现场服务的范围</w:t>
      </w:r>
      <w:bookmarkEnd w:id="147"/>
      <w:bookmarkEnd w:id="148"/>
      <w:bookmarkEnd w:id="149"/>
      <w:bookmarkEnd w:id="150"/>
      <w:bookmarkEnd w:id="151"/>
      <w:bookmarkEnd w:id="152"/>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1、根据规格书要求，投标人的现场服务包括下列范围: 现场管理、安装指导包括检查和核对到货、设备安装位置处基础尺寸的检查测量、检查已安装部分、组织调试以及培训操作和维修人员。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在调试时，投标人应派遣其工程师到现场来调试,同时与现有厂区门禁系统集成及整体调试由厂家自主完成。专用工具、一般工具和安装设备以外的特殊仪器及工具，应由投标人提供。但这些另外的特殊仪器及工具使用后仍归承揽方所有。</w:t>
      </w:r>
    </w:p>
    <w:p>
      <w:pPr>
        <w:pStyle w:val="2"/>
        <w:spacing w:before="156"/>
        <w:rPr>
          <w:rFonts w:hint="eastAsia" w:asciiTheme="minorEastAsia" w:hAnsiTheme="minorEastAsia" w:eastAsiaTheme="minorEastAsia"/>
          <w:b/>
        </w:rPr>
      </w:pPr>
      <w:bookmarkStart w:id="153" w:name="_Toc370718105"/>
      <w:bookmarkStart w:id="154" w:name="_Toc6344"/>
      <w:bookmarkStart w:id="155" w:name="_Toc12154"/>
      <w:bookmarkStart w:id="156" w:name="_Toc14491"/>
      <w:bookmarkStart w:id="157" w:name="_Toc25352"/>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.3工期要求</w:t>
      </w:r>
      <w:bookmarkEnd w:id="153"/>
      <w:bookmarkEnd w:id="154"/>
      <w:bookmarkEnd w:id="155"/>
      <w:bookmarkEnd w:id="156"/>
      <w:bookmarkEnd w:id="157"/>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本工程自合同签订之日起止交工验收合格为止总工期为</w:t>
      </w:r>
      <w:r>
        <w:rPr>
          <w:rFonts w:hint="eastAsia" w:asciiTheme="minorEastAsia" w:hAnsiTheme="minorEastAsia" w:eastAsiaTheme="minorEastAsia"/>
          <w:spacing w:val="6"/>
          <w:sz w:val="24"/>
          <w:lang w:val="en-US" w:eastAsia="zh-CN"/>
        </w:rPr>
        <w:t>45天</w:t>
      </w:r>
      <w:r>
        <w:rPr>
          <w:rFonts w:hint="eastAsia" w:asciiTheme="minorEastAsia" w:hAnsiTheme="minorEastAsia" w:eastAsiaTheme="minorEastAsia"/>
          <w:spacing w:val="6"/>
          <w:sz w:val="24"/>
        </w:rPr>
        <w:t>。投标人在投标时应提供项目实施的详细工期计划，供招标人审核。</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58" w:name="_Toc14827"/>
      <w:bookmarkStart w:id="159" w:name="_Toc370718106"/>
      <w:bookmarkStart w:id="160" w:name="_Toc11835"/>
      <w:bookmarkStart w:id="161" w:name="_Toc32551"/>
      <w:bookmarkStart w:id="162" w:name="_Toc290444224"/>
      <w:bookmarkStart w:id="163" w:name="_Toc283812337"/>
      <w:bookmarkStart w:id="164" w:name="_Toc290445211"/>
      <w:bookmarkStart w:id="165" w:name="_Toc290555579"/>
      <w:bookmarkStart w:id="166" w:name="_Toc290443634"/>
      <w:bookmarkStart w:id="167" w:name="_Toc284159233"/>
      <w:bookmarkStart w:id="168" w:name="_Toc290454072"/>
      <w:bookmarkStart w:id="169" w:name="_Toc290535002"/>
      <w:bookmarkStart w:id="170" w:name="_Toc19037"/>
      <w:bookmarkStart w:id="171" w:name="_Toc290535689"/>
      <w:bookmarkStart w:id="172" w:name="_Toc290444445"/>
      <w:bookmarkStart w:id="173" w:name="_Toc290534519"/>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6</w:t>
      </w:r>
      <w:r>
        <w:rPr>
          <w:rFonts w:hint="eastAsia" w:asciiTheme="minorEastAsia" w:hAnsiTheme="minorEastAsia" w:eastAsiaTheme="minorEastAsia"/>
          <w:b/>
          <w:spacing w:val="6"/>
          <w:sz w:val="30"/>
          <w:szCs w:val="30"/>
        </w:rPr>
        <w:t>.图纸和技术文件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2"/>
        <w:spacing w:before="156"/>
        <w:rPr>
          <w:rFonts w:hint="eastAsia" w:asciiTheme="minorEastAsia" w:hAnsiTheme="minorEastAsia" w:eastAsiaTheme="minorEastAsia"/>
          <w:b/>
        </w:rPr>
      </w:pPr>
      <w:bookmarkStart w:id="174" w:name="_Toc15712"/>
      <w:bookmarkStart w:id="175" w:name="_Toc370718107"/>
      <w:bookmarkStart w:id="176" w:name="_Toc283812339"/>
      <w:bookmarkStart w:id="177" w:name="_Toc23200"/>
      <w:bookmarkStart w:id="178" w:name="_Toc17230"/>
      <w:bookmarkStart w:id="179" w:name="_Toc31123"/>
      <w:r>
        <w:rPr>
          <w:rFonts w:hint="eastAsia" w:asciiTheme="minorEastAsia" w:hAnsiTheme="minorEastAsia" w:eastAsiaTheme="minorEastAsia"/>
          <w:b/>
        </w:rPr>
        <w:t>1</w:t>
      </w:r>
      <w:r>
        <w:rPr>
          <w:rFonts w:hint="eastAsia" w:asciiTheme="minorEastAsia" w:hAnsiTheme="minorEastAsia" w:eastAsiaTheme="minorEastAsia"/>
          <w:b/>
          <w:lang w:val="en-US" w:eastAsia="zh-CN"/>
        </w:rPr>
        <w:t>6</w:t>
      </w:r>
      <w:r>
        <w:rPr>
          <w:rFonts w:hint="eastAsia" w:asciiTheme="minorEastAsia" w:hAnsiTheme="minorEastAsia" w:eastAsiaTheme="minorEastAsia"/>
          <w:b/>
        </w:rPr>
        <w:t>.1  提交的图纸和设计文件</w:t>
      </w:r>
      <w:bookmarkEnd w:id="174"/>
      <w:bookmarkEnd w:id="175"/>
      <w:bookmarkEnd w:id="176"/>
      <w:bookmarkEnd w:id="177"/>
      <w:bookmarkEnd w:id="178"/>
      <w:bookmarkEnd w:id="179"/>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试运转验收后提供全部竣工图纸及图纸文件光盘。电子版的图纸文件应与书面版内容完全相同。</w:t>
      </w:r>
    </w:p>
    <w:p>
      <w:pPr>
        <w:pStyle w:val="2"/>
        <w:spacing w:before="156"/>
        <w:rPr>
          <w:rFonts w:asciiTheme="minorEastAsia" w:hAnsiTheme="minorEastAsia" w:eastAsiaTheme="minorEastAsia"/>
          <w:b/>
        </w:rPr>
      </w:pPr>
      <w:bookmarkStart w:id="180" w:name="_Toc8934"/>
      <w:bookmarkStart w:id="181" w:name="_Toc7427"/>
      <w:bookmarkStart w:id="182" w:name="_Toc3073"/>
      <w:bookmarkStart w:id="183" w:name="_Toc19268"/>
      <w:bookmarkStart w:id="184" w:name="_Toc370718108"/>
      <w:bookmarkStart w:id="185" w:name="_Toc283812340"/>
      <w:r>
        <w:rPr>
          <w:rFonts w:hint="eastAsia" w:asciiTheme="minorEastAsia" w:hAnsiTheme="minorEastAsia" w:eastAsiaTheme="minorEastAsia"/>
          <w:b/>
        </w:rPr>
        <w:t>1</w:t>
      </w:r>
      <w:r>
        <w:rPr>
          <w:rFonts w:hint="eastAsia" w:asciiTheme="minorEastAsia" w:hAnsiTheme="minorEastAsia" w:eastAsiaTheme="minorEastAsia"/>
          <w:b/>
          <w:lang w:val="en-US" w:eastAsia="zh-CN"/>
        </w:rPr>
        <w:t>6</w:t>
      </w:r>
      <w:r>
        <w:rPr>
          <w:rFonts w:hint="eastAsia" w:asciiTheme="minorEastAsia" w:hAnsiTheme="minorEastAsia" w:eastAsiaTheme="minorEastAsia"/>
          <w:b/>
        </w:rPr>
        <w:t>.2  其他图纸和资料</w:t>
      </w:r>
      <w:bookmarkEnd w:id="180"/>
      <w:bookmarkEnd w:id="181"/>
      <w:bookmarkEnd w:id="182"/>
      <w:bookmarkEnd w:id="183"/>
      <w:bookmarkEnd w:id="184"/>
      <w:bookmarkEnd w:id="185"/>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投标人还应提供设备运输、装卸和安装有关图纸资料、操作须知、维修和检验手册。设备安装开始前，应提供完整的电子版的备件明细，备件应精确到每个独立的部件，明细中应包含备件的规格型号，厂家、装机数量等信息，此部分信息必须与现场实际情况一致。</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86" w:name="_Toc31372"/>
      <w:bookmarkStart w:id="187" w:name="_Toc18309"/>
      <w:bookmarkStart w:id="188" w:name="_Toc19451"/>
      <w:bookmarkStart w:id="189" w:name="_Toc18932"/>
      <w:bookmarkStart w:id="190" w:name="_Toc370718110"/>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7</w:t>
      </w:r>
      <w:r>
        <w:rPr>
          <w:rFonts w:hint="eastAsia" w:asciiTheme="minorEastAsia" w:hAnsiTheme="minorEastAsia" w:eastAsiaTheme="minorEastAsia"/>
          <w:b/>
          <w:spacing w:val="6"/>
          <w:sz w:val="30"/>
          <w:szCs w:val="30"/>
        </w:rPr>
        <w:t>.设备的检验、性能考核及验收</w:t>
      </w:r>
      <w:bookmarkEnd w:id="186"/>
      <w:bookmarkEnd w:id="187"/>
      <w:bookmarkEnd w:id="188"/>
      <w:bookmarkEnd w:id="189"/>
      <w:bookmarkEnd w:id="190"/>
    </w:p>
    <w:p>
      <w:pPr>
        <w:pStyle w:val="2"/>
        <w:spacing w:before="156"/>
        <w:rPr>
          <w:rFonts w:hint="eastAsia" w:asciiTheme="minorEastAsia" w:hAnsiTheme="minorEastAsia" w:eastAsiaTheme="minorEastAsia"/>
          <w:b/>
        </w:rPr>
      </w:pPr>
      <w:bookmarkStart w:id="191" w:name="_Toc6470"/>
      <w:bookmarkStart w:id="192" w:name="_Toc9201"/>
      <w:bookmarkStart w:id="193" w:name="_Toc25949"/>
      <w:bookmarkStart w:id="194" w:name="_Toc14663"/>
      <w:bookmarkStart w:id="195" w:name="_Toc370718111"/>
      <w:bookmarkStart w:id="196" w:name="_Toc290555705"/>
      <w:r>
        <w:rPr>
          <w:rFonts w:hint="eastAsia" w:asciiTheme="minorEastAsia" w:hAnsiTheme="minorEastAsia" w:eastAsiaTheme="minorEastAsia"/>
          <w:b/>
        </w:rPr>
        <w:t>1</w:t>
      </w:r>
      <w:r>
        <w:rPr>
          <w:rFonts w:hint="eastAsia" w:asciiTheme="minorEastAsia" w:hAnsiTheme="minorEastAsia" w:eastAsiaTheme="minorEastAsia"/>
          <w:b/>
          <w:lang w:val="en-US" w:eastAsia="zh-CN"/>
        </w:rPr>
        <w:t>7</w:t>
      </w:r>
      <w:r>
        <w:rPr>
          <w:rFonts w:hint="eastAsia" w:asciiTheme="minorEastAsia" w:hAnsiTheme="minorEastAsia" w:eastAsiaTheme="minorEastAsia"/>
          <w:b/>
        </w:rPr>
        <w:t>.1  总则</w:t>
      </w:r>
      <w:bookmarkEnd w:id="191"/>
      <w:bookmarkEnd w:id="192"/>
      <w:bookmarkEnd w:id="193"/>
      <w:bookmarkEnd w:id="194"/>
      <w:bookmarkEnd w:id="195"/>
      <w:bookmarkEnd w:id="19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1、为了确保投标人向需方提供设备的质量和性能，在出厂以前，必须按照合同规定对全部零件、部件、附属设备及材料作检验。</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2、投标人在向需方提供设备的同时，提供上述检验记录和有关资料。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3、合同设备到达现场后，应按合同规定进行现场检验。</w:t>
      </w:r>
    </w:p>
    <w:p>
      <w:pPr>
        <w:pStyle w:val="2"/>
        <w:spacing w:before="156"/>
        <w:rPr>
          <w:rFonts w:asciiTheme="minorEastAsia" w:hAnsiTheme="minorEastAsia" w:eastAsiaTheme="minorEastAsia"/>
          <w:b/>
        </w:rPr>
      </w:pPr>
      <w:bookmarkStart w:id="197" w:name="_Toc6992"/>
      <w:bookmarkStart w:id="198" w:name="_Toc23321"/>
      <w:bookmarkStart w:id="199" w:name="_Toc1958"/>
      <w:bookmarkStart w:id="200" w:name="_Toc290555706"/>
      <w:bookmarkStart w:id="201" w:name="_Toc370718112"/>
      <w:bookmarkStart w:id="202" w:name="_Toc26302"/>
      <w:r>
        <w:rPr>
          <w:rFonts w:hint="eastAsia" w:asciiTheme="minorEastAsia" w:hAnsiTheme="minorEastAsia" w:eastAsiaTheme="minorEastAsia"/>
          <w:b/>
        </w:rPr>
        <w:t>1</w:t>
      </w:r>
      <w:r>
        <w:rPr>
          <w:rFonts w:hint="eastAsia" w:asciiTheme="minorEastAsia" w:hAnsiTheme="minorEastAsia" w:eastAsiaTheme="minorEastAsia"/>
          <w:b/>
          <w:lang w:val="en-US" w:eastAsia="zh-CN"/>
        </w:rPr>
        <w:t>7</w:t>
      </w:r>
      <w:r>
        <w:rPr>
          <w:rFonts w:hint="eastAsia" w:asciiTheme="minorEastAsia" w:hAnsiTheme="minorEastAsia" w:eastAsiaTheme="minorEastAsia"/>
          <w:b/>
        </w:rPr>
        <w:t>.2  质量保证</w:t>
      </w:r>
      <w:bookmarkEnd w:id="197"/>
      <w:bookmarkEnd w:id="198"/>
      <w:bookmarkEnd w:id="199"/>
      <w:bookmarkEnd w:id="200"/>
      <w:bookmarkEnd w:id="201"/>
      <w:bookmarkEnd w:id="202"/>
    </w:p>
    <w:p>
      <w:pPr>
        <w:spacing w:line="360" w:lineRule="auto"/>
        <w:ind w:firstLine="504" w:firstLineChars="200"/>
        <w:jc w:val="left"/>
        <w:outlineLvl w:val="9"/>
      </w:pPr>
      <w:r>
        <w:rPr>
          <w:rFonts w:hint="eastAsia" w:asciiTheme="minorEastAsia" w:hAnsiTheme="minorEastAsia" w:eastAsiaTheme="minorEastAsia"/>
          <w:spacing w:val="6"/>
          <w:sz w:val="24"/>
        </w:rPr>
        <w:t>投标人必须按照合同书及规定的标准来进行质量保证程序的操作和示范以证明工作的完成。投标人需提供产品相关的合格证、出厂检验、产品图纸等文件，并负责设备调试成功后的维护，要求提供质保期一年。</w:t>
      </w:r>
    </w:p>
    <w:p/>
    <w:sectPr>
      <w:headerReference r:id="rId3" w:type="default"/>
      <w:endnotePr>
        <w:numFmt w:val="decimal"/>
        <w:numStart w:val="0"/>
      </w:endnotePr>
      <w:pgSz w:w="11906" w:h="16838"/>
      <w:pgMar w:top="1440" w:right="1797" w:bottom="1440" w:left="1797" w:header="720" w:footer="72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RomanD">
    <w:altName w:val="Segoe Print"/>
    <w:panose1 w:val="00000400000000000000"/>
    <w:charset w:val="00"/>
    <w:family w:val="auto"/>
    <w:pitch w:val="default"/>
    <w:sig w:usb0="00000000" w:usb1="00000000" w:usb2="00000000" w:usb3="00000000" w:csb0="000001FF" w:csb1="00000000"/>
  </w:font>
  <w:font w:name="楷体_GB2312">
    <w:altName w:val="楷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Unisys Logo">
    <w:altName w:val="Arial"/>
    <w:panose1 w:val="00000000000000000000"/>
    <w:charset w:val="00"/>
    <w:family w:val="swiss"/>
    <w:pitch w:val="default"/>
    <w:sig w:usb0="00000000" w:usb1="00000000" w:usb2="00000000" w:usb3="00000000" w:csb0="00000001" w:csb1="00000000"/>
  </w:font>
  <w:font w:name="Arial (W1)">
    <w:altName w:val="Arial"/>
    <w:panose1 w:val="00000000000000000000"/>
    <w:charset w:val="00"/>
    <w:family w:val="swiss"/>
    <w:pitch w:val="default"/>
    <w:sig w:usb0="00000000" w:usb1="00000000" w:usb2="00000008" w:usb3="00000000" w:csb0="000001FF" w:csb1="00000000"/>
  </w:font>
  <w:font w:name="CG Times">
    <w:altName w:val="Times New Roman"/>
    <w:panose1 w:val="02020603050405020304"/>
    <w:charset w:val="00"/>
    <w:family w:val="roman"/>
    <w:pitch w:val="default"/>
    <w:sig w:usb0="00000000" w:usb1="00000000" w:usb2="00000000" w:usb3="00000000" w:csb0="00000093" w:csb1="00000000"/>
  </w:font>
  <w:font w:name="全真中明體">
    <w:altName w:val="MingLiU-ExtB"/>
    <w:panose1 w:val="00000000000000000000"/>
    <w:charset w:val="88"/>
    <w:family w:val="modern"/>
    <w:pitch w:val="default"/>
    <w:sig w:usb0="00000000" w:usb1="00000000" w:usb2="00000010" w:usb3="00000000" w:csb0="00100000" w:csb1="00000000"/>
  </w:font>
  <w:font w:name="Verdana">
    <w:panose1 w:val="020B0604030504040204"/>
    <w:charset w:val="00"/>
    <w:family w:val="swiss"/>
    <w:pitch w:val="default"/>
    <w:sig w:usb0="A10006FF" w:usb1="4000205B" w:usb2="00000010" w:usb3="00000000" w:csb0="2000019F" w:csb1="00000000"/>
  </w:font>
  <w:font w:name="HelveticaNeueLight">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CG Omega">
    <w:altName w:val="Yu Gothic UI"/>
    <w:panose1 w:val="020B0502050508020304"/>
    <w:charset w:val="00"/>
    <w:family w:val="swiss"/>
    <w:pitch w:val="default"/>
    <w:sig w:usb0="00000000" w:usb1="00000000" w:usb2="00000000" w:usb3="00000000" w:csb0="00000093" w:csb1="00000000"/>
  </w:font>
  <w:font w:name="Antique Olive Roman">
    <w:altName w:val="Arial"/>
    <w:panose1 w:val="00000000000000000000"/>
    <w:charset w:val="00"/>
    <w:family w:val="swiss"/>
    <w:pitch w:val="default"/>
    <w:sig w:usb0="00000000" w:usb1="00000000" w:usb2="00000000" w:usb3="00000000" w:csb0="00000001" w:csb1="00000000"/>
  </w:font>
  <w:font w:name="Abadi MT Condensed Light">
    <w:altName w:val="MV Boli"/>
    <w:panose1 w:val="00000000000000000000"/>
    <w:charset w:val="00"/>
    <w:family w:val="swiss"/>
    <w:pitch w:val="default"/>
    <w:sig w:usb0="00000000" w:usb1="00000000" w:usb2="00000000" w:usb3="00000000" w:csb0="00000001" w:csb1="00000000"/>
  </w:font>
  <w:font w:name="MingLiU-ExtB">
    <w:panose1 w:val="02020500000000000000"/>
    <w:charset w:val="88"/>
    <w:family w:val="auto"/>
    <w:pitch w:val="default"/>
    <w:sig w:usb0="8000002F" w:usb1="02000008" w:usb2="00000000" w:usb3="00000000" w:csb0="00100001" w:csb1="00000000"/>
  </w:font>
  <w:font w:name="MV Boli">
    <w:panose1 w:val="02000500030200090000"/>
    <w:charset w:val="00"/>
    <w:family w:val="auto"/>
    <w:pitch w:val="default"/>
    <w:sig w:usb0="00000003" w:usb1="00000000" w:usb2="00000100" w:usb3="00000000" w:csb0="00000001" w:csb1="00000000"/>
  </w:font>
  <w:font w:name="z">
    <w:altName w:val="Segoe Print"/>
    <w:panose1 w:val="00000000000000000000"/>
    <w:charset w:val="00"/>
    <w:family w:val="auto"/>
    <w:pitch w:val="default"/>
    <w:sig w:usb0="00000000" w:usb1="00000000" w:usb2="00000000" w:usb3="00000000" w:csb0="00000000" w:csb1="00000000"/>
  </w:font>
  <w:font w:name="zo">
    <w:altName w:val="Segoe Print"/>
    <w:panose1 w:val="00000000000000000000"/>
    <w:charset w:val="00"/>
    <w:family w:val="auto"/>
    <w:pitch w:val="default"/>
    <w:sig w:usb0="00000000" w:usb1="00000000" w:usb2="00000000" w:usb3="00000000" w:csb0="00000000" w:csb1="00000000"/>
  </w:font>
  <w:font w:name="zon">
    <w:altName w:val="Segoe Print"/>
    <w:panose1 w:val="00000000000000000000"/>
    <w:charset w:val="00"/>
    <w:family w:val="auto"/>
    <w:pitch w:val="default"/>
    <w:sig w:usb0="00000000" w:usb1="00000000" w:usb2="00000000" w:usb3="00000000" w:csb0="00000000" w:csb1="00000000"/>
  </w:font>
  <w:font w:name="zong">
    <w:altName w:val="Segoe Print"/>
    <w:panose1 w:val="00000000000000000000"/>
    <w:charset w:val="00"/>
    <w:family w:val="auto"/>
    <w:pitch w:val="default"/>
    <w:sig w:usb0="00000000" w:usb1="00000000" w:usb2="00000000" w:usb3="00000000" w:csb0="00000000" w:csb1="00000000"/>
  </w:font>
  <w:font w:name="总成">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spacing w:before="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D25AA"/>
    <w:multiLevelType w:val="singleLevel"/>
    <w:tmpl w:val="599D25AA"/>
    <w:lvl w:ilvl="0" w:tentative="0">
      <w:start w:val="1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endnotePr>
    <w:numFmt w:val="decimal"/>
    <w:numStart w:val="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C36CD"/>
    <w:rsid w:val="3D201AD5"/>
    <w:rsid w:val="608C36C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Times New Roman" w:eastAsia="等线" w:cs="Arial"/>
      <w:kern w:val="2"/>
      <w:sz w:val="21"/>
      <w:szCs w:val="22"/>
      <w:lang w:val="en-US" w:eastAsia="zh-CN" w:bidi="ar-SA"/>
    </w:rPr>
  </w:style>
  <w:style w:type="paragraph" w:styleId="2">
    <w:name w:val="heading 2"/>
    <w:basedOn w:val="1"/>
    <w:next w:val="1"/>
    <w:unhideWhenUsed/>
    <w:qFormat/>
    <w:uiPriority w:val="0"/>
    <w:pPr>
      <w:widowControl/>
      <w:pBdr>
        <w:top w:val="none" w:color="000000" w:sz="0" w:space="0"/>
        <w:left w:val="none" w:color="000000" w:sz="0" w:space="0"/>
        <w:bottom w:val="none" w:color="000000" w:sz="0" w:space="0"/>
        <w:right w:val="none" w:color="000000" w:sz="0" w:space="0"/>
      </w:pBdr>
      <w:snapToGrid w:val="0"/>
      <w:spacing w:beforeLines="50" w:line="480" w:lineRule="exact"/>
      <w:jc w:val="left"/>
      <w:outlineLvl w:val="1"/>
    </w:pPr>
    <w:rPr>
      <w:rFonts w:ascii="宋体" w:hAnsi="宋体" w:eastAsia="宋体" w:cs="Times New Roman"/>
      <w:color w:val="000000"/>
      <w:spacing w:val="6"/>
      <w:kern w:val="0"/>
      <w:sz w:val="24"/>
      <w:szCs w:val="20"/>
    </w:rPr>
  </w:style>
  <w:style w:type="character" w:default="1" w:styleId="8">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3">
    <w:name w:val="Plain Text"/>
    <w:basedOn w:val="1"/>
    <w:uiPriority w:val="0"/>
    <w:rPr>
      <w:rFonts w:ascii="宋体" w:hAnsi="Courier New" w:eastAsia="宋体" w:cs="Courier New"/>
      <w:szCs w:val="21"/>
    </w:rPr>
  </w:style>
  <w:style w:type="paragraph" w:styleId="4">
    <w:name w:val="Body Text Indent 2"/>
    <w:basedOn w:val="1"/>
    <w:uiPriority w:val="0"/>
    <w:pPr>
      <w:ind w:firstLine="599" w:firstLineChars="214"/>
    </w:pPr>
    <w:rPr>
      <w:rFonts w:ascii="RomanD" w:hAnsi="RomanD" w:eastAsiaTheme="minorEastAsia" w:cstheme="minorBidi"/>
      <w:sz w:val="28"/>
    </w:rPr>
  </w:style>
  <w:style w:type="paragraph" w:styleId="5">
    <w:name w:val="header"/>
    <w:basedOn w:val="1"/>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oc 1"/>
    <w:basedOn w:val="1"/>
    <w:next w:val="1"/>
    <w:uiPriority w:val="0"/>
    <w:pPr>
      <w:tabs>
        <w:tab w:val="right" w:leader="dot" w:pos="8834"/>
      </w:tabs>
      <w:snapToGrid w:val="0"/>
      <w:spacing w:line="360" w:lineRule="auto"/>
      <w:jc w:val="left"/>
    </w:pPr>
    <w:rPr>
      <w:rFonts w:ascii="宋体" w:hAnsi="宋体" w:eastAsia="宋体" w:cs="Times New Roman"/>
      <w:b/>
      <w:spacing w:val="2"/>
      <w:sz w:val="28"/>
      <w:szCs w:val="28"/>
    </w:rPr>
  </w:style>
  <w:style w:type="paragraph" w:styleId="7">
    <w:name w:val="toc 2"/>
    <w:basedOn w:val="1"/>
    <w:next w:val="1"/>
    <w:uiPriority w:val="0"/>
    <w:pPr>
      <w:widowControl/>
      <w:ind w:left="420" w:leftChars="200"/>
      <w:jc w:val="left"/>
    </w:pPr>
    <w:rPr>
      <w:rFonts w:ascii="Times New Roman" w:eastAsia="楷体_GB2312" w:cs="Times New Roman"/>
      <w:kern w:val="0"/>
      <w:sz w:val="24"/>
      <w:szCs w:val="20"/>
    </w:rPr>
  </w:style>
  <w:style w:type="paragraph" w:customStyle="1" w:styleId="10">
    <w:name w:val="H正文 Char"/>
    <w:basedOn w:val="4"/>
    <w:qFormat/>
    <w:uiPriority w:val="0"/>
    <w:pPr>
      <w:widowControl/>
      <w:adjustRightInd w:val="0"/>
      <w:spacing w:line="300" w:lineRule="auto"/>
      <w:ind w:firstLine="480" w:firstLineChars="200"/>
      <w:textAlignment w:val="baseline"/>
    </w:pPr>
    <w:rPr>
      <w:rFonts w:ascii="宋体" w:hAnsi="宋体" w:cs="宋体"/>
      <w:kern w:val="24"/>
      <w:sz w:val="24"/>
      <w:lang w:val="sv-S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2017-09-25T03:17:00Z</dcterms:created>
  <dc:creator>于俊清</dc:creator>
  <cp:lastModifiedBy>于俊清</cp:lastModifiedBy>
  <dcterms:modified xsi:type="dcterms:W3CDTF">2017-09-25T03:21:22Z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