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rFonts w:hint="eastAsia"/>
          <w:szCs w:val="32"/>
        </w:rPr>
        <w:t>报价要求：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rFonts w:hint="eastAsia"/>
          <w:szCs w:val="32"/>
        </w:rPr>
        <w:t>参与本项目的供应商应综合考虑服务发生的人工、材料、机械设备及现场临建、水、电等费用综合报价（含利润、税金）等完成本项目相关工作，报价包括但不限于以下内容：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1.</w:t>
      </w:r>
      <w:r>
        <w:rPr>
          <w:rFonts w:hint="eastAsia"/>
          <w:szCs w:val="32"/>
        </w:rPr>
        <w:t>根据要求需建设的必要的临时设施而发生的费用（如水电源接通、排水、搭设脚手架、临时支撑等）；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2.</w:t>
      </w:r>
      <w:r>
        <w:rPr>
          <w:rFonts w:hint="eastAsia"/>
          <w:szCs w:val="32"/>
        </w:rPr>
        <w:t>设备及机具拆装采取的措施；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3.</w:t>
      </w:r>
      <w:r>
        <w:rPr>
          <w:rFonts w:hint="eastAsia"/>
          <w:szCs w:val="32"/>
        </w:rPr>
        <w:t>本项目实施中可能发生的安全问题的治理防范措施费；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4.</w:t>
      </w:r>
      <w:r>
        <w:rPr>
          <w:rFonts w:hint="eastAsia"/>
          <w:szCs w:val="32"/>
        </w:rPr>
        <w:t>合同中各类风险费用（如技术参数变化、防风、防火、防雨等）；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5.</w:t>
      </w:r>
      <w:r>
        <w:rPr>
          <w:rFonts w:hint="eastAsia"/>
          <w:szCs w:val="32"/>
        </w:rPr>
        <w:t>垃圾废弃物清理搬运、施工区域清扫及为满足招标人规定的文明施工要求所发生的费用；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6.</w:t>
      </w:r>
      <w:r>
        <w:rPr>
          <w:rFonts w:hint="eastAsia"/>
          <w:szCs w:val="32"/>
        </w:rPr>
        <w:t>投标人认为为完成本项目所必需的其它费用；</w:t>
      </w:r>
    </w:p>
    <w:p w:rsidR="00417E68" w:rsidRDefault="004F5C95">
      <w:pPr>
        <w:pStyle w:val="20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7.</w:t>
      </w:r>
      <w:r>
        <w:rPr>
          <w:rFonts w:hint="eastAsia"/>
          <w:szCs w:val="32"/>
        </w:rPr>
        <w:t>本项目的报价全部采用人民币含税价格（需提供增值税专用发票）。</w:t>
      </w:r>
    </w:p>
    <w:p w:rsidR="00D72F47" w:rsidRDefault="00D72F47">
      <w:pPr>
        <w:pStyle w:val="p0"/>
        <w:spacing w:line="560" w:lineRule="exact"/>
        <w:rPr>
          <w:rFonts w:ascii="仿宋_GB2312" w:eastAsia="仿宋_GB2312" w:hAnsi="微软雅黑" w:cs="仿宋_GB2312"/>
          <w:kern w:val="0"/>
          <w:sz w:val="32"/>
          <w:szCs w:val="32"/>
        </w:rPr>
        <w:sectPr w:rsidR="00D72F47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17E68" w:rsidRDefault="004F5C95">
      <w:pPr>
        <w:pStyle w:val="p0"/>
        <w:spacing w:line="560" w:lineRule="exact"/>
        <w:rPr>
          <w:rFonts w:ascii="仿宋_GB2312" w:eastAsia="仿宋_GB2312" w:hAnsi="微软雅黑" w:cs="仿宋_GB2312"/>
          <w:kern w:val="0"/>
          <w:sz w:val="32"/>
          <w:szCs w:val="32"/>
        </w:rPr>
      </w:pPr>
      <w:r>
        <w:rPr>
          <w:rFonts w:ascii="仿宋_GB2312" w:eastAsia="仿宋_GB2312" w:hAnsi="微软雅黑" w:cs="仿宋_GB2312" w:hint="eastAsia"/>
          <w:kern w:val="0"/>
          <w:sz w:val="32"/>
          <w:szCs w:val="32"/>
        </w:rPr>
        <w:lastRenderedPageBreak/>
        <w:t>附件2：</w:t>
      </w:r>
    </w:p>
    <w:p w:rsidR="00417E68" w:rsidRDefault="00417E68">
      <w:pPr>
        <w:snapToGrid w:val="0"/>
        <w:spacing w:line="480" w:lineRule="exact"/>
        <w:jc w:val="center"/>
        <w:rPr>
          <w:rFonts w:asciiTheme="minorEastAsia" w:hAnsiTheme="minorEastAsia"/>
        </w:rPr>
      </w:pPr>
    </w:p>
    <w:p w:rsidR="00417E68" w:rsidRDefault="00417E68">
      <w:pPr>
        <w:snapToGrid w:val="0"/>
        <w:spacing w:line="480" w:lineRule="exact"/>
        <w:jc w:val="center"/>
        <w:rPr>
          <w:rFonts w:asciiTheme="minorEastAsia" w:hAnsiTheme="minorEastAsia"/>
        </w:rPr>
      </w:pPr>
    </w:p>
    <w:p w:rsidR="00417E68" w:rsidRDefault="00417E68">
      <w:pPr>
        <w:snapToGrid w:val="0"/>
        <w:spacing w:line="480" w:lineRule="exact"/>
        <w:jc w:val="center"/>
        <w:rPr>
          <w:rFonts w:asciiTheme="minorEastAsia" w:hAnsiTheme="minorEastAsia"/>
        </w:rPr>
      </w:pPr>
    </w:p>
    <w:p w:rsidR="00417E68" w:rsidRDefault="00417E68">
      <w:pPr>
        <w:snapToGrid w:val="0"/>
        <w:spacing w:line="480" w:lineRule="exact"/>
        <w:jc w:val="center"/>
        <w:rPr>
          <w:rFonts w:asciiTheme="minorEastAsia" w:hAnsiTheme="minorEastAsia"/>
        </w:rPr>
      </w:pPr>
    </w:p>
    <w:p w:rsidR="00417E68" w:rsidRDefault="004F5C95">
      <w:pPr>
        <w:jc w:val="center"/>
        <w:rPr>
          <w:rFonts w:ascii="宋体" w:hAnsi="宋体" w:cs="黑体"/>
          <w:b/>
          <w:bCs/>
          <w:sz w:val="52"/>
          <w:szCs w:val="52"/>
        </w:rPr>
      </w:pPr>
      <w:r>
        <w:rPr>
          <w:rFonts w:ascii="宋体" w:hAnsi="宋体" w:cs="黑体" w:hint="eastAsia"/>
          <w:b/>
          <w:bCs/>
          <w:sz w:val="52"/>
          <w:szCs w:val="52"/>
        </w:rPr>
        <w:t>神华黄骅港二期装船机</w:t>
      </w:r>
    </w:p>
    <w:p w:rsidR="00417E68" w:rsidRDefault="004F5C95">
      <w:pPr>
        <w:jc w:val="center"/>
        <w:rPr>
          <w:rFonts w:ascii="宋体" w:hAnsi="宋体" w:cs="黑体"/>
          <w:b/>
          <w:bCs/>
          <w:sz w:val="52"/>
          <w:szCs w:val="52"/>
        </w:rPr>
      </w:pPr>
      <w:proofErr w:type="gramStart"/>
      <w:r>
        <w:rPr>
          <w:rFonts w:ascii="宋体" w:hAnsi="宋体" w:cs="黑体" w:hint="eastAsia"/>
          <w:b/>
          <w:bCs/>
          <w:sz w:val="52"/>
          <w:szCs w:val="52"/>
        </w:rPr>
        <w:t>悬皮驱动</w:t>
      </w:r>
      <w:proofErr w:type="gramEnd"/>
      <w:r>
        <w:rPr>
          <w:rFonts w:ascii="宋体" w:hAnsi="宋体" w:cs="黑体" w:hint="eastAsia"/>
          <w:b/>
          <w:bCs/>
          <w:sz w:val="52"/>
          <w:szCs w:val="52"/>
        </w:rPr>
        <w:t>减速机改造项目</w:t>
      </w:r>
    </w:p>
    <w:p w:rsidR="00417E68" w:rsidRDefault="004F5C95">
      <w:pPr>
        <w:jc w:val="center"/>
        <w:rPr>
          <w:rFonts w:ascii="宋体" w:hAnsi="宋体" w:cs="黑体"/>
          <w:b/>
          <w:bCs/>
          <w:sz w:val="52"/>
          <w:szCs w:val="52"/>
        </w:rPr>
      </w:pPr>
      <w:r>
        <w:rPr>
          <w:rFonts w:ascii="宋体" w:hAnsi="宋体" w:cs="黑体" w:hint="eastAsia"/>
          <w:b/>
          <w:bCs/>
          <w:sz w:val="52"/>
          <w:szCs w:val="52"/>
        </w:rPr>
        <w:t>技术规格书</w:t>
      </w: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17E68">
      <w:pPr>
        <w:jc w:val="center"/>
        <w:rPr>
          <w:rFonts w:ascii="宋体" w:hAnsi="宋体" w:cs="黑体"/>
          <w:b/>
          <w:bCs/>
          <w:sz w:val="44"/>
          <w:szCs w:val="44"/>
        </w:rPr>
      </w:pPr>
    </w:p>
    <w:p w:rsidR="00417E68" w:rsidRDefault="004F5C95">
      <w:pPr>
        <w:jc w:val="center"/>
        <w:rPr>
          <w:rFonts w:ascii="宋体" w:hAnsi="宋体" w:cs="黑体"/>
          <w:b/>
          <w:bCs/>
          <w:sz w:val="32"/>
          <w:szCs w:val="32"/>
        </w:rPr>
      </w:pPr>
      <w:r>
        <w:rPr>
          <w:rFonts w:ascii="宋体" w:hAnsi="宋体" w:cs="黑体" w:hint="eastAsia"/>
          <w:b/>
          <w:bCs/>
          <w:sz w:val="32"/>
          <w:szCs w:val="32"/>
        </w:rPr>
        <w:t>神华黄骅港务有限责任公司</w:t>
      </w:r>
    </w:p>
    <w:p w:rsidR="00417E68" w:rsidRDefault="004F5C95">
      <w:pPr>
        <w:jc w:val="center"/>
        <w:rPr>
          <w:rFonts w:ascii="宋体" w:hAnsi="宋体" w:cs="黑体"/>
          <w:b/>
          <w:bCs/>
          <w:sz w:val="32"/>
          <w:szCs w:val="32"/>
        </w:rPr>
      </w:pPr>
      <w:r>
        <w:rPr>
          <w:rFonts w:ascii="宋体" w:hAnsi="宋体" w:cs="黑体" w:hint="eastAsia"/>
          <w:b/>
          <w:bCs/>
          <w:sz w:val="32"/>
          <w:szCs w:val="32"/>
        </w:rPr>
        <w:t>2017-09-22</w:t>
      </w:r>
    </w:p>
    <w:p w:rsidR="00417E68" w:rsidRDefault="00417E68">
      <w:pPr>
        <w:spacing w:line="540" w:lineRule="exact"/>
        <w:rPr>
          <w:b/>
          <w:sz w:val="44"/>
          <w:szCs w:val="44"/>
        </w:rPr>
      </w:pPr>
    </w:p>
    <w:p w:rsidR="00417E68" w:rsidRDefault="00417E68">
      <w:pPr>
        <w:spacing w:line="540" w:lineRule="exact"/>
        <w:rPr>
          <w:b/>
          <w:sz w:val="44"/>
          <w:szCs w:val="44"/>
        </w:rPr>
      </w:pPr>
    </w:p>
    <w:p w:rsidR="00417E68" w:rsidRDefault="00417E68">
      <w:pPr>
        <w:spacing w:line="540" w:lineRule="exact"/>
        <w:rPr>
          <w:b/>
          <w:sz w:val="44"/>
          <w:szCs w:val="44"/>
        </w:rPr>
      </w:pPr>
    </w:p>
    <w:p w:rsidR="00417E68" w:rsidRDefault="00417E68">
      <w:pPr>
        <w:spacing w:line="540" w:lineRule="exact"/>
        <w:rPr>
          <w:b/>
          <w:sz w:val="44"/>
          <w:szCs w:val="44"/>
        </w:rPr>
        <w:sectPr w:rsidR="00417E6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17E68" w:rsidRDefault="004F5C95">
      <w:pPr>
        <w:spacing w:line="54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目录</w:t>
      </w:r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r w:rsidRPr="00E02794">
        <w:rPr>
          <w:rFonts w:hint="eastAsia"/>
          <w:b/>
          <w:sz w:val="32"/>
          <w:szCs w:val="32"/>
        </w:rPr>
        <w:fldChar w:fldCharType="begin"/>
      </w:r>
      <w:r w:rsidR="004F5C95">
        <w:rPr>
          <w:rFonts w:hint="eastAsia"/>
          <w:b/>
          <w:sz w:val="32"/>
          <w:szCs w:val="32"/>
        </w:rPr>
        <w:instrText xml:space="preserve">TOC \o "1-3" \h \u </w:instrText>
      </w:r>
      <w:r w:rsidRPr="00E02794">
        <w:rPr>
          <w:rFonts w:hint="eastAsia"/>
          <w:b/>
          <w:sz w:val="32"/>
          <w:szCs w:val="32"/>
        </w:rPr>
        <w:fldChar w:fldCharType="separate"/>
      </w:r>
      <w:hyperlink w:anchor="_Toc5626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1.总则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_Toc5626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1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656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2.工程概况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_Toc656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1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7608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3.适用的标准、规范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_Toc7608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3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6777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4.详细技术要求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_Toc6777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4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3425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5.图纸和技术文件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_Toc3425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8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25358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6.案及过程控制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_Toc25358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9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29208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7.项目验收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_Toc29208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10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18360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8.质量保证及服务承诺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_Toc18360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10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26057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9</w:t>
        </w:r>
        <w:r w:rsidR="004F5C95">
          <w:rPr>
            <w:rFonts w:ascii="黑体" w:eastAsia="黑体" w:cstheme="minorBidi" w:hint="eastAsia"/>
            <w:kern w:val="2"/>
            <w:sz w:val="32"/>
            <w:szCs w:val="32"/>
          </w:rPr>
          <w:t>.</w:t>
        </w:r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应提交的技术资料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_Toc26057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10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pStyle w:val="10"/>
        <w:widowControl w:val="0"/>
        <w:tabs>
          <w:tab w:val="right" w:leader="dot" w:pos="8306"/>
        </w:tabs>
        <w:spacing w:line="360" w:lineRule="auto"/>
        <w:jc w:val="both"/>
        <w:rPr>
          <w:rFonts w:asciiTheme="minorHAnsi" w:eastAsiaTheme="minorEastAsia" w:hAnsiTheme="minorHAnsi" w:cstheme="minorBidi"/>
          <w:kern w:val="2"/>
          <w:sz w:val="32"/>
          <w:szCs w:val="32"/>
        </w:rPr>
      </w:pPr>
      <w:hyperlink w:anchor="_Toc31032" w:history="1"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10.投标时</w:t>
        </w:r>
        <w:r w:rsidR="00ED62C4">
          <w:rPr>
            <w:rFonts w:ascii="黑体" w:eastAsia="黑体" w:hAnsiTheme="minorHAnsi" w:cstheme="minorBidi" w:hint="eastAsia"/>
            <w:kern w:val="2"/>
            <w:sz w:val="32"/>
            <w:szCs w:val="32"/>
          </w:rPr>
          <w:t>招标方</w:t>
        </w:r>
        <w:r w:rsidR="004F5C95">
          <w:rPr>
            <w:rFonts w:ascii="黑体" w:eastAsia="黑体" w:hAnsiTheme="minorHAnsi" w:cstheme="minorBidi" w:hint="eastAsia"/>
            <w:kern w:val="2"/>
            <w:sz w:val="32"/>
            <w:szCs w:val="32"/>
          </w:rPr>
          <w:t>应提供的资料</w:t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ab/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begin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instrText xml:space="preserve"> PAGEREF _Toc31032 </w:instrTex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separate"/>
        </w:r>
        <w:r w:rsidR="004F5C95">
          <w:rPr>
            <w:rFonts w:asciiTheme="minorHAnsi" w:eastAsiaTheme="minorEastAsia" w:hAnsiTheme="minorHAnsi" w:cstheme="minorBidi"/>
            <w:kern w:val="2"/>
            <w:sz w:val="32"/>
            <w:szCs w:val="32"/>
          </w:rPr>
          <w:t>11</w:t>
        </w:r>
        <w:r>
          <w:rPr>
            <w:rFonts w:asciiTheme="minorHAnsi" w:eastAsiaTheme="minorEastAsia" w:hAnsiTheme="minorHAnsi" w:cstheme="minorBidi"/>
            <w:kern w:val="2"/>
            <w:sz w:val="32"/>
            <w:szCs w:val="32"/>
          </w:rPr>
          <w:fldChar w:fldCharType="end"/>
        </w:r>
      </w:hyperlink>
    </w:p>
    <w:p w:rsidR="00417E68" w:rsidRDefault="00E02794">
      <w:pPr>
        <w:spacing w:line="360" w:lineRule="auto"/>
        <w:rPr>
          <w:b/>
          <w:sz w:val="44"/>
          <w:szCs w:val="44"/>
        </w:rPr>
      </w:pPr>
      <w:r>
        <w:rPr>
          <w:rFonts w:hint="eastAsia"/>
          <w:sz w:val="32"/>
          <w:szCs w:val="32"/>
        </w:rPr>
        <w:fldChar w:fldCharType="end"/>
      </w: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spacing w:line="540" w:lineRule="exact"/>
        <w:jc w:val="center"/>
        <w:rPr>
          <w:b/>
          <w:sz w:val="44"/>
          <w:szCs w:val="44"/>
        </w:rPr>
      </w:pPr>
    </w:p>
    <w:p w:rsidR="00417E68" w:rsidRDefault="00417E68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  <w:sectPr w:rsidR="00417E68">
          <w:footerReference w:type="default" r:id="rId10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bookmarkStart w:id="0" w:name="_Toc5626"/>
      <w:bookmarkStart w:id="1" w:name="_Toc460162295"/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r>
        <w:rPr>
          <w:rFonts w:ascii="黑体" w:eastAsia="黑体" w:hint="eastAsia"/>
          <w:b w:val="0"/>
          <w:sz w:val="30"/>
          <w:szCs w:val="30"/>
        </w:rPr>
        <w:lastRenderedPageBreak/>
        <w:t>1.总则</w:t>
      </w:r>
      <w:bookmarkEnd w:id="0"/>
      <w:bookmarkEnd w:id="1"/>
    </w:p>
    <w:p w:rsidR="00417E68" w:rsidRDefault="004F5C95">
      <w:pPr>
        <w:spacing w:line="360" w:lineRule="auto"/>
        <w:rPr>
          <w:rFonts w:ascii="宋体" w:hAnsi="宋体" w:cs="黑体"/>
          <w:b/>
          <w:color w:val="000000"/>
          <w:sz w:val="24"/>
          <w:lang w:val="en-GB"/>
        </w:rPr>
      </w:pPr>
      <w:r>
        <w:rPr>
          <w:rFonts w:ascii="宋体" w:hAnsi="宋体" w:cs="黑体" w:hint="eastAsia"/>
          <w:color w:val="000000"/>
          <w:sz w:val="24"/>
          <w:szCs w:val="24"/>
        </w:rPr>
        <w:t>1.1本规格书适用于神华黄骅港务有限责任公司二期装船</w:t>
      </w:r>
      <w:proofErr w:type="gramStart"/>
      <w:r>
        <w:rPr>
          <w:rFonts w:ascii="宋体" w:hAnsi="宋体" w:cs="黑体" w:hint="eastAsia"/>
          <w:color w:val="000000"/>
          <w:sz w:val="24"/>
          <w:szCs w:val="24"/>
        </w:rPr>
        <w:t>机悬皮驱动</w:t>
      </w:r>
      <w:proofErr w:type="gramEnd"/>
      <w:r>
        <w:rPr>
          <w:rFonts w:ascii="宋体" w:hAnsi="宋体" w:cs="黑体" w:hint="eastAsia"/>
          <w:color w:val="000000"/>
          <w:sz w:val="24"/>
          <w:szCs w:val="24"/>
        </w:rPr>
        <w:t>减速机备件国产化改造项目</w:t>
      </w:r>
      <w:r>
        <w:rPr>
          <w:rFonts w:ascii="宋体" w:hAnsi="宋体" w:cs="黑体" w:hint="eastAsia"/>
          <w:color w:val="000000"/>
          <w:sz w:val="24"/>
        </w:rPr>
        <w:t xml:space="preserve">的基本技术要求和主要技术参数的有关条款，并非该项目的所有细节。投标方应仔细阅读，如发现有疑问、不详和矛盾之处，请立即与神华黄骅港务有限公司(以下简称招标方)联系。  </w:t>
      </w:r>
    </w:p>
    <w:p w:rsidR="00417E68" w:rsidRDefault="004F5C95">
      <w:pPr>
        <w:spacing w:line="360" w:lineRule="auto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1.2本规格书所使用的标准如与投标方所执行的标准发生矛盾时，按较高标准执行。</w:t>
      </w:r>
    </w:p>
    <w:p w:rsidR="00417E68" w:rsidRDefault="004F5C95">
      <w:pPr>
        <w:spacing w:line="360" w:lineRule="auto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1.3在签订合同后，招标方有权提出因标准、规范和规程发生变化而产生的一些修订要求，具体事项宜由双方共同协商确定。</w:t>
      </w:r>
    </w:p>
    <w:p w:rsidR="00417E68" w:rsidRDefault="004F5C95">
      <w:pPr>
        <w:spacing w:line="360" w:lineRule="auto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1.4 如果投标方没有以书面形式对本规格书的条文提出异议，则意味着投标方提供的设备或服务完全符合本规格书的要求。</w:t>
      </w:r>
    </w:p>
    <w:p w:rsidR="00417E68" w:rsidRDefault="004F5C95">
      <w:pPr>
        <w:spacing w:line="360" w:lineRule="auto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1.5本规格书经双方确认后作为合同的技术附件，与合同正文具有同等效力。</w:t>
      </w:r>
      <w:bookmarkStart w:id="2" w:name="_Toc276630598"/>
      <w:bookmarkStart w:id="3" w:name="_Toc276126626"/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4" w:name="_Toc460162296"/>
      <w:bookmarkStart w:id="5" w:name="_Toc656"/>
      <w:bookmarkEnd w:id="2"/>
      <w:bookmarkEnd w:id="3"/>
      <w:r>
        <w:rPr>
          <w:rFonts w:ascii="黑体" w:eastAsia="黑体" w:hint="eastAsia"/>
          <w:b w:val="0"/>
          <w:sz w:val="30"/>
          <w:szCs w:val="30"/>
        </w:rPr>
        <w:t>2. 工程概况</w:t>
      </w:r>
      <w:bookmarkEnd w:id="4"/>
      <w:bookmarkEnd w:id="5"/>
    </w:p>
    <w:p w:rsidR="00417E68" w:rsidRDefault="004F5C95">
      <w:pPr>
        <w:spacing w:line="360" w:lineRule="auto"/>
        <w:ind w:firstLineChars="200" w:firstLine="480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黄骅港务有限责任公司二期装船</w:t>
      </w:r>
      <w:proofErr w:type="gramStart"/>
      <w:r>
        <w:rPr>
          <w:rFonts w:ascii="宋体" w:hAnsi="宋体" w:cs="黑体" w:hint="eastAsia"/>
          <w:color w:val="000000"/>
          <w:sz w:val="24"/>
          <w:szCs w:val="24"/>
        </w:rPr>
        <w:t>机悬皮驱动</w:t>
      </w:r>
      <w:proofErr w:type="gramEnd"/>
      <w:r>
        <w:rPr>
          <w:rFonts w:ascii="宋体" w:hAnsi="宋体" w:cs="黑体" w:hint="eastAsia"/>
          <w:color w:val="000000"/>
          <w:sz w:val="24"/>
          <w:szCs w:val="24"/>
        </w:rPr>
        <w:t>减速机在使用过程中出现了疲劳失效的情况，经过多次维修后仍存在一定的安全隐患。</w:t>
      </w:r>
    </w:p>
    <w:p w:rsidR="00417E68" w:rsidRDefault="004F5C95">
      <w:pPr>
        <w:spacing w:line="360" w:lineRule="auto"/>
        <w:ind w:firstLineChars="200" w:firstLine="480"/>
        <w:rPr>
          <w:rFonts w:ascii="宋体" w:hAnsi="宋体" w:cs="黑体"/>
          <w:color w:val="000000"/>
        </w:rPr>
      </w:pPr>
      <w:r>
        <w:rPr>
          <w:rFonts w:ascii="宋体" w:hAnsi="宋体" w:cs="黑体" w:hint="eastAsia"/>
          <w:color w:val="000000"/>
          <w:sz w:val="24"/>
          <w:szCs w:val="24"/>
        </w:rPr>
        <w:t>为提高黄骅港二期装船</w:t>
      </w:r>
      <w:proofErr w:type="gramStart"/>
      <w:r>
        <w:rPr>
          <w:rFonts w:ascii="宋体" w:hAnsi="宋体" w:cs="黑体" w:hint="eastAsia"/>
          <w:color w:val="000000"/>
          <w:sz w:val="24"/>
          <w:szCs w:val="24"/>
        </w:rPr>
        <w:t>机悬皮驱动</w:t>
      </w:r>
      <w:proofErr w:type="gramEnd"/>
      <w:r>
        <w:rPr>
          <w:rFonts w:ascii="宋体" w:hAnsi="宋体" w:cs="黑体" w:hint="eastAsia"/>
          <w:color w:val="000000"/>
          <w:sz w:val="24"/>
          <w:szCs w:val="24"/>
        </w:rPr>
        <w:t>减速机的安全性能，提高其作业稳定性，特开展此项目。</w:t>
      </w:r>
    </w:p>
    <w:p w:rsidR="00417E68" w:rsidRDefault="004F5C95">
      <w:pPr>
        <w:numPr>
          <w:ilvl w:val="0"/>
          <w:numId w:val="2"/>
        </w:numPr>
        <w:topLinePunct/>
        <w:snapToGrid w:val="0"/>
        <w:spacing w:line="360" w:lineRule="auto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1系统方案</w:t>
      </w:r>
    </w:p>
    <w:p w:rsidR="00417E68" w:rsidRDefault="004F5C95">
      <w:pPr>
        <w:spacing w:line="360" w:lineRule="auto"/>
        <w:outlineLvl w:val="0"/>
        <w:rPr>
          <w:rFonts w:ascii="宋体" w:hAnsi="宋体" w:cs="黑体"/>
          <w:color w:val="000000"/>
          <w:sz w:val="24"/>
          <w:szCs w:val="24"/>
        </w:rPr>
      </w:pPr>
      <w:bookmarkStart w:id="6" w:name="_Toc460162297"/>
      <w:bookmarkStart w:id="7" w:name="_Toc19464"/>
      <w:bookmarkStart w:id="8" w:name="_Toc460162119"/>
      <w:r>
        <w:rPr>
          <w:rFonts w:ascii="宋体" w:hAnsi="宋体" w:cs="黑体" w:hint="eastAsia"/>
          <w:color w:val="000000"/>
          <w:sz w:val="24"/>
          <w:szCs w:val="24"/>
        </w:rPr>
        <w:t>投标方根据招标方提供的黄骅港二期装船</w:t>
      </w:r>
      <w:proofErr w:type="gramStart"/>
      <w:r>
        <w:rPr>
          <w:rFonts w:ascii="宋体" w:hAnsi="宋体" w:cs="黑体" w:hint="eastAsia"/>
          <w:color w:val="000000"/>
          <w:sz w:val="24"/>
          <w:szCs w:val="24"/>
        </w:rPr>
        <w:t>机相关</w:t>
      </w:r>
      <w:proofErr w:type="gramEnd"/>
      <w:r>
        <w:rPr>
          <w:rFonts w:ascii="宋体" w:hAnsi="宋体" w:cs="黑体" w:hint="eastAsia"/>
          <w:color w:val="000000"/>
          <w:sz w:val="24"/>
          <w:szCs w:val="24"/>
        </w:rPr>
        <w:t>图纸资料（见附件1），结合现场实际情况，提出整体改造方案，并确定详细的整改方案。</w:t>
      </w:r>
      <w:bookmarkEnd w:id="6"/>
      <w:bookmarkEnd w:id="7"/>
      <w:bookmarkEnd w:id="8"/>
    </w:p>
    <w:p w:rsidR="00417E68" w:rsidRDefault="004F5C95">
      <w:pPr>
        <w:topLinePunct/>
        <w:snapToGrid w:val="0"/>
        <w:spacing w:line="360" w:lineRule="auto"/>
        <w:rPr>
          <w:rFonts w:ascii="宋体" w:hAnsi="宋体" w:cs="黑体"/>
          <w:color w:val="000000"/>
          <w:sz w:val="24"/>
          <w:szCs w:val="24"/>
        </w:rPr>
      </w:pPr>
      <w:r>
        <w:rPr>
          <w:rFonts w:ascii="宋体" w:hAnsi="宋体" w:cs="黑体" w:hint="eastAsia"/>
          <w:color w:val="000000"/>
          <w:sz w:val="24"/>
          <w:szCs w:val="24"/>
        </w:rPr>
        <w:t>2.2供货范围</w:t>
      </w:r>
    </w:p>
    <w:p w:rsidR="00417E68" w:rsidRDefault="004F5C95">
      <w:pPr>
        <w:topLinePunct/>
        <w:snapToGrid w:val="0"/>
        <w:spacing w:line="360" w:lineRule="auto"/>
        <w:ind w:firstLineChars="150" w:firstLine="378"/>
        <w:rPr>
          <w:rFonts w:ascii="宋体"/>
          <w:color w:val="000000"/>
          <w:spacing w:val="6"/>
          <w:sz w:val="24"/>
          <w:szCs w:val="24"/>
        </w:rPr>
      </w:pPr>
      <w:r>
        <w:rPr>
          <w:rFonts w:ascii="宋体" w:hint="eastAsia"/>
          <w:color w:val="000000"/>
          <w:spacing w:val="6"/>
          <w:sz w:val="24"/>
          <w:szCs w:val="24"/>
        </w:rPr>
        <w:t>本项目招标范围包括黄骅港二期</w:t>
      </w:r>
      <w:r>
        <w:rPr>
          <w:rFonts w:ascii="宋体" w:hAnsi="宋体" w:cs="黑体" w:hint="eastAsia"/>
          <w:color w:val="000000"/>
          <w:sz w:val="24"/>
          <w:szCs w:val="24"/>
        </w:rPr>
        <w:t>装船机（SL4/5/6)其中一台单机</w:t>
      </w:r>
      <w:proofErr w:type="gramStart"/>
      <w:r>
        <w:rPr>
          <w:rFonts w:ascii="宋体" w:hAnsi="宋体" w:cs="黑体" w:hint="eastAsia"/>
          <w:color w:val="000000"/>
          <w:sz w:val="24"/>
          <w:szCs w:val="24"/>
        </w:rPr>
        <w:t>的悬皮驱动</w:t>
      </w:r>
      <w:proofErr w:type="gramEnd"/>
      <w:r>
        <w:rPr>
          <w:rFonts w:ascii="宋体" w:hAnsi="宋体" w:cs="黑体" w:hint="eastAsia"/>
          <w:color w:val="000000"/>
          <w:sz w:val="24"/>
          <w:szCs w:val="24"/>
        </w:rPr>
        <w:t>减速机备件国产化改造</w:t>
      </w:r>
      <w:r>
        <w:rPr>
          <w:rFonts w:ascii="宋体" w:hint="eastAsia"/>
          <w:color w:val="000000"/>
          <w:spacing w:val="6"/>
          <w:sz w:val="24"/>
          <w:szCs w:val="24"/>
        </w:rPr>
        <w:t>，供货范围包括国产减速机的设计、制造、运输、交货、安装调试指导及售后等服务项目。</w:t>
      </w:r>
      <w:r w:rsidR="00ED62C4">
        <w:rPr>
          <w:rFonts w:ascii="宋体" w:hint="eastAsia"/>
          <w:color w:val="000000"/>
          <w:spacing w:val="6"/>
          <w:sz w:val="24"/>
          <w:szCs w:val="24"/>
        </w:rPr>
        <w:t>招标方</w:t>
      </w:r>
      <w:r>
        <w:rPr>
          <w:rFonts w:ascii="宋体" w:hint="eastAsia"/>
          <w:color w:val="000000"/>
          <w:spacing w:val="6"/>
          <w:sz w:val="24"/>
          <w:szCs w:val="24"/>
        </w:rPr>
        <w:t>对设备的交货及检验满足相关制造、安装、使用要求。设备</w:t>
      </w:r>
      <w:proofErr w:type="gramStart"/>
      <w:r>
        <w:rPr>
          <w:rFonts w:ascii="宋体" w:hint="eastAsia"/>
          <w:color w:val="000000"/>
          <w:spacing w:val="6"/>
          <w:sz w:val="24"/>
          <w:szCs w:val="24"/>
        </w:rPr>
        <w:t>选型需</w:t>
      </w:r>
      <w:proofErr w:type="gramEnd"/>
      <w:r>
        <w:rPr>
          <w:rFonts w:ascii="宋体" w:hint="eastAsia"/>
          <w:color w:val="000000"/>
          <w:spacing w:val="6"/>
          <w:sz w:val="24"/>
          <w:szCs w:val="24"/>
        </w:rPr>
        <w:t>得到</w:t>
      </w:r>
      <w:r w:rsidR="00ED62C4">
        <w:rPr>
          <w:rFonts w:ascii="宋体" w:hint="eastAsia"/>
          <w:color w:val="000000"/>
          <w:spacing w:val="6"/>
          <w:sz w:val="24"/>
          <w:szCs w:val="24"/>
        </w:rPr>
        <w:t>投标方</w:t>
      </w:r>
      <w:r>
        <w:rPr>
          <w:rFonts w:ascii="宋体" w:hint="eastAsia"/>
          <w:color w:val="000000"/>
          <w:spacing w:val="6"/>
          <w:sz w:val="24"/>
          <w:szCs w:val="24"/>
        </w:rPr>
        <w:t>确认，确保工程在合同规定的工期内正常投入生产。</w:t>
      </w:r>
    </w:p>
    <w:p w:rsidR="00417E68" w:rsidRDefault="004F5C95">
      <w:pPr>
        <w:topLinePunct/>
        <w:snapToGrid w:val="0"/>
        <w:spacing w:line="360" w:lineRule="auto"/>
        <w:rPr>
          <w:rFonts w:ascii="宋体" w:hAnsi="宋体" w:cs="黑体"/>
          <w:color w:val="000000"/>
          <w:sz w:val="24"/>
        </w:rPr>
      </w:pPr>
      <w:r>
        <w:rPr>
          <w:rFonts w:ascii="宋体" w:hAnsi="宋体" w:cs="黑体" w:hint="eastAsia"/>
          <w:color w:val="000000"/>
          <w:sz w:val="24"/>
        </w:rPr>
        <w:lastRenderedPageBreak/>
        <w:t xml:space="preserve">2.3项目的基本要求（并不限于此）： </w:t>
      </w:r>
    </w:p>
    <w:p w:rsidR="00417E68" w:rsidRDefault="004F5C95">
      <w:pPr>
        <w:topLinePunct/>
        <w:snapToGrid w:val="0"/>
        <w:spacing w:line="360" w:lineRule="auto"/>
        <w:rPr>
          <w:rFonts w:ascii="宋体" w:hAnsi="宋体" w:cs="黑体"/>
          <w:color w:val="000000"/>
          <w:sz w:val="24"/>
        </w:rPr>
      </w:pPr>
      <w:r>
        <w:rPr>
          <w:rFonts w:ascii="宋体" w:hAnsi="宋体" w:cs="黑体" w:hint="eastAsia"/>
          <w:color w:val="000000"/>
          <w:sz w:val="24"/>
        </w:rPr>
        <w:t>2.3.1设计、加工、组装出不低于原机性能的减速机及配套装置。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24"/>
          <w:szCs w:val="24"/>
        </w:rPr>
      </w:pPr>
      <w:bookmarkStart w:id="9" w:name="_Toc460162120"/>
      <w:bookmarkStart w:id="10" w:name="_Toc25444"/>
      <w:bookmarkStart w:id="11" w:name="_Toc460162298"/>
      <w:r>
        <w:rPr>
          <w:rFonts w:ascii="宋体" w:hAnsi="宋体" w:cs="黑体" w:hint="eastAsia"/>
          <w:color w:val="000000"/>
          <w:sz w:val="24"/>
        </w:rPr>
        <w:t>2.3.2</w:t>
      </w:r>
      <w:r>
        <w:rPr>
          <w:rFonts w:ascii="黑体" w:eastAsia="黑体" w:hint="eastAsia"/>
          <w:b w:val="0"/>
          <w:sz w:val="24"/>
          <w:szCs w:val="24"/>
        </w:rPr>
        <w:t>设备改造范围</w:t>
      </w:r>
      <w:bookmarkEnd w:id="9"/>
      <w:bookmarkEnd w:id="10"/>
      <w:bookmarkEnd w:id="11"/>
    </w:p>
    <w:p w:rsidR="00417E68" w:rsidRDefault="004F5C95" w:rsidP="00417E68">
      <w:pPr>
        <w:pStyle w:val="a4"/>
        <w:tabs>
          <w:tab w:val="left" w:pos="480"/>
        </w:tabs>
        <w:autoSpaceDE w:val="0"/>
        <w:autoSpaceDN w:val="0"/>
        <w:spacing w:line="360" w:lineRule="auto"/>
        <w:ind w:leftChars="200" w:left="900" w:hangingChars="200" w:hanging="480"/>
        <w:rPr>
          <w:rFonts w:eastAsia="宋体"/>
          <w:color w:val="000000"/>
          <w:sz w:val="24"/>
        </w:rPr>
      </w:pPr>
      <w:r>
        <w:rPr>
          <w:rFonts w:eastAsia="宋体" w:hint="eastAsia"/>
          <w:color w:val="000000"/>
          <w:sz w:val="24"/>
        </w:rPr>
        <w:t>(</w:t>
      </w:r>
      <w:r>
        <w:rPr>
          <w:rFonts w:eastAsia="宋体"/>
          <w:color w:val="000000"/>
          <w:sz w:val="24"/>
        </w:rPr>
        <w:t>1</w:t>
      </w:r>
      <w:r>
        <w:rPr>
          <w:rFonts w:eastAsia="宋体" w:hint="eastAsia"/>
          <w:color w:val="000000"/>
          <w:sz w:val="24"/>
        </w:rPr>
        <w:t>)机械部分改造</w:t>
      </w:r>
    </w:p>
    <w:tbl>
      <w:tblPr>
        <w:tblW w:w="5908" w:type="dxa"/>
        <w:tblInd w:w="1526" w:type="dxa"/>
        <w:tblLayout w:type="fixed"/>
        <w:tblLook w:val="04A0"/>
      </w:tblPr>
      <w:tblGrid>
        <w:gridCol w:w="3827"/>
        <w:gridCol w:w="2081"/>
      </w:tblGrid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减速机箱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冷却风扇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联轴器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弹性块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3套(1套备用)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锁紧胀盘</w:t>
            </w:r>
            <w:proofErr w:type="gramEnd"/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输出轴定位铜套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强制润滑泵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润滑管路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3套(1套备用)</w:t>
            </w:r>
          </w:p>
        </w:tc>
      </w:tr>
    </w:tbl>
    <w:p w:rsidR="00417E68" w:rsidRDefault="00417E68" w:rsidP="00417E68">
      <w:pPr>
        <w:pStyle w:val="a4"/>
        <w:tabs>
          <w:tab w:val="left" w:pos="480"/>
        </w:tabs>
        <w:autoSpaceDE w:val="0"/>
        <w:autoSpaceDN w:val="0"/>
        <w:spacing w:line="360" w:lineRule="auto"/>
        <w:ind w:firstLine="480"/>
        <w:rPr>
          <w:rFonts w:eastAsia="宋体"/>
          <w:color w:val="000000"/>
          <w:sz w:val="24"/>
        </w:rPr>
      </w:pPr>
    </w:p>
    <w:p w:rsidR="00417E68" w:rsidRDefault="004F5C95" w:rsidP="00417E68">
      <w:pPr>
        <w:pStyle w:val="a4"/>
        <w:numPr>
          <w:ilvl w:val="0"/>
          <w:numId w:val="4"/>
        </w:numPr>
        <w:tabs>
          <w:tab w:val="left" w:pos="480"/>
        </w:tabs>
        <w:autoSpaceDE w:val="0"/>
        <w:autoSpaceDN w:val="0"/>
        <w:spacing w:line="360" w:lineRule="auto"/>
        <w:ind w:leftChars="200" w:left="900" w:hangingChars="200" w:hanging="480"/>
        <w:rPr>
          <w:rFonts w:eastAsia="宋体"/>
          <w:color w:val="000000"/>
          <w:sz w:val="24"/>
        </w:rPr>
      </w:pPr>
      <w:r>
        <w:rPr>
          <w:rFonts w:eastAsia="宋体" w:hint="eastAsia"/>
          <w:color w:val="000000"/>
          <w:sz w:val="24"/>
        </w:rPr>
        <w:t>电气部分改造</w:t>
      </w:r>
    </w:p>
    <w:tbl>
      <w:tblPr>
        <w:tblW w:w="5244" w:type="dxa"/>
        <w:tblInd w:w="1526" w:type="dxa"/>
        <w:tblLayout w:type="fixed"/>
        <w:tblLook w:val="04A0"/>
      </w:tblPr>
      <w:tblGrid>
        <w:gridCol w:w="3827"/>
        <w:gridCol w:w="1417"/>
      </w:tblGrid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热电阻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温度信号转换器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  <w:tr w:rsidR="00417E68">
        <w:trPr>
          <w:trHeight w:val="454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pStyle w:val="11"/>
              <w:widowControl/>
              <w:numPr>
                <w:ilvl w:val="0"/>
                <w:numId w:val="3"/>
              </w:numPr>
              <w:ind w:firstLineChars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油流开关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7E68" w:rsidRDefault="004F5C95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2套</w:t>
            </w:r>
          </w:p>
        </w:tc>
      </w:tr>
    </w:tbl>
    <w:p w:rsidR="00417E68" w:rsidRDefault="00417E68">
      <w:pPr>
        <w:pStyle w:val="a4"/>
        <w:tabs>
          <w:tab w:val="left" w:pos="480"/>
        </w:tabs>
        <w:autoSpaceDE w:val="0"/>
        <w:autoSpaceDN w:val="0"/>
        <w:spacing w:line="360" w:lineRule="auto"/>
        <w:ind w:left="420" w:firstLineChars="0" w:firstLine="0"/>
        <w:rPr>
          <w:rFonts w:eastAsia="宋体"/>
          <w:color w:val="000000"/>
          <w:sz w:val="24"/>
        </w:rPr>
      </w:pPr>
    </w:p>
    <w:p w:rsidR="00417E68" w:rsidRDefault="004F5C95" w:rsidP="00417E68">
      <w:pPr>
        <w:pStyle w:val="a4"/>
        <w:tabs>
          <w:tab w:val="left" w:pos="480"/>
        </w:tabs>
        <w:autoSpaceDE w:val="0"/>
        <w:autoSpaceDN w:val="0"/>
        <w:spacing w:line="360" w:lineRule="auto"/>
        <w:ind w:leftChars="200" w:left="900" w:hangingChars="200" w:hanging="480"/>
        <w:rPr>
          <w:rFonts w:eastAsia="宋体"/>
          <w:color w:val="000000"/>
          <w:sz w:val="24"/>
        </w:rPr>
      </w:pPr>
      <w:r>
        <w:rPr>
          <w:rFonts w:eastAsia="宋体" w:hint="eastAsia"/>
          <w:color w:val="000000"/>
          <w:sz w:val="24"/>
        </w:rPr>
        <w:t>(3)全部设计计算说明书、检验报告书、图纸及资料。</w:t>
      </w:r>
    </w:p>
    <w:p w:rsidR="00417E68" w:rsidRDefault="004F5C95" w:rsidP="00417E68">
      <w:pPr>
        <w:pStyle w:val="a4"/>
        <w:tabs>
          <w:tab w:val="left" w:pos="480"/>
        </w:tabs>
        <w:autoSpaceDE w:val="0"/>
        <w:autoSpaceDN w:val="0"/>
        <w:spacing w:line="360" w:lineRule="auto"/>
        <w:ind w:leftChars="200" w:left="900" w:hangingChars="200" w:hanging="480"/>
        <w:rPr>
          <w:rFonts w:cs="黑体"/>
          <w:color w:val="000000"/>
          <w:szCs w:val="21"/>
        </w:rPr>
      </w:pPr>
      <w:r>
        <w:rPr>
          <w:rFonts w:eastAsia="宋体" w:hint="eastAsia"/>
          <w:color w:val="000000"/>
          <w:sz w:val="24"/>
        </w:rPr>
        <w:t>(4)改造项目的现场安装调试指导。</w:t>
      </w:r>
    </w:p>
    <w:p w:rsidR="00417E68" w:rsidRDefault="004F5C95">
      <w:pPr>
        <w:topLinePunct/>
        <w:snapToGrid w:val="0"/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2.4 现场条件</w:t>
      </w:r>
    </w:p>
    <w:p w:rsidR="00417E68" w:rsidRDefault="004F5C95">
      <w:pPr>
        <w:spacing w:line="48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2.4.1港口地理位置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黄骅港位于中国河北省沧州市区以东约90km的渤海之滨，地处环渤海经济区的中部。</w:t>
      </w:r>
      <w:proofErr w:type="gramStart"/>
      <w:r>
        <w:rPr>
          <w:rFonts w:ascii="宋体" w:eastAsia="宋体" w:hAnsi="宋体" w:cs="仿宋_GB2312" w:hint="eastAsia"/>
          <w:sz w:val="24"/>
          <w:szCs w:val="24"/>
        </w:rPr>
        <w:t>漳</w:t>
      </w:r>
      <w:proofErr w:type="gramEnd"/>
      <w:r>
        <w:rPr>
          <w:rFonts w:ascii="宋体" w:eastAsia="宋体" w:hAnsi="宋体" w:cs="仿宋_GB2312" w:hint="eastAsia"/>
          <w:sz w:val="24"/>
          <w:szCs w:val="24"/>
        </w:rPr>
        <w:t>卫新河与宣惠河交汇的大口河在此处入海。海上北距天津112km，东距龙口约280km；陆上西距黄骅市45km，朔（州）黄（</w:t>
      </w:r>
      <w:proofErr w:type="gramStart"/>
      <w:r>
        <w:rPr>
          <w:rFonts w:ascii="宋体" w:eastAsia="宋体" w:hAnsi="宋体" w:cs="仿宋_GB2312" w:hint="eastAsia"/>
          <w:sz w:val="24"/>
          <w:szCs w:val="24"/>
        </w:rPr>
        <w:t>骅</w:t>
      </w:r>
      <w:proofErr w:type="gramEnd"/>
      <w:r>
        <w:rPr>
          <w:rFonts w:ascii="宋体" w:eastAsia="宋体" w:hAnsi="宋体" w:cs="仿宋_GB2312" w:hint="eastAsia"/>
          <w:sz w:val="24"/>
          <w:szCs w:val="24"/>
        </w:rPr>
        <w:t>）铁路直通港内。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2.4.2  自然条件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1、气象条件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lastRenderedPageBreak/>
        <w:t>（1）风</w:t>
      </w:r>
      <w:proofErr w:type="gramStart"/>
      <w:r>
        <w:rPr>
          <w:rFonts w:ascii="宋体" w:eastAsia="宋体" w:hAnsi="宋体" w:cs="仿宋_GB2312" w:hint="eastAsia"/>
          <w:sz w:val="24"/>
          <w:szCs w:val="24"/>
        </w:rPr>
        <w:t>况</w:t>
      </w:r>
      <w:proofErr w:type="gramEnd"/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常风向：南南西（SSW），出现频率为11.1%。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强风向：东北东（ENE），出现频率为0.4%。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瞬时极大风速：＞40m/s</w:t>
      </w:r>
    </w:p>
    <w:p w:rsidR="00417E68" w:rsidRDefault="004F5C95">
      <w:pPr>
        <w:spacing w:line="360" w:lineRule="auto"/>
        <w:ind w:firstLineChars="200" w:firstLine="504"/>
        <w:rPr>
          <w:rFonts w:ascii="宋体" w:eastAsia="宋体" w:hAnsi="宋体" w:cs="仿宋_GB2312"/>
          <w:spacing w:val="6"/>
          <w:sz w:val="24"/>
          <w:szCs w:val="24"/>
        </w:rPr>
      </w:pPr>
      <w:r>
        <w:rPr>
          <w:rFonts w:ascii="宋体" w:eastAsia="宋体" w:hAnsi="宋体" w:cs="仿宋_GB2312" w:hint="eastAsia"/>
          <w:spacing w:val="6"/>
          <w:sz w:val="24"/>
          <w:szCs w:val="24"/>
        </w:rPr>
        <w:t>对固定的建筑结构，风荷载按中国建筑结构设计规范计算，带式输送机架和带式输送机房基本风荷载:450N/m</w:t>
      </w:r>
      <w:r>
        <w:rPr>
          <w:rFonts w:ascii="宋体" w:eastAsia="宋体" w:hAnsi="宋体" w:cs="仿宋_GB2312" w:hint="eastAsia"/>
          <w:spacing w:val="6"/>
          <w:sz w:val="24"/>
          <w:szCs w:val="24"/>
          <w:vertAlign w:val="superscript"/>
        </w:rPr>
        <w:t>2</w:t>
      </w:r>
      <w:r>
        <w:rPr>
          <w:rFonts w:ascii="宋体" w:eastAsia="宋体" w:hAnsi="宋体" w:cs="仿宋_GB2312" w:hint="eastAsia"/>
          <w:spacing w:val="6"/>
          <w:sz w:val="24"/>
          <w:szCs w:val="24"/>
        </w:rPr>
        <w:t>。对于高机房和高栈桥结构基本风压应考虑风压增大系数1.1～1.2。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（2）降水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年平均降水量：</w:t>
      </w:r>
      <w:r>
        <w:rPr>
          <w:rFonts w:ascii="宋体" w:eastAsia="宋体" w:hAnsi="宋体" w:cs="仿宋_GB2312" w:hint="eastAsia"/>
          <w:sz w:val="24"/>
          <w:szCs w:val="24"/>
        </w:rPr>
        <w:tab/>
      </w:r>
      <w:r>
        <w:rPr>
          <w:rFonts w:ascii="宋体" w:eastAsia="宋体" w:hAnsi="宋体" w:cs="仿宋_GB2312" w:hint="eastAsia"/>
          <w:sz w:val="24"/>
          <w:szCs w:val="24"/>
        </w:rPr>
        <w:tab/>
        <w:t>501mm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历年最大年降水量：</w:t>
      </w:r>
      <w:r>
        <w:rPr>
          <w:rFonts w:ascii="宋体" w:eastAsia="宋体" w:hAnsi="宋体" w:cs="仿宋_GB2312" w:hint="eastAsia"/>
          <w:sz w:val="24"/>
          <w:szCs w:val="24"/>
        </w:rPr>
        <w:tab/>
        <w:t>719.4mm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历年最小年降水量：</w:t>
      </w:r>
      <w:r>
        <w:rPr>
          <w:rFonts w:ascii="宋体" w:eastAsia="宋体" w:hAnsi="宋体" w:cs="仿宋_GB2312" w:hint="eastAsia"/>
          <w:sz w:val="24"/>
          <w:szCs w:val="24"/>
        </w:rPr>
        <w:tab/>
        <w:t>336.8mm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历年最大日降水量：</w:t>
      </w:r>
      <w:r>
        <w:rPr>
          <w:rFonts w:ascii="宋体" w:eastAsia="宋体" w:hAnsi="宋体" w:cs="仿宋_GB2312" w:hint="eastAsia"/>
          <w:sz w:val="24"/>
          <w:szCs w:val="24"/>
        </w:rPr>
        <w:tab/>
        <w:t>136.8mm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年雷雨天数：</w:t>
      </w:r>
      <w:r>
        <w:rPr>
          <w:rFonts w:ascii="宋体" w:eastAsia="宋体" w:hAnsi="宋体" w:cs="仿宋_GB2312" w:hint="eastAsia"/>
          <w:sz w:val="24"/>
          <w:szCs w:val="24"/>
        </w:rPr>
        <w:tab/>
        <w:t>天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降水量主要集中在6、7、8三个月，占全年降水量的70%以上。年内日降水量大于25.0mm的天数平均5天，最多7天。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最大积雪深度：</w:t>
      </w:r>
      <w:r>
        <w:rPr>
          <w:rFonts w:ascii="宋体" w:eastAsia="宋体" w:hAnsi="宋体" w:cs="仿宋_GB2312" w:hint="eastAsia"/>
          <w:sz w:val="24"/>
          <w:szCs w:val="24"/>
        </w:rPr>
        <w:tab/>
        <w:t>21cm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（3）气温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多年平均气温：</w:t>
      </w:r>
      <w:r>
        <w:rPr>
          <w:rFonts w:ascii="宋体" w:eastAsia="宋体" w:hAnsi="宋体" w:cs="仿宋_GB2312" w:hint="eastAsia"/>
          <w:sz w:val="24"/>
          <w:szCs w:val="24"/>
        </w:rPr>
        <w:tab/>
      </w:r>
      <w:r>
        <w:rPr>
          <w:rFonts w:ascii="宋体" w:eastAsia="宋体" w:hAnsi="宋体" w:cs="仿宋_GB2312" w:hint="eastAsia"/>
          <w:sz w:val="24"/>
          <w:szCs w:val="24"/>
        </w:rPr>
        <w:tab/>
        <w:t>12.2℃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多年平均最高气温：</w:t>
      </w:r>
      <w:r>
        <w:rPr>
          <w:rFonts w:ascii="宋体" w:eastAsia="宋体" w:hAnsi="宋体" w:cs="仿宋_GB2312" w:hint="eastAsia"/>
          <w:sz w:val="24"/>
          <w:szCs w:val="24"/>
        </w:rPr>
        <w:tab/>
        <w:t>17.3℃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多年平均最低气温：</w:t>
      </w:r>
      <w:r>
        <w:rPr>
          <w:rFonts w:ascii="宋体" w:eastAsia="宋体" w:hAnsi="宋体" w:cs="仿宋_GB2312" w:hint="eastAsia"/>
          <w:sz w:val="24"/>
          <w:szCs w:val="24"/>
        </w:rPr>
        <w:tab/>
        <w:t>7.8℃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历年极端最高气温：</w:t>
      </w:r>
      <w:r>
        <w:rPr>
          <w:rFonts w:ascii="宋体" w:eastAsia="宋体" w:hAnsi="宋体" w:cs="仿宋_GB2312" w:hint="eastAsia"/>
          <w:sz w:val="24"/>
          <w:szCs w:val="24"/>
        </w:rPr>
        <w:tab/>
        <w:t>40.0℃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历年极端最低气温：</w:t>
      </w:r>
      <w:r>
        <w:rPr>
          <w:rFonts w:ascii="宋体" w:eastAsia="宋体" w:hAnsi="宋体" w:cs="仿宋_GB2312" w:hint="eastAsia"/>
          <w:sz w:val="24"/>
          <w:szCs w:val="24"/>
        </w:rPr>
        <w:tab/>
        <w:t>-19.5℃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年日平均气温低于-5℃的天数为71天，低于-10℃的天数为23.8天。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（4）雾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雾日多发生在秋、冬两季。年平均雾日数为12.2天，最多20天。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（5）相对湿度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最热月室外计算相对湿度：78%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lastRenderedPageBreak/>
        <w:t>（6）冬季日照率：66%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12" w:name="_Toc460162299"/>
      <w:bookmarkStart w:id="13" w:name="_Toc7608"/>
      <w:r>
        <w:rPr>
          <w:rFonts w:ascii="黑体" w:eastAsia="黑体" w:hint="eastAsia"/>
          <w:b w:val="0"/>
          <w:sz w:val="30"/>
          <w:szCs w:val="30"/>
        </w:rPr>
        <w:t>3.适用的标准、规范</w:t>
      </w:r>
      <w:bookmarkEnd w:id="12"/>
      <w:bookmarkEnd w:id="13"/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JB/T9002-1999运输机械用减速器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JB/T8853-2001圆柱齿轮减速器标准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JB/ZQ 4283-2006 圆锥齿轮减速器箱体形位公差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JB/ZQ4282-86圆柱齿轮减速器箱体形位公差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GB</w:t>
      </w:r>
      <w:r>
        <w:rPr>
          <w:rFonts w:ascii="宋体" w:hAnsi="宋体" w:hint="eastAsia"/>
          <w:sz w:val="24"/>
          <w:szCs w:val="24"/>
        </w:rPr>
        <w:t>中国国家标准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ISO</w:t>
      </w:r>
      <w:r>
        <w:rPr>
          <w:rFonts w:ascii="宋体" w:hAnsi="宋体" w:hint="eastAsia"/>
          <w:sz w:val="24"/>
          <w:szCs w:val="24"/>
        </w:rPr>
        <w:t>国际标准化组织标准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FEM</w:t>
      </w:r>
      <w:r>
        <w:rPr>
          <w:rFonts w:ascii="宋体" w:hAnsi="宋体" w:hint="eastAsia"/>
          <w:sz w:val="24"/>
          <w:szCs w:val="24"/>
        </w:rPr>
        <w:t>欧洲装卸机械联合会标准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DIN</w:t>
      </w:r>
      <w:r>
        <w:rPr>
          <w:rFonts w:ascii="宋体" w:hAnsi="宋体" w:hint="eastAsia"/>
          <w:sz w:val="24"/>
          <w:szCs w:val="24"/>
        </w:rPr>
        <w:t>德国工业标准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BS</w:t>
      </w:r>
      <w:r>
        <w:rPr>
          <w:rFonts w:ascii="宋体" w:hAnsi="宋体" w:hint="eastAsia"/>
          <w:sz w:val="24"/>
          <w:szCs w:val="24"/>
        </w:rPr>
        <w:t>英国标准学会标准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SIS</w:t>
      </w:r>
      <w:r>
        <w:rPr>
          <w:rFonts w:ascii="宋体" w:hAnsi="宋体" w:hint="eastAsia"/>
          <w:sz w:val="24"/>
          <w:szCs w:val="24"/>
        </w:rPr>
        <w:t>瑞典工业标准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SSPC</w:t>
      </w:r>
      <w:r>
        <w:rPr>
          <w:rFonts w:ascii="宋体" w:hAnsi="宋体" w:hint="eastAsia"/>
          <w:sz w:val="24"/>
          <w:szCs w:val="24"/>
        </w:rPr>
        <w:t>美国钢结构涂料学会标准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ASTM</w:t>
      </w:r>
      <w:r>
        <w:rPr>
          <w:rFonts w:ascii="宋体" w:hAnsi="宋体" w:hint="eastAsia"/>
          <w:sz w:val="24"/>
          <w:szCs w:val="24"/>
        </w:rPr>
        <w:t>美国材料实验协会标准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AISC</w:t>
      </w:r>
      <w:r>
        <w:rPr>
          <w:rFonts w:ascii="宋体" w:hAnsi="宋体" w:hint="eastAsia"/>
          <w:sz w:val="24"/>
          <w:szCs w:val="24"/>
        </w:rPr>
        <w:t>美国钢结构学会标准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AGMA</w:t>
      </w:r>
      <w:r>
        <w:rPr>
          <w:rFonts w:ascii="宋体" w:hAnsi="宋体" w:hint="eastAsia"/>
          <w:sz w:val="24"/>
          <w:szCs w:val="24"/>
        </w:rPr>
        <w:t>美国齿轮制造业协会标准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JIS</w:t>
      </w:r>
      <w:r>
        <w:rPr>
          <w:rFonts w:ascii="宋体" w:hAnsi="宋体" w:hint="eastAsia"/>
          <w:sz w:val="24"/>
          <w:szCs w:val="24"/>
        </w:rPr>
        <w:t>日本工业标准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IEC</w:t>
      </w:r>
      <w:r>
        <w:rPr>
          <w:rFonts w:ascii="宋体" w:hAnsi="宋体" w:hint="eastAsia"/>
          <w:sz w:val="24"/>
          <w:szCs w:val="24"/>
        </w:rPr>
        <w:t>国际</w:t>
      </w:r>
      <w:proofErr w:type="gramStart"/>
      <w:r>
        <w:rPr>
          <w:rFonts w:ascii="宋体" w:hAnsi="宋体" w:hint="eastAsia"/>
          <w:sz w:val="24"/>
          <w:szCs w:val="24"/>
        </w:rPr>
        <w:t>电气委</w:t>
      </w:r>
      <w:proofErr w:type="gramEnd"/>
      <w:r>
        <w:rPr>
          <w:rFonts w:ascii="宋体" w:hAnsi="宋体" w:hint="eastAsia"/>
          <w:sz w:val="24"/>
          <w:szCs w:val="24"/>
        </w:rPr>
        <w:t>会标准</w:t>
      </w:r>
    </w:p>
    <w:p w:rsidR="00417E68" w:rsidRDefault="004F5C95">
      <w:pPr>
        <w:numPr>
          <w:ilvl w:val="0"/>
          <w:numId w:val="5"/>
        </w:numPr>
        <w:tabs>
          <w:tab w:val="left" w:pos="6521"/>
        </w:tabs>
        <w:adjustRightInd w:val="0"/>
        <w:snapToGrid w:val="0"/>
        <w:spacing w:line="360" w:lineRule="auto"/>
        <w:jc w:val="left"/>
        <w:textAlignment w:val="baseline"/>
        <w:rPr>
          <w:rFonts w:ascii="宋体" w:hAnsi="宋体"/>
          <w:szCs w:val="24"/>
        </w:rPr>
      </w:pPr>
      <w:r>
        <w:rPr>
          <w:rFonts w:ascii="宋体" w:hAnsi="宋体"/>
          <w:sz w:val="24"/>
          <w:szCs w:val="24"/>
        </w:rPr>
        <w:t>IE</w:t>
      </w:r>
      <w:r>
        <w:rPr>
          <w:rFonts w:ascii="宋体" w:hAnsi="宋体" w:hint="eastAsia"/>
          <w:sz w:val="24"/>
          <w:szCs w:val="24"/>
        </w:rPr>
        <w:t>EE美国电气电子工程协会标准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14" w:name="_Toc6777"/>
      <w:bookmarkStart w:id="15" w:name="_Toc460162300"/>
      <w:r>
        <w:rPr>
          <w:rFonts w:ascii="黑体" w:eastAsia="黑体" w:hint="eastAsia"/>
          <w:b w:val="0"/>
          <w:sz w:val="30"/>
          <w:szCs w:val="30"/>
        </w:rPr>
        <w:t>4.</w:t>
      </w:r>
      <w:bookmarkStart w:id="16" w:name="_Toc276630600"/>
      <w:bookmarkStart w:id="17" w:name="_Toc276126647"/>
      <w:r>
        <w:rPr>
          <w:rFonts w:ascii="黑体" w:eastAsia="黑体" w:hint="eastAsia"/>
          <w:b w:val="0"/>
          <w:sz w:val="30"/>
          <w:szCs w:val="30"/>
        </w:rPr>
        <w:t>详细技术要求</w:t>
      </w:r>
      <w:bookmarkEnd w:id="14"/>
      <w:bookmarkEnd w:id="15"/>
      <w:bookmarkEnd w:id="16"/>
      <w:bookmarkEnd w:id="17"/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4.1设备工作环境：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环境温度：-26℃--50℃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工作制： 24小时/天，连续工作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每小时启动次数：25-30次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海拔高度：&lt;500m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4.2设备基本参数：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lastRenderedPageBreak/>
        <w:t>生产能力：  6000t/h(最大6700t/h)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皮带宽度：  2200mm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皮带速度：  4.97m/s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皮带长度：  120m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皮带通过角：35°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驱动功率：  160KW；1485min</w:t>
      </w:r>
      <w:r>
        <w:rPr>
          <w:rFonts w:hAnsi="宋体" w:hint="eastAsia"/>
          <w:bCs/>
          <w:szCs w:val="24"/>
          <w:vertAlign w:val="superscript"/>
        </w:rPr>
        <w:t>-1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减速机速比：12.627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名义速比：  12.5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安装形式：  卧式安装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减速机工作角度： 0-27°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润滑方式：  强制润滑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输出轴转向：单向；有单向</w:t>
      </w:r>
      <w:proofErr w:type="gramStart"/>
      <w:r>
        <w:rPr>
          <w:rFonts w:hAnsi="宋体" w:hint="eastAsia"/>
          <w:bCs/>
          <w:szCs w:val="24"/>
        </w:rPr>
        <w:t>逆止器</w:t>
      </w:r>
      <w:proofErr w:type="gramEnd"/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输出轴为空心轴连同锁紧套一并供货；</w:t>
      </w:r>
    </w:p>
    <w:p w:rsidR="00417E68" w:rsidRDefault="004F5C95">
      <w:pPr>
        <w:pStyle w:val="a5"/>
        <w:spacing w:line="460" w:lineRule="exact"/>
        <w:ind w:firstLineChars="200" w:firstLine="48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冷却方式：风扇冷却</w:t>
      </w:r>
    </w:p>
    <w:p w:rsidR="00417E68" w:rsidRDefault="004F5C95">
      <w:pPr>
        <w:pStyle w:val="a5"/>
        <w:spacing w:line="460" w:lineRule="exact"/>
        <w:ind w:firstLine="42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4.3所提供的减速机箱及配套产品应满足相关国家标准、规范和行业规范等要求。</w:t>
      </w:r>
    </w:p>
    <w:p w:rsidR="00417E68" w:rsidRDefault="004F5C95">
      <w:pPr>
        <w:pStyle w:val="a5"/>
        <w:spacing w:line="460" w:lineRule="exact"/>
        <w:ind w:firstLine="42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4.4减速机箱及其零部件还应符合以下要求：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防护等级达到国家相关规定要求，适合现场防尘、防水、防盐碱腐蚀的要求；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减速机箱安装尺寸和外形尺寸应与原机相</w:t>
      </w:r>
      <w:r>
        <w:rPr>
          <w:rStyle w:val="fontstyle01"/>
          <w:rFonts w:hint="default"/>
        </w:rPr>
        <w:t>同,新机的齿轮零部件可与原机的齿轮零部件进行通用互换；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Style w:val="fontstyle01"/>
          <w:rFonts w:hint="default"/>
        </w:rPr>
        <w:t>箱体采用焊接工艺，具有足够的强度及刚度</w:t>
      </w:r>
      <w:bookmarkStart w:id="18" w:name="_GoBack"/>
      <w:bookmarkEnd w:id="18"/>
      <w:r>
        <w:rPr>
          <w:rStyle w:val="fontstyle01"/>
          <w:rFonts w:hint="default"/>
        </w:rPr>
        <w:t>，无渗漏油。箱体所有焊缝进行超声波探伤，并满足二级合格；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cs="宋体" w:hint="eastAsia"/>
          <w:color w:val="000000"/>
          <w:szCs w:val="24"/>
        </w:rPr>
        <w:t>齿轮、齿轴采用高强度合金钢锻件，渗碳淬火、磨齿工艺加工，齿面硬度为</w:t>
      </w:r>
      <w:r>
        <w:rPr>
          <w:rStyle w:val="fontstyle21"/>
        </w:rPr>
        <w:t xml:space="preserve">58 </w:t>
      </w:r>
      <w:r>
        <w:rPr>
          <w:rStyle w:val="fontstyle21"/>
          <w:rFonts w:hint="eastAsia"/>
        </w:rPr>
        <w:t>~</w:t>
      </w:r>
      <w:r>
        <w:rPr>
          <w:rStyle w:val="fontstyle21"/>
        </w:rPr>
        <w:t>62 HRC</w:t>
      </w:r>
      <w:r>
        <w:rPr>
          <w:rStyle w:val="fontstyle21"/>
          <w:rFonts w:hint="eastAsia"/>
        </w:rPr>
        <w:t>，芯部硬度</w:t>
      </w:r>
      <w:r>
        <w:rPr>
          <w:rStyle w:val="fontstyle21"/>
          <w:rFonts w:hint="eastAsia"/>
        </w:rPr>
        <w:t>30~4</w:t>
      </w:r>
      <w:r>
        <w:rPr>
          <w:rStyle w:val="fontstyle21"/>
        </w:rPr>
        <w:t>2 HRC</w:t>
      </w:r>
      <w:r>
        <w:rPr>
          <w:rStyle w:val="fontstyle21"/>
          <w:rFonts w:hint="eastAsia"/>
        </w:rPr>
        <w:t>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cs="宋体" w:hint="eastAsia"/>
          <w:color w:val="000000"/>
          <w:szCs w:val="24"/>
        </w:rPr>
        <w:t>输出空心轴采用高合金钢锻件，调质处理，硬度不低于</w:t>
      </w:r>
      <w:r>
        <w:rPr>
          <w:rFonts w:ascii="Times New Roman" w:hAnsi="Times New Roman"/>
          <w:color w:val="000000"/>
          <w:szCs w:val="24"/>
        </w:rPr>
        <w:t>HB</w:t>
      </w:r>
      <w:r>
        <w:rPr>
          <w:rFonts w:ascii="Times New Roman" w:hAnsi="Times New Roman" w:hint="eastAsia"/>
          <w:color w:val="000000"/>
          <w:szCs w:val="24"/>
        </w:rPr>
        <w:t>300</w:t>
      </w:r>
      <w:r>
        <w:rPr>
          <w:rFonts w:ascii="Times New Roman" w:hAnsi="Times New Roman" w:hint="eastAsia"/>
          <w:color w:val="000000"/>
          <w:szCs w:val="24"/>
        </w:rPr>
        <w:t>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齿轮加工精度达到</w:t>
      </w:r>
      <w:r>
        <w:rPr>
          <w:rStyle w:val="fontstyle21"/>
        </w:rPr>
        <w:t xml:space="preserve">ISO 1328-6 </w:t>
      </w:r>
      <w:r>
        <w:rPr>
          <w:rFonts w:hAnsi="宋体" w:cs="宋体" w:hint="eastAsia"/>
          <w:color w:val="000000"/>
          <w:szCs w:val="24"/>
        </w:rPr>
        <w:t>级精度</w:t>
      </w:r>
      <w:r>
        <w:rPr>
          <w:rFonts w:hAnsi="宋体" w:hint="eastAsia"/>
          <w:bCs/>
          <w:szCs w:val="24"/>
        </w:rPr>
        <w:t>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lastRenderedPageBreak/>
        <w:t>轴承采用SKF原装进口轴承；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连接螺栓采用10.9级高强度螺栓；</w:t>
      </w:r>
    </w:p>
    <w:p w:rsidR="00417E68" w:rsidRDefault="004F5C95">
      <w:pPr>
        <w:pStyle w:val="a5"/>
        <w:numPr>
          <w:ilvl w:val="1"/>
          <w:numId w:val="6"/>
        </w:numPr>
        <w:spacing w:line="460" w:lineRule="exact"/>
        <w:ind w:left="426" w:firstLine="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润滑油及润滑脂要提供明确品牌和型号。</w:t>
      </w:r>
    </w:p>
    <w:p w:rsidR="00417E68" w:rsidRDefault="004F5C95">
      <w:pPr>
        <w:pStyle w:val="a5"/>
        <w:spacing w:line="460" w:lineRule="exact"/>
        <w:ind w:left="426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 xml:space="preserve">10）密封件要提供明确品牌和型号，且密封性能良好，要保证至少三年内无渗、漏油现象。                                 </w:t>
      </w:r>
    </w:p>
    <w:p w:rsidR="00417E68" w:rsidRDefault="004F5C95">
      <w:pPr>
        <w:pStyle w:val="1"/>
        <w:spacing w:before="0" w:after="0" w:line="360" w:lineRule="auto"/>
        <w:rPr>
          <w:rFonts w:ascii="宋体" w:eastAsiaTheme="minorEastAsia" w:hAnsi="宋体" w:cstheme="minorBidi"/>
          <w:b w:val="0"/>
          <w:kern w:val="2"/>
          <w:sz w:val="24"/>
          <w:szCs w:val="24"/>
        </w:rPr>
      </w:pPr>
      <w:bookmarkStart w:id="19" w:name="_Toc460162301"/>
      <w:bookmarkStart w:id="20" w:name="_Toc460162123"/>
      <w:bookmarkStart w:id="21" w:name="_Toc23088"/>
      <w:bookmarkStart w:id="22" w:name="_Toc459705904"/>
      <w:r>
        <w:rPr>
          <w:rFonts w:ascii="宋体" w:eastAsiaTheme="minorEastAsia" w:hAnsi="宋体" w:cstheme="minorBidi" w:hint="eastAsia"/>
          <w:b w:val="0"/>
          <w:kern w:val="2"/>
          <w:sz w:val="24"/>
          <w:szCs w:val="24"/>
        </w:rPr>
        <w:t>4.5表面处理和涂装</w:t>
      </w:r>
      <w:bookmarkEnd w:id="19"/>
      <w:bookmarkEnd w:id="20"/>
      <w:bookmarkEnd w:id="21"/>
      <w:bookmarkEnd w:id="22"/>
    </w:p>
    <w:p w:rsidR="00417E68" w:rsidRDefault="004F5C95">
      <w:pPr>
        <w:pStyle w:val="21"/>
        <w:spacing w:before="0" w:beforeAutospacing="0" w:after="0" w:afterAutospacing="0" w:line="360" w:lineRule="auto"/>
        <w:ind w:left="0" w:firstLineChars="0" w:firstLine="0"/>
        <w:outlineLvl w:val="3"/>
        <w:rPr>
          <w:rFonts w:eastAsia="宋体" w:hAnsi="宋体"/>
          <w:sz w:val="24"/>
          <w:szCs w:val="24"/>
        </w:rPr>
      </w:pPr>
      <w:bookmarkStart w:id="23" w:name="_Toc290454089"/>
      <w:bookmarkStart w:id="24" w:name="_Toc460162124"/>
      <w:bookmarkStart w:id="25" w:name="_Toc332738789"/>
      <w:bookmarkStart w:id="26" w:name="_Toc3468"/>
      <w:bookmarkStart w:id="27" w:name="_Toc290535019"/>
      <w:bookmarkStart w:id="28" w:name="_Toc328037418"/>
      <w:bookmarkStart w:id="29" w:name="_Toc290443651"/>
      <w:bookmarkStart w:id="30" w:name="_Toc459705905"/>
      <w:bookmarkStart w:id="31" w:name="_Toc290444241"/>
      <w:bookmarkStart w:id="32" w:name="_Toc290555596"/>
      <w:bookmarkStart w:id="33" w:name="_Toc460162302"/>
      <w:bookmarkStart w:id="34" w:name="_Toc290444462"/>
      <w:bookmarkStart w:id="35" w:name="_Toc284159250"/>
      <w:bookmarkStart w:id="36" w:name="_Toc290445228"/>
      <w:bookmarkStart w:id="37" w:name="_Toc290535706"/>
      <w:r>
        <w:rPr>
          <w:rFonts w:eastAsia="宋体" w:hAnsi="宋体" w:hint="eastAsia"/>
          <w:sz w:val="24"/>
          <w:szCs w:val="24"/>
        </w:rPr>
        <w:t>4.5.1概述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（1）为延长合同设备使用寿命</w:t>
      </w:r>
      <w:r>
        <w:rPr>
          <w:rFonts w:eastAsia="宋体"/>
          <w:sz w:val="24"/>
        </w:rPr>
        <w:t>，</w:t>
      </w:r>
      <w:r>
        <w:rPr>
          <w:rFonts w:eastAsia="宋体" w:hint="eastAsia"/>
          <w:sz w:val="24"/>
        </w:rPr>
        <w:t>尽量减少对合同设备外表面维护所消耗的材料和工时费用</w:t>
      </w:r>
      <w:r>
        <w:rPr>
          <w:rFonts w:eastAsia="宋体"/>
          <w:sz w:val="24"/>
        </w:rPr>
        <w:t>，</w:t>
      </w:r>
      <w:r>
        <w:rPr>
          <w:rFonts w:eastAsia="宋体" w:hint="eastAsia"/>
          <w:sz w:val="24"/>
        </w:rPr>
        <w:t>合同设备应进行涂漆防腐。各加工制造厂内的涂</w:t>
      </w:r>
      <w:proofErr w:type="gramStart"/>
      <w:r>
        <w:rPr>
          <w:rFonts w:eastAsia="宋体" w:hint="eastAsia"/>
          <w:sz w:val="24"/>
        </w:rPr>
        <w:t>装方案</w:t>
      </w:r>
      <w:proofErr w:type="gramEnd"/>
      <w:r>
        <w:rPr>
          <w:rFonts w:eastAsia="宋体" w:hint="eastAsia"/>
          <w:sz w:val="24"/>
        </w:rPr>
        <w:t>及工艺需经</w:t>
      </w:r>
      <w:r w:rsidR="00ED62C4">
        <w:rPr>
          <w:rFonts w:eastAsia="宋体" w:hint="eastAsia"/>
          <w:sz w:val="24"/>
        </w:rPr>
        <w:t>投标方</w:t>
      </w:r>
      <w:r>
        <w:rPr>
          <w:rFonts w:eastAsia="宋体" w:hint="eastAsia"/>
          <w:sz w:val="24"/>
        </w:rPr>
        <w:t>认可。</w:t>
      </w:r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（2）合同设备防腐包括</w:t>
      </w:r>
      <w:r>
        <w:rPr>
          <w:rFonts w:eastAsia="宋体"/>
          <w:sz w:val="24"/>
        </w:rPr>
        <w:t>:</w:t>
      </w:r>
    </w:p>
    <w:p w:rsidR="00417E68" w:rsidRDefault="004F5C95" w:rsidP="00417E68">
      <w:pPr>
        <w:pStyle w:val="a4"/>
        <w:numPr>
          <w:ilvl w:val="0"/>
          <w:numId w:val="7"/>
        </w:numPr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表面处理</w:t>
      </w:r>
    </w:p>
    <w:p w:rsidR="00417E68" w:rsidRDefault="004F5C95" w:rsidP="00417E68">
      <w:pPr>
        <w:pStyle w:val="a4"/>
        <w:numPr>
          <w:ilvl w:val="0"/>
          <w:numId w:val="7"/>
        </w:numPr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提供油漆</w:t>
      </w:r>
    </w:p>
    <w:p w:rsidR="00417E68" w:rsidRDefault="004F5C95" w:rsidP="00417E68">
      <w:pPr>
        <w:pStyle w:val="a4"/>
        <w:numPr>
          <w:ilvl w:val="0"/>
          <w:numId w:val="7"/>
        </w:numPr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完成工厂涂装、现场</w:t>
      </w:r>
      <w:proofErr w:type="gramStart"/>
      <w:r>
        <w:rPr>
          <w:rFonts w:eastAsia="宋体" w:hint="eastAsia"/>
          <w:sz w:val="24"/>
        </w:rPr>
        <w:t>补漆两部分</w:t>
      </w:r>
      <w:proofErr w:type="gramEnd"/>
      <w:r>
        <w:rPr>
          <w:rFonts w:eastAsia="宋体" w:hint="eastAsia"/>
          <w:sz w:val="24"/>
        </w:rPr>
        <w:t>工作。</w:t>
      </w:r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Chars="214" w:firstLine="514"/>
        <w:rPr>
          <w:rFonts w:eastAsia="宋体"/>
          <w:sz w:val="24"/>
        </w:rPr>
      </w:pPr>
      <w:r>
        <w:rPr>
          <w:rFonts w:eastAsia="宋体" w:hint="eastAsia"/>
          <w:sz w:val="24"/>
        </w:rPr>
        <w:t>油漆规格、表面处理、涂装方法、质量保证都应符合有关标准。</w:t>
      </w:r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（3）合同设备所采用的油漆、表面处理、工厂和现场涂装都应按标准进行检验。</w:t>
      </w:r>
      <w:r w:rsidR="00ED62C4">
        <w:rPr>
          <w:rFonts w:eastAsia="宋体" w:hint="eastAsia"/>
          <w:sz w:val="24"/>
        </w:rPr>
        <w:t>招标方</w:t>
      </w:r>
      <w:r>
        <w:rPr>
          <w:rFonts w:eastAsia="宋体" w:hint="eastAsia"/>
          <w:sz w:val="24"/>
        </w:rPr>
        <w:t>应提交完整的检验报告，以及油漆的</w:t>
      </w:r>
      <w:proofErr w:type="gramStart"/>
      <w:r>
        <w:rPr>
          <w:rFonts w:eastAsia="宋体" w:hint="eastAsia"/>
          <w:sz w:val="24"/>
        </w:rPr>
        <w:t>质量保证书供</w:t>
      </w:r>
      <w:r w:rsidR="00ED62C4">
        <w:rPr>
          <w:rFonts w:eastAsia="宋体" w:hint="eastAsia"/>
          <w:sz w:val="24"/>
        </w:rPr>
        <w:t>投标</w:t>
      </w:r>
      <w:proofErr w:type="gramEnd"/>
      <w:r w:rsidR="00ED62C4">
        <w:rPr>
          <w:rFonts w:eastAsia="宋体" w:hint="eastAsia"/>
          <w:sz w:val="24"/>
        </w:rPr>
        <w:t>方</w:t>
      </w:r>
      <w:r>
        <w:rPr>
          <w:rFonts w:eastAsia="宋体" w:hint="eastAsia"/>
          <w:sz w:val="24"/>
        </w:rPr>
        <w:t>确认。</w:t>
      </w:r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（4）型钢及板材进入工厂内必须进行整体一次喷丸或喷砂处理，并喷涂干膜厚度20μm的无机硅酸</w:t>
      </w:r>
      <w:proofErr w:type="gramStart"/>
      <w:r>
        <w:rPr>
          <w:rFonts w:eastAsia="宋体" w:hint="eastAsia"/>
          <w:sz w:val="24"/>
        </w:rPr>
        <w:t>锌</w:t>
      </w:r>
      <w:proofErr w:type="gramEnd"/>
      <w:r>
        <w:rPr>
          <w:rFonts w:eastAsia="宋体" w:hint="eastAsia"/>
          <w:sz w:val="24"/>
        </w:rPr>
        <w:t>车间底漆，当所有钢结构件焊接完成后，应进行整体二次喷砂处理，表面处理质量必须达到</w:t>
      </w:r>
      <w:r>
        <w:rPr>
          <w:rFonts w:eastAsia="宋体"/>
          <w:sz w:val="24"/>
        </w:rPr>
        <w:t>Sa2</w:t>
      </w:r>
      <w:r>
        <w:rPr>
          <w:rFonts w:eastAsia="宋体" w:hint="eastAsia"/>
          <w:sz w:val="24"/>
        </w:rPr>
        <w:t xml:space="preserve">　</w:t>
      </w:r>
      <w:r>
        <w:rPr>
          <w:rFonts w:eastAsia="宋体"/>
          <w:sz w:val="24"/>
        </w:rPr>
        <w:t>1/2</w:t>
      </w:r>
      <w:r>
        <w:rPr>
          <w:rFonts w:eastAsia="宋体" w:hint="eastAsia"/>
          <w:sz w:val="24"/>
        </w:rPr>
        <w:t>级。</w:t>
      </w:r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（5）现场补漆前，应对需要补漆的部位进行手工除锈处理，表面处理质量必须达到</w:t>
      </w:r>
      <w:r>
        <w:rPr>
          <w:rFonts w:eastAsia="宋体"/>
          <w:sz w:val="24"/>
        </w:rPr>
        <w:t>S</w:t>
      </w:r>
      <w:r>
        <w:rPr>
          <w:rFonts w:eastAsia="宋体" w:hint="eastAsia"/>
          <w:sz w:val="24"/>
        </w:rPr>
        <w:t>t</w:t>
      </w:r>
      <w:r>
        <w:rPr>
          <w:rFonts w:eastAsia="宋体"/>
          <w:sz w:val="24"/>
        </w:rPr>
        <w:t>2</w:t>
      </w:r>
      <w:r>
        <w:rPr>
          <w:rFonts w:eastAsia="宋体" w:hint="eastAsia"/>
          <w:sz w:val="24"/>
        </w:rPr>
        <w:t>级。</w:t>
      </w:r>
    </w:p>
    <w:p w:rsidR="00417E68" w:rsidRDefault="004F5C95" w:rsidP="00417E68">
      <w:pPr>
        <w:pStyle w:val="a4"/>
        <w:tabs>
          <w:tab w:val="left" w:pos="540"/>
        </w:tabs>
        <w:autoSpaceDE w:val="0"/>
        <w:autoSpaceDN w:val="0"/>
        <w:spacing w:line="360" w:lineRule="auto"/>
        <w:ind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（6）高强螺栓</w:t>
      </w:r>
      <w:proofErr w:type="gramStart"/>
      <w:r>
        <w:rPr>
          <w:rFonts w:eastAsia="宋体" w:hint="eastAsia"/>
          <w:sz w:val="24"/>
        </w:rPr>
        <w:t>把接面使用</w:t>
      </w:r>
      <w:proofErr w:type="gramEnd"/>
      <w:r>
        <w:rPr>
          <w:rFonts w:eastAsia="宋体" w:hint="eastAsia"/>
          <w:sz w:val="24"/>
        </w:rPr>
        <w:t>无机硅酸</w:t>
      </w:r>
      <w:proofErr w:type="gramStart"/>
      <w:r>
        <w:rPr>
          <w:rFonts w:eastAsia="宋体" w:hint="eastAsia"/>
          <w:sz w:val="24"/>
        </w:rPr>
        <w:t>锌</w:t>
      </w:r>
      <w:proofErr w:type="gramEnd"/>
      <w:r>
        <w:rPr>
          <w:rFonts w:eastAsia="宋体" w:hint="eastAsia"/>
          <w:sz w:val="24"/>
        </w:rPr>
        <w:t>底漆，摩擦面抗滑移系数参照《钢结构设计规范》GB50017-2003规定选取。</w:t>
      </w:r>
    </w:p>
    <w:p w:rsidR="00417E68" w:rsidRDefault="004F5C95">
      <w:pPr>
        <w:pStyle w:val="21"/>
        <w:spacing w:before="0" w:beforeAutospacing="0" w:after="0" w:afterAutospacing="0" w:line="360" w:lineRule="auto"/>
        <w:ind w:left="0" w:firstLineChars="0" w:firstLine="0"/>
        <w:outlineLvl w:val="3"/>
        <w:rPr>
          <w:rFonts w:eastAsia="宋体" w:hAnsi="宋体"/>
          <w:sz w:val="24"/>
          <w:szCs w:val="24"/>
        </w:rPr>
      </w:pPr>
      <w:bookmarkStart w:id="38" w:name="_Toc290555598"/>
      <w:bookmarkStart w:id="39" w:name="_Toc460162125"/>
      <w:bookmarkStart w:id="40" w:name="_Toc290444243"/>
      <w:bookmarkStart w:id="41" w:name="_Toc290535021"/>
      <w:bookmarkStart w:id="42" w:name="_Toc283812391"/>
      <w:bookmarkStart w:id="43" w:name="_Toc328037420"/>
      <w:bookmarkStart w:id="44" w:name="_Toc332738791"/>
      <w:bookmarkStart w:id="45" w:name="_Toc290454091"/>
      <w:bookmarkStart w:id="46" w:name="_Toc290444464"/>
      <w:bookmarkStart w:id="47" w:name="_Toc284159252"/>
      <w:bookmarkStart w:id="48" w:name="_Toc290445230"/>
      <w:bookmarkStart w:id="49" w:name="_Toc290443653"/>
      <w:bookmarkStart w:id="50" w:name="_Toc460162303"/>
      <w:bookmarkStart w:id="51" w:name="_Toc459705907"/>
      <w:bookmarkStart w:id="52" w:name="_Toc290535708"/>
      <w:bookmarkStart w:id="53" w:name="_Toc7845"/>
      <w:r>
        <w:rPr>
          <w:rFonts w:eastAsia="宋体" w:hAnsi="宋体" w:hint="eastAsia"/>
          <w:sz w:val="24"/>
          <w:szCs w:val="24"/>
        </w:rPr>
        <w:t>4.5.2 表面处理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54" w:name="_Toc283812392"/>
      <w:r>
        <w:rPr>
          <w:rFonts w:ascii="宋体" w:hAnsi="宋体" w:hint="eastAsia"/>
          <w:sz w:val="24"/>
          <w:szCs w:val="24"/>
        </w:rPr>
        <w:t>（1）表面处理标准</w:t>
      </w:r>
      <w:bookmarkEnd w:id="54"/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合同设备钢材表面处理标准</w:t>
      </w:r>
      <w:r>
        <w:rPr>
          <w:rFonts w:ascii="宋体" w:hAnsi="宋体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采用瑞典防腐标准协会</w:t>
      </w:r>
      <w:r>
        <w:rPr>
          <w:rFonts w:ascii="宋体" w:hAnsi="宋体"/>
          <w:sz w:val="24"/>
          <w:szCs w:val="24"/>
        </w:rPr>
        <w:t>SIS055900-1967</w:t>
      </w:r>
      <w:r>
        <w:rPr>
          <w:rFonts w:ascii="宋体" w:hAnsi="宋体" w:hint="eastAsia"/>
          <w:sz w:val="24"/>
          <w:szCs w:val="24"/>
        </w:rPr>
        <w:t>标准。</w:t>
      </w:r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所有部件的表面处理质量</w:t>
      </w:r>
      <w:r>
        <w:rPr>
          <w:rFonts w:ascii="宋体" w:hAnsi="宋体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必须达到</w:t>
      </w:r>
      <w:r>
        <w:rPr>
          <w:rFonts w:ascii="宋体" w:hAnsi="宋体"/>
          <w:sz w:val="24"/>
          <w:szCs w:val="24"/>
        </w:rPr>
        <w:t>Sa2</w:t>
      </w:r>
      <w:r>
        <w:rPr>
          <w:rFonts w:ascii="宋体" w:hAnsi="宋体" w:hint="eastAsia"/>
          <w:sz w:val="24"/>
          <w:szCs w:val="24"/>
        </w:rPr>
        <w:t xml:space="preserve">　</w:t>
      </w:r>
      <w:r>
        <w:rPr>
          <w:rFonts w:ascii="宋体" w:hAnsi="宋体"/>
          <w:sz w:val="24"/>
          <w:szCs w:val="24"/>
        </w:rPr>
        <w:t>1/2</w:t>
      </w:r>
      <w:r>
        <w:rPr>
          <w:rFonts w:ascii="宋体" w:hAnsi="宋体" w:hint="eastAsia"/>
          <w:sz w:val="24"/>
          <w:szCs w:val="24"/>
        </w:rPr>
        <w:t>级</w:t>
      </w:r>
      <w:r>
        <w:rPr>
          <w:rFonts w:ascii="宋体" w:hAnsi="宋体"/>
          <w:sz w:val="24"/>
          <w:szCs w:val="24"/>
        </w:rPr>
        <w:t>，</w:t>
      </w:r>
      <w:r>
        <w:rPr>
          <w:rFonts w:ascii="宋体" w:hAnsi="宋体" w:hint="eastAsia"/>
          <w:sz w:val="24"/>
          <w:szCs w:val="24"/>
        </w:rPr>
        <w:t>即</w:t>
      </w:r>
      <w:r>
        <w:rPr>
          <w:rFonts w:ascii="宋体" w:hAnsi="宋体"/>
          <w:sz w:val="24"/>
          <w:szCs w:val="24"/>
        </w:rPr>
        <w:t>:</w:t>
      </w:r>
      <w:r>
        <w:rPr>
          <w:rFonts w:ascii="宋体" w:hAnsi="宋体" w:hint="eastAsia"/>
          <w:sz w:val="24"/>
          <w:szCs w:val="24"/>
        </w:rPr>
        <w:t xml:space="preserve"> 非常彻底的喷砂除锈，表面应无可见的油脂、污物、氧化皮、铁锈、油漆涂层和杂质，残留物痕迹仅显示点状或条纹状的轻微色斑。使表面接近金属银白色。</w:t>
      </w:r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bookmarkStart w:id="55" w:name="_Toc283812393"/>
      <w:r>
        <w:rPr>
          <w:rFonts w:ascii="宋体" w:hAnsi="宋体" w:hint="eastAsia"/>
          <w:sz w:val="24"/>
          <w:szCs w:val="24"/>
        </w:rPr>
        <w:t>（2）表面处理质量</w:t>
      </w:r>
      <w:bookmarkEnd w:id="55"/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pacing w:val="6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表面处理</w:t>
      </w:r>
      <w:r>
        <w:rPr>
          <w:rFonts w:ascii="宋体" w:hAnsi="宋体" w:hint="eastAsia"/>
          <w:spacing w:val="6"/>
          <w:sz w:val="24"/>
          <w:szCs w:val="24"/>
        </w:rPr>
        <w:t>必须按上述标准严格执行</w:t>
      </w:r>
      <w:r>
        <w:rPr>
          <w:rFonts w:ascii="宋体" w:hAnsi="宋体"/>
          <w:spacing w:val="6"/>
          <w:sz w:val="24"/>
          <w:szCs w:val="24"/>
        </w:rPr>
        <w:t>，</w:t>
      </w:r>
      <w:r>
        <w:rPr>
          <w:rFonts w:ascii="宋体" w:hAnsi="宋体" w:hint="eastAsia"/>
          <w:spacing w:val="6"/>
          <w:sz w:val="24"/>
          <w:szCs w:val="24"/>
        </w:rPr>
        <w:t>在达到规定标准后</w:t>
      </w:r>
      <w:r>
        <w:rPr>
          <w:rFonts w:ascii="宋体" w:hAnsi="宋体"/>
          <w:spacing w:val="6"/>
          <w:sz w:val="24"/>
          <w:szCs w:val="24"/>
        </w:rPr>
        <w:t>，</w:t>
      </w:r>
      <w:r>
        <w:rPr>
          <w:rFonts w:ascii="宋体" w:hAnsi="宋体" w:hint="eastAsia"/>
          <w:spacing w:val="6"/>
          <w:sz w:val="24"/>
          <w:szCs w:val="24"/>
        </w:rPr>
        <w:t>还必须将表面影响漆膜质量的油脂、水、煤渣、药皮、飞边毛刺、锐边、飞溅、灰尘等全部清除干净。</w:t>
      </w:r>
    </w:p>
    <w:p w:rsidR="00417E68" w:rsidRDefault="004F5C95">
      <w:pPr>
        <w:snapToGrid w:val="0"/>
        <w:spacing w:line="360" w:lineRule="auto"/>
        <w:ind w:firstLineChars="200" w:firstLine="504"/>
        <w:rPr>
          <w:rFonts w:ascii="宋体" w:hAnsi="宋体"/>
          <w:spacing w:val="6"/>
          <w:sz w:val="24"/>
          <w:szCs w:val="24"/>
        </w:rPr>
      </w:pPr>
      <w:r>
        <w:rPr>
          <w:rFonts w:ascii="宋体" w:hAnsi="宋体" w:hint="eastAsia"/>
          <w:spacing w:val="6"/>
          <w:sz w:val="24"/>
          <w:szCs w:val="24"/>
        </w:rPr>
        <w:t>为确保表面处理的质量</w:t>
      </w:r>
      <w:r>
        <w:rPr>
          <w:rFonts w:ascii="宋体" w:hAnsi="宋体"/>
          <w:spacing w:val="6"/>
          <w:sz w:val="24"/>
          <w:szCs w:val="24"/>
        </w:rPr>
        <w:t>，</w:t>
      </w:r>
      <w:r>
        <w:rPr>
          <w:rFonts w:ascii="宋体" w:hAnsi="宋体" w:hint="eastAsia"/>
          <w:spacing w:val="6"/>
          <w:sz w:val="24"/>
          <w:szCs w:val="24"/>
        </w:rPr>
        <w:t>用作表面处理的钢球或砂粒</w:t>
      </w:r>
      <w:r>
        <w:rPr>
          <w:rFonts w:ascii="宋体" w:hAnsi="宋体"/>
          <w:spacing w:val="6"/>
          <w:sz w:val="24"/>
          <w:szCs w:val="24"/>
        </w:rPr>
        <w:t>，</w:t>
      </w:r>
      <w:r>
        <w:rPr>
          <w:rFonts w:ascii="宋体" w:hAnsi="宋体" w:hint="eastAsia"/>
          <w:spacing w:val="6"/>
          <w:sz w:val="24"/>
          <w:szCs w:val="24"/>
        </w:rPr>
        <w:t>其直径不得大于</w:t>
      </w:r>
      <w:r>
        <w:rPr>
          <w:rFonts w:ascii="宋体" w:hAnsi="宋体"/>
          <w:spacing w:val="6"/>
          <w:sz w:val="24"/>
          <w:szCs w:val="24"/>
        </w:rPr>
        <w:t>1mm，</w:t>
      </w:r>
      <w:r>
        <w:rPr>
          <w:rFonts w:ascii="宋体" w:hAnsi="宋体" w:hint="eastAsia"/>
          <w:spacing w:val="6"/>
          <w:sz w:val="24"/>
          <w:szCs w:val="24"/>
        </w:rPr>
        <w:t>以保证处理后的表面有一定的粗糙度</w:t>
      </w:r>
      <w:r>
        <w:rPr>
          <w:rFonts w:ascii="宋体" w:hAnsi="宋体"/>
          <w:spacing w:val="6"/>
          <w:sz w:val="24"/>
          <w:szCs w:val="24"/>
        </w:rPr>
        <w:t>，</w:t>
      </w:r>
      <w:r>
        <w:rPr>
          <w:rFonts w:ascii="宋体" w:hAnsi="宋体" w:hint="eastAsia"/>
          <w:spacing w:val="6"/>
          <w:sz w:val="24"/>
          <w:szCs w:val="24"/>
        </w:rPr>
        <w:t>且粗糙度不大于</w:t>
      </w:r>
      <w:r>
        <w:rPr>
          <w:rFonts w:ascii="宋体" w:hAnsi="宋体"/>
          <w:spacing w:val="6"/>
          <w:sz w:val="24"/>
          <w:szCs w:val="24"/>
        </w:rPr>
        <w:t>100</w:t>
      </w:r>
      <w:r>
        <w:rPr>
          <w:rFonts w:ascii="宋体" w:hAnsi="宋体"/>
          <w:spacing w:val="6"/>
          <w:sz w:val="24"/>
          <w:szCs w:val="24"/>
        </w:rPr>
        <w:sym w:font="Symbol" w:char="F06D"/>
      </w:r>
      <w:r>
        <w:rPr>
          <w:rFonts w:ascii="宋体" w:hAnsi="宋体"/>
          <w:spacing w:val="6"/>
          <w:sz w:val="24"/>
          <w:szCs w:val="24"/>
        </w:rPr>
        <w:t>m</w:t>
      </w:r>
      <w:r>
        <w:rPr>
          <w:rFonts w:ascii="宋体" w:hAnsi="宋体" w:hint="eastAsia"/>
          <w:spacing w:val="6"/>
          <w:sz w:val="24"/>
          <w:szCs w:val="24"/>
        </w:rPr>
        <w:t>。</w:t>
      </w:r>
    </w:p>
    <w:p w:rsidR="00417E68" w:rsidRDefault="004F5C95">
      <w:pPr>
        <w:pStyle w:val="a5"/>
        <w:spacing w:line="460" w:lineRule="exact"/>
        <w:ind w:left="426"/>
        <w:rPr>
          <w:rFonts w:hAnsi="宋体"/>
          <w:bCs/>
          <w:szCs w:val="24"/>
        </w:rPr>
      </w:pPr>
      <w:r>
        <w:rPr>
          <w:rFonts w:hAnsi="宋体"/>
          <w:bCs/>
          <w:szCs w:val="24"/>
        </w:rPr>
        <w:t>4.</w:t>
      </w:r>
      <w:r>
        <w:rPr>
          <w:rFonts w:hAnsi="宋体" w:hint="eastAsia"/>
          <w:bCs/>
          <w:szCs w:val="24"/>
        </w:rPr>
        <w:t>6电控要求:</w:t>
      </w:r>
    </w:p>
    <w:p w:rsidR="00417E68" w:rsidRDefault="004F5C95">
      <w:pPr>
        <w:pStyle w:val="a5"/>
        <w:numPr>
          <w:ilvl w:val="0"/>
          <w:numId w:val="8"/>
        </w:numPr>
        <w:spacing w:line="460" w:lineRule="exact"/>
        <w:ind w:firstLineChars="100" w:firstLine="24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电气和控制部分根据现有设备局部进行改造，</w:t>
      </w:r>
      <w:r w:rsidR="00ED62C4">
        <w:rPr>
          <w:rFonts w:hAnsi="宋体" w:hint="eastAsia"/>
          <w:bCs/>
          <w:szCs w:val="24"/>
        </w:rPr>
        <w:t>招标方</w:t>
      </w:r>
      <w:r>
        <w:rPr>
          <w:rFonts w:hAnsi="宋体" w:hint="eastAsia"/>
          <w:bCs/>
          <w:szCs w:val="24"/>
        </w:rPr>
        <w:t>应对施工过程中的损坏部分进行更换。</w:t>
      </w:r>
    </w:p>
    <w:p w:rsidR="00417E68" w:rsidRDefault="004F5C95">
      <w:pPr>
        <w:pStyle w:val="a5"/>
        <w:numPr>
          <w:ilvl w:val="0"/>
          <w:numId w:val="8"/>
        </w:numPr>
        <w:spacing w:line="460" w:lineRule="exact"/>
        <w:ind w:firstLineChars="100" w:firstLine="24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每台减速机应至少设置减速机高速轴温度传感器、减速机油温传感器以及减速机油流开关。其中温度传感器为热电阻PT100，并配置相应温度信号转换器，用以将热电阻测量</w:t>
      </w:r>
      <w:proofErr w:type="gramStart"/>
      <w:r>
        <w:rPr>
          <w:rFonts w:hAnsi="宋体" w:hint="eastAsia"/>
          <w:bCs/>
          <w:szCs w:val="24"/>
        </w:rPr>
        <w:t>量</w:t>
      </w:r>
      <w:proofErr w:type="gramEnd"/>
      <w:r>
        <w:rPr>
          <w:rFonts w:hAnsi="宋体" w:hint="eastAsia"/>
          <w:bCs/>
          <w:szCs w:val="24"/>
        </w:rPr>
        <w:t>转化为0-10V或4-20mA模拟量信号。</w:t>
      </w:r>
    </w:p>
    <w:p w:rsidR="00417E68" w:rsidRDefault="004F5C95">
      <w:pPr>
        <w:pStyle w:val="a5"/>
        <w:numPr>
          <w:ilvl w:val="0"/>
          <w:numId w:val="8"/>
        </w:numPr>
        <w:spacing w:line="460" w:lineRule="exact"/>
        <w:ind w:firstLineChars="100" w:firstLine="240"/>
        <w:rPr>
          <w:rFonts w:hAnsi="宋体"/>
          <w:bCs/>
          <w:szCs w:val="24"/>
        </w:rPr>
      </w:pPr>
      <w:r>
        <w:rPr>
          <w:rFonts w:hAnsi="宋体" w:hint="eastAsia"/>
          <w:bCs/>
          <w:szCs w:val="24"/>
        </w:rPr>
        <w:t>所配置电气元件必须为知名</w:t>
      </w:r>
      <w:proofErr w:type="gramStart"/>
      <w:r>
        <w:rPr>
          <w:rFonts w:hAnsi="宋体" w:hint="eastAsia"/>
          <w:bCs/>
          <w:szCs w:val="24"/>
        </w:rPr>
        <w:t>品牌且</w:t>
      </w:r>
      <w:proofErr w:type="gramEnd"/>
      <w:r>
        <w:rPr>
          <w:rFonts w:hAnsi="宋体" w:hint="eastAsia"/>
          <w:bCs/>
          <w:szCs w:val="24"/>
        </w:rPr>
        <w:t>为</w:t>
      </w:r>
      <w:proofErr w:type="gramStart"/>
      <w:r>
        <w:rPr>
          <w:rFonts w:hAnsi="宋体" w:hint="eastAsia"/>
          <w:bCs/>
          <w:szCs w:val="24"/>
        </w:rPr>
        <w:t>最</w:t>
      </w:r>
      <w:proofErr w:type="gramEnd"/>
      <w:r>
        <w:rPr>
          <w:rFonts w:hAnsi="宋体" w:hint="eastAsia"/>
          <w:bCs/>
          <w:szCs w:val="24"/>
        </w:rPr>
        <w:t>新型产品。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56" w:name="_Toc460162305"/>
      <w:bookmarkStart w:id="57" w:name="_Toc3425"/>
      <w:r>
        <w:rPr>
          <w:rFonts w:ascii="黑体" w:eastAsia="黑体" w:hint="eastAsia"/>
          <w:b w:val="0"/>
          <w:sz w:val="30"/>
          <w:szCs w:val="30"/>
        </w:rPr>
        <w:t>5.图纸和技术文件</w:t>
      </w:r>
      <w:bookmarkEnd w:id="56"/>
      <w:bookmarkEnd w:id="57"/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5.1图纸规格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图号：</w:t>
      </w:r>
      <w:r>
        <w:rPr>
          <w:rFonts w:ascii="宋体" w:eastAsia="宋体" w:hAnsi="宋体" w:cs="仿宋_GB2312" w:hint="eastAsia"/>
          <w:sz w:val="24"/>
          <w:szCs w:val="24"/>
        </w:rPr>
        <w:tab/>
        <w:t>尺寸(mm)：</w:t>
      </w:r>
    </w:p>
    <w:p w:rsidR="00417E68" w:rsidRDefault="004F5C95">
      <w:pPr>
        <w:spacing w:line="360" w:lineRule="auto"/>
        <w:ind w:firstLineChars="150" w:firstLine="36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/>
          <w:sz w:val="24"/>
          <w:szCs w:val="24"/>
        </w:rPr>
        <w:t>A—0</w:t>
      </w:r>
      <w:r>
        <w:rPr>
          <w:rFonts w:ascii="宋体" w:eastAsia="宋体" w:hAnsi="宋体" w:cs="仿宋_GB2312"/>
          <w:sz w:val="24"/>
          <w:szCs w:val="24"/>
        </w:rPr>
        <w:tab/>
        <w:t>841×1189</w:t>
      </w:r>
      <w:r>
        <w:rPr>
          <w:rFonts w:ascii="宋体" w:eastAsia="宋体" w:hAnsi="宋体" w:cs="仿宋_GB2312" w:hint="eastAsia"/>
          <w:sz w:val="24"/>
          <w:szCs w:val="24"/>
        </w:rPr>
        <w:t>；</w:t>
      </w:r>
    </w:p>
    <w:p w:rsidR="00417E68" w:rsidRDefault="004F5C95">
      <w:pPr>
        <w:spacing w:line="360" w:lineRule="auto"/>
        <w:ind w:firstLineChars="150" w:firstLine="36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/>
          <w:sz w:val="24"/>
          <w:szCs w:val="24"/>
        </w:rPr>
        <w:t>A—1</w:t>
      </w:r>
      <w:r>
        <w:rPr>
          <w:rFonts w:ascii="宋体" w:eastAsia="宋体" w:hAnsi="宋体" w:cs="仿宋_GB2312"/>
          <w:sz w:val="24"/>
          <w:szCs w:val="24"/>
        </w:rPr>
        <w:tab/>
        <w:t>594×841</w:t>
      </w:r>
      <w:r>
        <w:rPr>
          <w:rFonts w:ascii="宋体" w:eastAsia="宋体" w:hAnsi="宋体" w:cs="仿宋_GB2312" w:hint="eastAsia"/>
          <w:sz w:val="24"/>
          <w:szCs w:val="24"/>
        </w:rPr>
        <w:t>；</w:t>
      </w:r>
    </w:p>
    <w:p w:rsidR="00417E68" w:rsidRDefault="004F5C95">
      <w:pPr>
        <w:spacing w:line="360" w:lineRule="auto"/>
        <w:ind w:firstLineChars="150" w:firstLine="36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/>
          <w:sz w:val="24"/>
          <w:szCs w:val="24"/>
        </w:rPr>
        <w:t>A—2</w:t>
      </w:r>
      <w:r>
        <w:rPr>
          <w:rFonts w:ascii="宋体" w:eastAsia="宋体" w:hAnsi="宋体" w:cs="仿宋_GB2312"/>
          <w:sz w:val="24"/>
          <w:szCs w:val="24"/>
        </w:rPr>
        <w:tab/>
        <w:t>420×594</w:t>
      </w:r>
      <w:r>
        <w:rPr>
          <w:rFonts w:ascii="宋体" w:eastAsia="宋体" w:hAnsi="宋体" w:cs="仿宋_GB2312" w:hint="eastAsia"/>
          <w:sz w:val="24"/>
          <w:szCs w:val="24"/>
        </w:rPr>
        <w:t>；</w:t>
      </w:r>
    </w:p>
    <w:p w:rsidR="00417E68" w:rsidRDefault="004F5C95">
      <w:pPr>
        <w:spacing w:line="360" w:lineRule="auto"/>
        <w:ind w:firstLineChars="150" w:firstLine="36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/>
          <w:sz w:val="24"/>
          <w:szCs w:val="24"/>
        </w:rPr>
        <w:t>A—3</w:t>
      </w:r>
      <w:r>
        <w:rPr>
          <w:rFonts w:ascii="宋体" w:eastAsia="宋体" w:hAnsi="宋体" w:cs="仿宋_GB2312"/>
          <w:sz w:val="24"/>
          <w:szCs w:val="24"/>
        </w:rPr>
        <w:tab/>
        <w:t>297×420</w:t>
      </w:r>
      <w:r>
        <w:rPr>
          <w:rFonts w:ascii="宋体" w:eastAsia="宋体" w:hAnsi="宋体" w:cs="仿宋_GB2312" w:hint="eastAsia"/>
          <w:sz w:val="24"/>
          <w:szCs w:val="24"/>
        </w:rPr>
        <w:t>；</w:t>
      </w:r>
    </w:p>
    <w:p w:rsidR="00417E68" w:rsidRDefault="004F5C95">
      <w:pPr>
        <w:spacing w:line="360" w:lineRule="auto"/>
        <w:ind w:firstLineChars="150" w:firstLine="36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/>
          <w:sz w:val="24"/>
          <w:szCs w:val="24"/>
        </w:rPr>
        <w:t>A—4</w:t>
      </w:r>
      <w:r>
        <w:rPr>
          <w:rFonts w:ascii="宋体" w:eastAsia="宋体" w:hAnsi="宋体" w:cs="仿宋_GB2312"/>
          <w:sz w:val="24"/>
          <w:szCs w:val="24"/>
        </w:rPr>
        <w:tab/>
        <w:t>210×297</w:t>
      </w:r>
      <w:r>
        <w:rPr>
          <w:rFonts w:ascii="宋体" w:eastAsia="宋体" w:hAnsi="宋体" w:cs="仿宋_GB2312" w:hint="eastAsia"/>
          <w:sz w:val="24"/>
          <w:szCs w:val="24"/>
        </w:rPr>
        <w:t>；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5.2图纸比例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全部合同设备图纸，应选用以下比例并在图上注明。对于缩印的图纸应该特别注明缩印的比例。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lastRenderedPageBreak/>
        <w:t xml:space="preserve">1：1   </w:t>
      </w:r>
      <w:proofErr w:type="spellStart"/>
      <w:r>
        <w:rPr>
          <w:rFonts w:ascii="宋体" w:eastAsia="宋体" w:hAnsi="宋体" w:cs="仿宋_GB2312" w:hint="eastAsia"/>
          <w:sz w:val="24"/>
          <w:szCs w:val="24"/>
        </w:rPr>
        <w:t>1</w:t>
      </w:r>
      <w:proofErr w:type="spellEnd"/>
      <w:r>
        <w:rPr>
          <w:rFonts w:ascii="宋体" w:eastAsia="宋体" w:hAnsi="宋体" w:cs="仿宋_GB2312" w:hint="eastAsia"/>
          <w:sz w:val="24"/>
          <w:szCs w:val="24"/>
        </w:rPr>
        <w:t>：2   1：5   1：10   1：20   1：50   1：100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1：200   1：500   1：1000   1：2000   1：5000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5.3图纸质量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各阶段、各部分的图纸应达到该设计阶段规定的设计深度，其图形、线条、尺寸、文字等应整齐、清晰，特别是经过缩小和修改的图纸也应整齐和清晰。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提交的图纸和设计文件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投标时投标人应按招标书要求编写投标书和标书附图；中标后投标人应按合同分阶段提供设计文件、计算文件和图纸；性能考核验收后提供全部竣工图纸，包括部件加工图。投标人除提供全部文字文件和图纸文件外，应同时提供它们的电子文件光盘（光盘背面应有机型及图纸类型的标志），所提供的电子文件应是可编辑、可打印输出的。</w:t>
      </w:r>
    </w:p>
    <w:p w:rsidR="00417E68" w:rsidRDefault="004F5C95">
      <w:pPr>
        <w:spacing w:line="360" w:lineRule="auto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5.4其他图纸和资料</w:t>
      </w:r>
    </w:p>
    <w:p w:rsidR="00417E68" w:rsidRDefault="004F5C95">
      <w:pPr>
        <w:spacing w:line="360" w:lineRule="auto"/>
        <w:ind w:firstLineChars="200" w:firstLine="480"/>
        <w:rPr>
          <w:rFonts w:ascii="宋体" w:eastAsia="宋体" w:hAnsi="宋体" w:cs="仿宋_GB2312"/>
          <w:sz w:val="24"/>
          <w:szCs w:val="24"/>
        </w:rPr>
      </w:pPr>
      <w:r>
        <w:rPr>
          <w:rFonts w:ascii="宋体" w:eastAsia="宋体" w:hAnsi="宋体" w:cs="仿宋_GB2312" w:hint="eastAsia"/>
          <w:sz w:val="24"/>
          <w:szCs w:val="24"/>
        </w:rPr>
        <w:t>投标人还应提供设备运输、装卸和安装有关图纸资料、操作须知、维修和检验手册。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58" w:name="_Toc460162306"/>
      <w:bookmarkStart w:id="59" w:name="_Toc25358"/>
      <w:r>
        <w:rPr>
          <w:rFonts w:ascii="黑体" w:eastAsia="黑体" w:hint="eastAsia"/>
          <w:b w:val="0"/>
          <w:sz w:val="30"/>
          <w:szCs w:val="30"/>
        </w:rPr>
        <w:t>6.案及过程控制</w:t>
      </w:r>
      <w:bookmarkEnd w:id="58"/>
      <w:bookmarkEnd w:id="59"/>
    </w:p>
    <w:p w:rsidR="00417E68" w:rsidRDefault="004F5C95">
      <w:pPr>
        <w:spacing w:line="360" w:lineRule="auto"/>
        <w:rPr>
          <w:rFonts w:ascii="宋体" w:eastAsia="宋体" w:hAnsi="宋体" w:cs="仿宋_GB2312"/>
          <w:bCs/>
          <w:sz w:val="24"/>
          <w:szCs w:val="24"/>
        </w:rPr>
      </w:pPr>
      <w:r>
        <w:rPr>
          <w:rFonts w:ascii="宋体" w:eastAsia="宋体" w:hAnsi="宋体" w:cs="仿宋_GB2312" w:hint="eastAsia"/>
          <w:bCs/>
          <w:sz w:val="24"/>
          <w:szCs w:val="24"/>
        </w:rPr>
        <w:t>6.1</w:t>
      </w:r>
      <w:r w:rsidRPr="00ED62C4">
        <w:rPr>
          <w:rFonts w:ascii="宋体" w:eastAsia="宋体" w:hAnsi="宋体" w:cs="仿宋_GB2312" w:hint="eastAsia"/>
          <w:bCs/>
          <w:sz w:val="24"/>
          <w:szCs w:val="24"/>
        </w:rPr>
        <w:t>项目自合同签订之日起至项目通过验收工期为8个月。</w:t>
      </w:r>
    </w:p>
    <w:p w:rsidR="00417E68" w:rsidRDefault="004F5C95">
      <w:pPr>
        <w:spacing w:line="360" w:lineRule="auto"/>
        <w:rPr>
          <w:rFonts w:ascii="宋体" w:eastAsia="宋体" w:hAnsi="宋体" w:cs="仿宋_GB2312"/>
          <w:bCs/>
          <w:sz w:val="24"/>
          <w:szCs w:val="24"/>
        </w:rPr>
      </w:pPr>
      <w:r>
        <w:rPr>
          <w:rFonts w:ascii="宋体" w:eastAsia="宋体" w:hAnsi="宋体" w:cs="仿宋_GB2312" w:hint="eastAsia"/>
          <w:bCs/>
          <w:sz w:val="24"/>
          <w:szCs w:val="24"/>
        </w:rPr>
        <w:t>6.2投标方应在合同签订一个月内，提供详细的改造方案及相关图纸资料、计算说明书等（含纸质4份，电子版（u盘）2份），并组织召开一次改造方案审查会。</w:t>
      </w:r>
    </w:p>
    <w:p w:rsidR="00417E68" w:rsidRDefault="004F5C95">
      <w:pPr>
        <w:spacing w:line="360" w:lineRule="auto"/>
        <w:rPr>
          <w:rFonts w:ascii="宋体" w:eastAsia="宋体" w:hAnsi="宋体" w:cs="仿宋_GB2312"/>
          <w:bCs/>
          <w:sz w:val="24"/>
          <w:szCs w:val="24"/>
        </w:rPr>
      </w:pPr>
      <w:r>
        <w:rPr>
          <w:rFonts w:ascii="宋体" w:eastAsia="宋体" w:hAnsi="宋体" w:cs="仿宋_GB2312" w:hint="eastAsia"/>
          <w:bCs/>
          <w:sz w:val="24"/>
          <w:szCs w:val="24"/>
        </w:rPr>
        <w:t>6.3投标方应对现场安装提供技术指导服务，对安装过程中出现的异常情况提供解决方案。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60" w:name="_Toc460162307"/>
      <w:bookmarkStart w:id="61" w:name="_Toc29208"/>
      <w:r>
        <w:rPr>
          <w:rFonts w:ascii="黑体" w:eastAsia="黑体" w:hint="eastAsia"/>
          <w:b w:val="0"/>
          <w:sz w:val="30"/>
          <w:szCs w:val="30"/>
        </w:rPr>
        <w:t>7.项目验收</w:t>
      </w:r>
      <w:bookmarkEnd w:id="60"/>
      <w:bookmarkEnd w:id="61"/>
    </w:p>
    <w:p w:rsidR="00417E68" w:rsidRDefault="00ED62C4">
      <w:pPr>
        <w:tabs>
          <w:tab w:val="left" w:pos="360"/>
        </w:tabs>
        <w:adjustRightInd w:val="0"/>
        <w:snapToGrid w:val="0"/>
        <w:spacing w:line="360" w:lineRule="auto"/>
        <w:ind w:firstLineChars="200" w:firstLine="480"/>
        <w:rPr>
          <w:rFonts w:ascii="宋体" w:eastAsia="宋体" w:hAnsi="宋体"/>
        </w:rPr>
      </w:pPr>
      <w:r>
        <w:rPr>
          <w:rFonts w:ascii="宋体" w:eastAsia="宋体" w:hAnsi="宋体" w:cs="仿宋_GB2312" w:hint="eastAsia"/>
          <w:sz w:val="24"/>
          <w:szCs w:val="24"/>
        </w:rPr>
        <w:t>投标方</w:t>
      </w:r>
      <w:r w:rsidR="004F5C95">
        <w:rPr>
          <w:rFonts w:ascii="宋体" w:eastAsia="宋体" w:hAnsi="宋体" w:cs="仿宋_GB2312" w:hint="eastAsia"/>
          <w:sz w:val="24"/>
          <w:szCs w:val="24"/>
        </w:rPr>
        <w:t>在减速机安装完毕试运行3个月之后，项目达到技术要求时，</w:t>
      </w:r>
      <w:r>
        <w:rPr>
          <w:rFonts w:ascii="宋体" w:eastAsia="宋体" w:hAnsi="宋体" w:cs="仿宋_GB2312" w:hint="eastAsia"/>
          <w:sz w:val="24"/>
          <w:szCs w:val="24"/>
        </w:rPr>
        <w:t>招标方</w:t>
      </w:r>
      <w:r w:rsidR="004F5C95">
        <w:rPr>
          <w:rFonts w:ascii="宋体" w:eastAsia="宋体" w:hAnsi="宋体" w:cs="仿宋_GB2312" w:hint="eastAsia"/>
          <w:sz w:val="24"/>
          <w:szCs w:val="24"/>
        </w:rPr>
        <w:t>根据实际情况和</w:t>
      </w:r>
      <w:r>
        <w:rPr>
          <w:rFonts w:ascii="宋体" w:eastAsia="宋体" w:hAnsi="宋体" w:cs="仿宋_GB2312" w:hint="eastAsia"/>
          <w:sz w:val="24"/>
          <w:szCs w:val="24"/>
        </w:rPr>
        <w:t>投标方</w:t>
      </w:r>
      <w:r w:rsidR="004F5C95">
        <w:rPr>
          <w:rFonts w:ascii="宋体" w:eastAsia="宋体" w:hAnsi="宋体" w:cs="仿宋_GB2312" w:hint="eastAsia"/>
          <w:sz w:val="24"/>
          <w:szCs w:val="24"/>
        </w:rPr>
        <w:t>提出的书面验收申请组织相关部门进行验收。如果由于</w:t>
      </w:r>
      <w:r>
        <w:rPr>
          <w:rFonts w:ascii="宋体" w:eastAsia="宋体" w:hAnsi="宋体" w:cs="仿宋_GB2312" w:hint="eastAsia"/>
          <w:sz w:val="24"/>
          <w:szCs w:val="24"/>
        </w:rPr>
        <w:t>投标方</w:t>
      </w:r>
      <w:r w:rsidR="004F5C95">
        <w:rPr>
          <w:rFonts w:ascii="宋体" w:eastAsia="宋体" w:hAnsi="宋体" w:cs="仿宋_GB2312" w:hint="eastAsia"/>
          <w:sz w:val="24"/>
          <w:szCs w:val="24"/>
        </w:rPr>
        <w:t>的原因造成系统不能满足用户技术、使用要求时，</w:t>
      </w:r>
      <w:r>
        <w:rPr>
          <w:rFonts w:ascii="宋体" w:eastAsia="宋体" w:hAnsi="宋体" w:cs="仿宋_GB2312" w:hint="eastAsia"/>
          <w:sz w:val="24"/>
          <w:szCs w:val="24"/>
        </w:rPr>
        <w:t>招标方</w:t>
      </w:r>
      <w:r w:rsidR="004F5C95">
        <w:rPr>
          <w:rFonts w:ascii="宋体" w:eastAsia="宋体" w:hAnsi="宋体" w:cs="仿宋_GB2312" w:hint="eastAsia"/>
          <w:sz w:val="24"/>
          <w:szCs w:val="24"/>
        </w:rPr>
        <w:t>有权不给予验收，直至达到要求。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62" w:name="_Toc18360"/>
      <w:bookmarkStart w:id="63" w:name="_Toc376968411"/>
      <w:bookmarkStart w:id="64" w:name="_Toc460162308"/>
      <w:r>
        <w:rPr>
          <w:rFonts w:ascii="黑体" w:eastAsia="黑体" w:hint="eastAsia"/>
          <w:b w:val="0"/>
          <w:sz w:val="30"/>
          <w:szCs w:val="30"/>
        </w:rPr>
        <w:lastRenderedPageBreak/>
        <w:t>8.质量保证及服务承诺</w:t>
      </w:r>
      <w:bookmarkEnd w:id="62"/>
      <w:bookmarkEnd w:id="63"/>
      <w:bookmarkEnd w:id="64"/>
    </w:p>
    <w:p w:rsidR="00417E68" w:rsidRDefault="004F5C95">
      <w:pPr>
        <w:pStyle w:val="a5"/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8.1每套设备必须进行出厂功能测试，相应的测试报告必须和设备一并提供，包含材料检测报告、热处理工艺报告、整机性能测试报告等。</w:t>
      </w:r>
    </w:p>
    <w:p w:rsidR="00417E68" w:rsidRDefault="004F5C95">
      <w:pPr>
        <w:pStyle w:val="a5"/>
        <w:spacing w:line="360" w:lineRule="auto"/>
        <w:rPr>
          <w:rFonts w:hAnsi="宋体" w:cs="仿宋_GB2312"/>
          <w:b/>
          <w:szCs w:val="24"/>
        </w:rPr>
      </w:pPr>
      <w:r>
        <w:rPr>
          <w:rFonts w:hAnsi="宋体" w:cs="仿宋_GB2312" w:hint="eastAsia"/>
          <w:szCs w:val="24"/>
        </w:rPr>
        <w:t>8.2凡在开箱检验、安装调试、设备试运转过程中发现的设备质量问题，由投标方负责处理，实行包修、包换、包退直至产品符合质量要求，投标方承担修理、调换、退货发生的一切费用和招标方的直接经济损失。</w:t>
      </w:r>
    </w:p>
    <w:p w:rsidR="00417E68" w:rsidRDefault="004F5C95">
      <w:pPr>
        <w:pStyle w:val="a5"/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8.3质保期限：项目验收合格后12个月。保质期内有问题的减速机无偿退换。</w:t>
      </w:r>
    </w:p>
    <w:p w:rsidR="00417E68" w:rsidRDefault="004F5C95">
      <w:pPr>
        <w:pStyle w:val="a5"/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8.4减速机使用寿命至少为10年，5年内免维护（按期更换润滑油）。</w:t>
      </w:r>
    </w:p>
    <w:p w:rsidR="00417E68" w:rsidRDefault="004F5C95">
      <w:pPr>
        <w:pStyle w:val="a5"/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8.5产品承诺终身保修，在正常的工况条件下如因材料、热处理、加工精度、外购件等，达不到使用寿命要求的,投标方负责无偿更换。</w:t>
      </w:r>
    </w:p>
    <w:p w:rsidR="00417E68" w:rsidRDefault="004F5C95">
      <w:pPr>
        <w:pStyle w:val="a5"/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8.6投标方负责向招标</w:t>
      </w:r>
      <w:proofErr w:type="gramStart"/>
      <w:r>
        <w:rPr>
          <w:rFonts w:hAnsi="宋体" w:cs="仿宋_GB2312" w:hint="eastAsia"/>
          <w:szCs w:val="24"/>
        </w:rPr>
        <w:t>方相关</w:t>
      </w:r>
      <w:proofErr w:type="gramEnd"/>
      <w:r>
        <w:rPr>
          <w:rFonts w:hAnsi="宋体" w:cs="仿宋_GB2312" w:hint="eastAsia"/>
          <w:szCs w:val="24"/>
        </w:rPr>
        <w:t>人员培训有关设备的使用、维护事项。投标方应选派称职的、有丰富经验的技术人员进行技术培训。应提供培训讲义和声视资料。培训方法采用理论讲授与现场演示相结合的方式。现场培训应结合安装、调试进行。</w:t>
      </w:r>
    </w:p>
    <w:p w:rsidR="00417E68" w:rsidRDefault="004F5C95">
      <w:pPr>
        <w:pStyle w:val="a5"/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8.7招标方在产品使用中提出质量问题反馈时，中标方应在12个小时之内到达现场。在现场及时提出解决方案，提供优质售后服务，随时为用户提供专业的技术咨询和技术保障。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65" w:name="_Toc459705913"/>
      <w:bookmarkStart w:id="66" w:name="_Toc365615451"/>
      <w:bookmarkStart w:id="67" w:name="_Toc460162309"/>
      <w:bookmarkStart w:id="68" w:name="_Toc26057"/>
      <w:r>
        <w:rPr>
          <w:rFonts w:ascii="黑体" w:eastAsia="黑体" w:hint="eastAsia"/>
          <w:b w:val="0"/>
          <w:sz w:val="30"/>
          <w:szCs w:val="30"/>
        </w:rPr>
        <w:t>9．应提交的技术资料</w:t>
      </w:r>
      <w:bookmarkEnd w:id="65"/>
      <w:bookmarkEnd w:id="66"/>
      <w:bookmarkEnd w:id="67"/>
      <w:bookmarkEnd w:id="68"/>
    </w:p>
    <w:p w:rsidR="00417E68" w:rsidRDefault="00ED62C4">
      <w:pPr>
        <w:snapToGrid w:val="0"/>
        <w:spacing w:line="360" w:lineRule="auto"/>
        <w:ind w:firstLineChars="150" w:firstLine="36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招标方</w:t>
      </w:r>
      <w:r w:rsidR="004F5C95">
        <w:rPr>
          <w:rFonts w:ascii="宋体" w:hAnsi="宋体" w:hint="eastAsia"/>
          <w:sz w:val="24"/>
          <w:szCs w:val="24"/>
        </w:rPr>
        <w:t>应随产品提供4套竣工资料。资料形式为书面式和电子式两种，书面形式4套，电子光盘2套。其中电子版资料为CAD2004格式和Word 2003格式。竣工资料至少包括：</w:t>
      </w:r>
    </w:p>
    <w:p w:rsidR="00417E68" w:rsidRDefault="004F5C95" w:rsidP="00417E68">
      <w:pPr>
        <w:numPr>
          <w:ilvl w:val="0"/>
          <w:numId w:val="9"/>
        </w:numPr>
        <w:snapToGrid w:val="0"/>
        <w:spacing w:line="360" w:lineRule="auto"/>
        <w:ind w:left="0" w:firstLineChars="149" w:firstLine="35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减速机箱总布置图；</w:t>
      </w:r>
    </w:p>
    <w:p w:rsidR="00417E68" w:rsidRDefault="004F5C95" w:rsidP="00417E68">
      <w:pPr>
        <w:numPr>
          <w:ilvl w:val="0"/>
          <w:numId w:val="9"/>
        </w:numPr>
        <w:snapToGrid w:val="0"/>
        <w:spacing w:line="360" w:lineRule="auto"/>
        <w:ind w:left="0" w:firstLineChars="149" w:firstLine="35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减速机箱装配图；</w:t>
      </w:r>
    </w:p>
    <w:p w:rsidR="00417E68" w:rsidRDefault="004F5C95" w:rsidP="00417E68">
      <w:pPr>
        <w:numPr>
          <w:ilvl w:val="0"/>
          <w:numId w:val="9"/>
        </w:numPr>
        <w:snapToGrid w:val="0"/>
        <w:spacing w:line="360" w:lineRule="auto"/>
        <w:ind w:left="0" w:firstLineChars="149" w:firstLine="35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零部件图；</w:t>
      </w:r>
    </w:p>
    <w:p w:rsidR="00417E68" w:rsidRDefault="004F5C95" w:rsidP="00417E68">
      <w:pPr>
        <w:numPr>
          <w:ilvl w:val="0"/>
          <w:numId w:val="9"/>
        </w:numPr>
        <w:snapToGrid w:val="0"/>
        <w:spacing w:line="360" w:lineRule="auto"/>
        <w:ind w:left="0" w:firstLineChars="149" w:firstLine="35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设备安装、调试、试运转、操作、维修说明书，说明书至少包含以下内容：</w:t>
      </w:r>
    </w:p>
    <w:p w:rsidR="00417E68" w:rsidRDefault="004F5C95">
      <w:pPr>
        <w:snapToGrid w:val="0"/>
        <w:spacing w:line="360" w:lineRule="auto"/>
        <w:ind w:firstLineChars="298" w:firstLine="71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A   定期保养、检查和修理的项目和周期、调整方法与数据、拆装程序及修理中的注意事项；</w:t>
      </w:r>
    </w:p>
    <w:p w:rsidR="00417E68" w:rsidRDefault="004F5C95">
      <w:pPr>
        <w:snapToGrid w:val="0"/>
        <w:spacing w:line="360" w:lineRule="auto"/>
        <w:ind w:firstLineChars="298" w:firstLine="71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B  简明故障分析表，以便维修人员准确迅速地查明故障部位及原因；</w:t>
      </w:r>
    </w:p>
    <w:p w:rsidR="00417E68" w:rsidRDefault="004F5C95">
      <w:pPr>
        <w:snapToGrid w:val="0"/>
        <w:spacing w:line="360" w:lineRule="auto"/>
        <w:ind w:firstLineChars="298" w:firstLine="71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  易损件的型号、尺寸、配合间隙、材料及修理年限和使用年限；</w:t>
      </w:r>
    </w:p>
    <w:p w:rsidR="00417E68" w:rsidRDefault="004F5C95">
      <w:pPr>
        <w:snapToGrid w:val="0"/>
        <w:spacing w:line="360" w:lineRule="auto"/>
        <w:ind w:firstLineChars="298" w:firstLine="715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D  轴承、密封件、电气及控制系统等电器电子元件的型号、规格、数量一览表等。</w:t>
      </w:r>
    </w:p>
    <w:p w:rsidR="00417E68" w:rsidRDefault="004F5C95" w:rsidP="00417E68">
      <w:pPr>
        <w:numPr>
          <w:ilvl w:val="0"/>
          <w:numId w:val="9"/>
        </w:numPr>
        <w:snapToGrid w:val="0"/>
        <w:spacing w:line="360" w:lineRule="auto"/>
        <w:ind w:left="0" w:firstLineChars="149" w:firstLine="358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提供完整的备品备件明细，包括纸质版和电子版，备件应精确到每个独立的部件，明细中应包含备件的名称、规格型号，厂家、数量等信息，此部分信息必须与现场实际情况一致。</w:t>
      </w:r>
    </w:p>
    <w:p w:rsidR="00417E68" w:rsidRDefault="00ED62C4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招标方</w:t>
      </w:r>
      <w:r w:rsidR="004F5C95">
        <w:rPr>
          <w:rFonts w:ascii="宋体" w:hAnsi="宋体" w:hint="eastAsia"/>
          <w:sz w:val="24"/>
          <w:szCs w:val="24"/>
        </w:rPr>
        <w:t>需根据要求在合同签订后的一个月内提供设备选型资料，并经</w:t>
      </w:r>
      <w:r>
        <w:rPr>
          <w:rFonts w:ascii="宋体" w:hAnsi="宋体" w:hint="eastAsia"/>
          <w:sz w:val="24"/>
          <w:szCs w:val="24"/>
        </w:rPr>
        <w:t>投标方</w:t>
      </w:r>
      <w:r w:rsidR="004F5C95">
        <w:rPr>
          <w:rFonts w:ascii="宋体" w:hAnsi="宋体" w:hint="eastAsia"/>
          <w:sz w:val="24"/>
          <w:szCs w:val="24"/>
        </w:rPr>
        <w:t>审查，</w:t>
      </w:r>
      <w:r>
        <w:rPr>
          <w:rFonts w:ascii="宋体" w:hAnsi="宋体" w:hint="eastAsia"/>
          <w:sz w:val="24"/>
          <w:szCs w:val="24"/>
        </w:rPr>
        <w:t>投标方</w:t>
      </w:r>
      <w:r w:rsidR="004F5C95">
        <w:rPr>
          <w:rFonts w:ascii="宋体" w:hAnsi="宋体" w:hint="eastAsia"/>
          <w:sz w:val="24"/>
          <w:szCs w:val="24"/>
        </w:rPr>
        <w:t>的审查并不解除</w:t>
      </w:r>
      <w:r>
        <w:rPr>
          <w:rFonts w:ascii="宋体" w:hAnsi="宋体" w:hint="eastAsia"/>
          <w:sz w:val="24"/>
          <w:szCs w:val="24"/>
        </w:rPr>
        <w:t>招标方</w:t>
      </w:r>
      <w:r w:rsidR="004F5C95">
        <w:rPr>
          <w:rFonts w:ascii="宋体" w:hAnsi="宋体" w:hint="eastAsia"/>
          <w:sz w:val="24"/>
          <w:szCs w:val="24"/>
        </w:rPr>
        <w:t>的最终责任，</w:t>
      </w:r>
      <w:r>
        <w:rPr>
          <w:rFonts w:ascii="宋体" w:hAnsi="宋体" w:hint="eastAsia"/>
          <w:sz w:val="24"/>
          <w:szCs w:val="24"/>
        </w:rPr>
        <w:t>投标方</w:t>
      </w:r>
      <w:r w:rsidR="004F5C95">
        <w:rPr>
          <w:rFonts w:ascii="宋体" w:hAnsi="宋体" w:hint="eastAsia"/>
          <w:sz w:val="24"/>
          <w:szCs w:val="24"/>
        </w:rPr>
        <w:t>也不对以后制造过程中的必要修改承担责任。</w:t>
      </w:r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凡设备、资料、图纸和技术培训中涉及到的文字或语言，均以中文或中英文对照进行书写，并以中文为准。</w:t>
      </w:r>
    </w:p>
    <w:p w:rsidR="00417E68" w:rsidRDefault="004F5C95">
      <w:pPr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▲</w:t>
      </w:r>
      <w:r>
        <w:rPr>
          <w:rFonts w:ascii="宋体" w:hAnsi="宋体" w:hint="eastAsia"/>
          <w:sz w:val="24"/>
          <w:szCs w:val="24"/>
        </w:rPr>
        <w:t>本工程为在黄骅港现有设备的基础上进行设备改造。所涉及到的原系统各参数参照附件及黄骅</w:t>
      </w:r>
      <w:proofErr w:type="gramStart"/>
      <w:r>
        <w:rPr>
          <w:rFonts w:ascii="宋体" w:hAnsi="宋体" w:hint="eastAsia"/>
          <w:sz w:val="24"/>
          <w:szCs w:val="24"/>
        </w:rPr>
        <w:t>港现场</w:t>
      </w:r>
      <w:proofErr w:type="gramEnd"/>
      <w:r>
        <w:rPr>
          <w:rFonts w:ascii="宋体" w:hAnsi="宋体" w:hint="eastAsia"/>
          <w:sz w:val="24"/>
          <w:szCs w:val="24"/>
        </w:rPr>
        <w:t>实际情况，并以现场实际参数为准，此部分资料由</w:t>
      </w:r>
      <w:r w:rsidR="00ED62C4">
        <w:rPr>
          <w:rFonts w:ascii="宋体" w:hAnsi="宋体" w:hint="eastAsia"/>
          <w:sz w:val="24"/>
          <w:szCs w:val="24"/>
        </w:rPr>
        <w:t>投标方</w:t>
      </w:r>
      <w:r>
        <w:rPr>
          <w:rFonts w:ascii="宋体" w:hAnsi="宋体" w:hint="eastAsia"/>
          <w:sz w:val="24"/>
          <w:szCs w:val="24"/>
        </w:rPr>
        <w:t>自行对现场进行测量取得。</w:t>
      </w:r>
      <w:r w:rsidR="00ED62C4">
        <w:rPr>
          <w:rFonts w:ascii="宋体" w:hAnsi="宋体" w:hint="eastAsia"/>
          <w:sz w:val="24"/>
          <w:szCs w:val="24"/>
        </w:rPr>
        <w:t>投标方</w:t>
      </w:r>
      <w:r>
        <w:rPr>
          <w:rFonts w:ascii="宋体" w:hAnsi="宋体" w:hint="eastAsia"/>
          <w:sz w:val="24"/>
          <w:szCs w:val="24"/>
        </w:rPr>
        <w:t>应对所有技术资料数据进行认真核实并确认，由于资料不详或偏差而产生的相关问题由</w:t>
      </w:r>
      <w:r w:rsidR="00ED62C4">
        <w:rPr>
          <w:rFonts w:ascii="宋体" w:hAnsi="宋体" w:hint="eastAsia"/>
          <w:sz w:val="24"/>
          <w:szCs w:val="24"/>
        </w:rPr>
        <w:t>投标方</w:t>
      </w:r>
      <w:r>
        <w:rPr>
          <w:rFonts w:ascii="宋体" w:hAnsi="宋体" w:hint="eastAsia"/>
          <w:sz w:val="24"/>
          <w:szCs w:val="24"/>
        </w:rPr>
        <w:t>负责。</w:t>
      </w:r>
    </w:p>
    <w:p w:rsidR="00417E68" w:rsidRDefault="004F5C95">
      <w:pPr>
        <w:pStyle w:val="1"/>
        <w:spacing w:before="0" w:after="0" w:line="360" w:lineRule="auto"/>
        <w:rPr>
          <w:rFonts w:ascii="黑体" w:eastAsia="黑体"/>
          <w:b w:val="0"/>
          <w:sz w:val="30"/>
          <w:szCs w:val="30"/>
        </w:rPr>
      </w:pPr>
      <w:bookmarkStart w:id="69" w:name="_Toc460162310"/>
      <w:bookmarkStart w:id="70" w:name="_Toc31032"/>
      <w:r>
        <w:rPr>
          <w:rFonts w:ascii="黑体" w:eastAsia="黑体" w:hint="eastAsia"/>
          <w:b w:val="0"/>
          <w:sz w:val="30"/>
          <w:szCs w:val="30"/>
        </w:rPr>
        <w:t>10. 投标时</w:t>
      </w:r>
      <w:r w:rsidR="00ED62C4">
        <w:rPr>
          <w:rFonts w:ascii="黑体" w:eastAsia="黑体" w:hint="eastAsia"/>
          <w:b w:val="0"/>
          <w:sz w:val="30"/>
          <w:szCs w:val="30"/>
        </w:rPr>
        <w:t>招标方</w:t>
      </w:r>
      <w:r>
        <w:rPr>
          <w:rFonts w:ascii="黑体" w:eastAsia="黑体" w:hint="eastAsia"/>
          <w:b w:val="0"/>
          <w:sz w:val="30"/>
          <w:szCs w:val="30"/>
        </w:rPr>
        <w:t>应提供的资料：</w:t>
      </w:r>
      <w:bookmarkEnd w:id="69"/>
      <w:bookmarkEnd w:id="70"/>
    </w:p>
    <w:p w:rsidR="00417E68" w:rsidRDefault="004F5C95">
      <w:pPr>
        <w:tabs>
          <w:tab w:val="left" w:pos="6521"/>
        </w:tabs>
        <w:snapToGrid w:val="0"/>
        <w:spacing w:line="360" w:lineRule="auto"/>
        <w:ind w:left="361"/>
        <w:rPr>
          <w:rFonts w:ascii="宋体"/>
          <w:spacing w:val="6"/>
          <w:sz w:val="24"/>
          <w:szCs w:val="24"/>
        </w:rPr>
      </w:pPr>
      <w:r>
        <w:rPr>
          <w:rFonts w:ascii="宋体" w:hint="eastAsia"/>
          <w:spacing w:val="6"/>
          <w:sz w:val="24"/>
          <w:szCs w:val="24"/>
        </w:rPr>
        <w:t>（1）相关核算及计算书</w:t>
      </w:r>
    </w:p>
    <w:p w:rsidR="00417E68" w:rsidRDefault="004F5C95">
      <w:pPr>
        <w:numPr>
          <w:ilvl w:val="0"/>
          <w:numId w:val="10"/>
        </w:numPr>
        <w:tabs>
          <w:tab w:val="left" w:pos="6521"/>
        </w:tabs>
        <w:adjustRightInd w:val="0"/>
        <w:snapToGrid w:val="0"/>
        <w:spacing w:line="360" w:lineRule="auto"/>
        <w:textAlignment w:val="baseline"/>
        <w:rPr>
          <w:rFonts w:ascii="宋体"/>
          <w:spacing w:val="6"/>
          <w:sz w:val="24"/>
          <w:szCs w:val="24"/>
        </w:rPr>
      </w:pPr>
      <w:r>
        <w:rPr>
          <w:rFonts w:ascii="宋体" w:hint="eastAsia"/>
          <w:spacing w:val="6"/>
          <w:sz w:val="24"/>
          <w:szCs w:val="24"/>
        </w:rPr>
        <w:t>减速机箱设计说明书；</w:t>
      </w:r>
    </w:p>
    <w:p w:rsidR="00417E68" w:rsidRDefault="004F5C95">
      <w:pPr>
        <w:snapToGrid w:val="0"/>
        <w:spacing w:line="360" w:lineRule="auto"/>
        <w:ind w:left="361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（2）相关设计方案、图纸和资料</w:t>
      </w:r>
    </w:p>
    <w:p w:rsidR="00417E68" w:rsidRDefault="004F5C95">
      <w:pPr>
        <w:numPr>
          <w:ilvl w:val="0"/>
          <w:numId w:val="11"/>
        </w:numPr>
        <w:snapToGrid w:val="0"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减速机箱安装布置图；</w:t>
      </w:r>
    </w:p>
    <w:p w:rsidR="00417E68" w:rsidRDefault="004F5C95">
      <w:pPr>
        <w:numPr>
          <w:ilvl w:val="0"/>
          <w:numId w:val="11"/>
        </w:numPr>
        <w:snapToGrid w:val="0"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减速机箱装配图；</w:t>
      </w:r>
    </w:p>
    <w:p w:rsidR="00417E68" w:rsidRDefault="004F5C95">
      <w:pPr>
        <w:numPr>
          <w:ilvl w:val="0"/>
          <w:numId w:val="11"/>
        </w:numPr>
        <w:snapToGrid w:val="0"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零部件图；</w:t>
      </w:r>
    </w:p>
    <w:p w:rsidR="00417E68" w:rsidRDefault="004F5C95">
      <w:pPr>
        <w:snapToGrid w:val="0"/>
        <w:spacing w:line="360" w:lineRule="auto"/>
        <w:ind w:left="361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（3）其他文件</w:t>
      </w:r>
    </w:p>
    <w:p w:rsidR="00417E68" w:rsidRDefault="004F5C95">
      <w:pPr>
        <w:pStyle w:val="a5"/>
        <w:numPr>
          <w:ilvl w:val="0"/>
          <w:numId w:val="12"/>
        </w:numPr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所提供设备性能参数描述及对本技术规格书的响应情况描述。</w:t>
      </w:r>
    </w:p>
    <w:p w:rsidR="00417E68" w:rsidRDefault="004F5C95">
      <w:pPr>
        <w:pStyle w:val="a5"/>
        <w:numPr>
          <w:ilvl w:val="0"/>
          <w:numId w:val="12"/>
        </w:numPr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lastRenderedPageBreak/>
        <w:t>投标书中应根据招标要求写明详细技术方案。</w:t>
      </w:r>
    </w:p>
    <w:p w:rsidR="00417E68" w:rsidRDefault="004F5C95">
      <w:pPr>
        <w:pStyle w:val="a5"/>
        <w:numPr>
          <w:ilvl w:val="0"/>
          <w:numId w:val="12"/>
        </w:numPr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投标方技术服务承诺书。</w:t>
      </w:r>
    </w:p>
    <w:p w:rsidR="00417E68" w:rsidRDefault="004F5C95">
      <w:pPr>
        <w:pStyle w:val="a5"/>
        <w:numPr>
          <w:ilvl w:val="0"/>
          <w:numId w:val="12"/>
        </w:numPr>
        <w:spacing w:line="360" w:lineRule="auto"/>
        <w:rPr>
          <w:rFonts w:hAnsi="宋体" w:cs="仿宋_GB2312"/>
          <w:szCs w:val="24"/>
        </w:rPr>
      </w:pPr>
      <w:r>
        <w:rPr>
          <w:rFonts w:hAnsi="宋体" w:cs="仿宋_GB2312" w:hint="eastAsia"/>
          <w:szCs w:val="24"/>
        </w:rPr>
        <w:t>所有设备的产品样本（说明书）。</w:t>
      </w:r>
    </w:p>
    <w:p w:rsidR="00417E68" w:rsidRDefault="004F5C95">
      <w:pPr>
        <w:pStyle w:val="a5"/>
        <w:numPr>
          <w:ilvl w:val="0"/>
          <w:numId w:val="12"/>
        </w:numPr>
        <w:spacing w:line="360" w:lineRule="auto"/>
        <w:rPr>
          <w:rFonts w:hAnsi="宋体" w:cs="黑体"/>
          <w:color w:val="000000"/>
        </w:rPr>
      </w:pPr>
      <w:r>
        <w:rPr>
          <w:rFonts w:hAnsi="宋体" w:cs="仿宋_GB2312" w:hint="eastAsia"/>
          <w:szCs w:val="24"/>
        </w:rPr>
        <w:t>施工组织方案及计划。</w:t>
      </w:r>
    </w:p>
    <w:p w:rsidR="00417E68" w:rsidRDefault="00417E68">
      <w:pPr>
        <w:widowControl/>
        <w:jc w:val="left"/>
        <w:rPr>
          <w:rFonts w:ascii="Times New Roman" w:eastAsia="宋体" w:hAnsi="Times New Roman" w:cs="Times New Roman"/>
          <w:sz w:val="28"/>
          <w:szCs w:val="28"/>
        </w:rPr>
      </w:pPr>
    </w:p>
    <w:sectPr w:rsidR="00417E68" w:rsidSect="00417E68">
      <w:pgSz w:w="11906" w:h="16838"/>
      <w:pgMar w:top="2098" w:right="1474" w:bottom="1985" w:left="1588" w:header="851" w:footer="992" w:gutter="56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42E" w:rsidRDefault="0099342E" w:rsidP="00417E68">
      <w:r>
        <w:separator/>
      </w:r>
    </w:p>
  </w:endnote>
  <w:endnote w:type="continuationSeparator" w:id="0">
    <w:p w:rsidR="0099342E" w:rsidRDefault="0099342E" w:rsidP="00417E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68" w:rsidRDefault="00417E6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68" w:rsidRDefault="00417E6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42E" w:rsidRDefault="0099342E" w:rsidP="00417E68">
      <w:r>
        <w:separator/>
      </w:r>
    </w:p>
  </w:footnote>
  <w:footnote w:type="continuationSeparator" w:id="0">
    <w:p w:rsidR="0099342E" w:rsidRDefault="0099342E" w:rsidP="00417E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68" w:rsidRDefault="00417E6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2"/>
      <w:numFmt w:val="decimal"/>
      <w:suff w:val="nothing"/>
      <w:lvlText w:val="%1."/>
      <w:lvlJc w:val="left"/>
    </w:lvl>
    <w:lvl w:ilvl="1">
      <w:start w:val="2"/>
      <w:numFmt w:val="decimal"/>
      <w:isLgl/>
      <w:lvlText w:val="%1.%2"/>
      <w:lvlJc w:val="left"/>
      <w:pPr>
        <w:ind w:left="945" w:hanging="70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left" w:pos="935"/>
        </w:tabs>
        <w:ind w:left="93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151"/>
        </w:tabs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83"/>
        </w:tabs>
        <w:ind w:left="1583" w:hanging="1583"/>
      </w:pPr>
      <w:rPr>
        <w:rFonts w:hint="default"/>
      </w:rPr>
    </w:lvl>
  </w:abstractNum>
  <w:abstractNum w:abstractNumId="2">
    <w:nsid w:val="032675D7"/>
    <w:multiLevelType w:val="multilevel"/>
    <w:tmpl w:val="032675D7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320"/>
        </w:tabs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ascii="Wingdings" w:hAnsi="Wingdings" w:hint="default"/>
      </w:rPr>
    </w:lvl>
  </w:abstractNum>
  <w:abstractNum w:abstractNumId="3">
    <w:nsid w:val="133B7914"/>
    <w:multiLevelType w:val="multilevel"/>
    <w:tmpl w:val="133B791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6A15515"/>
    <w:multiLevelType w:val="multilevel"/>
    <w:tmpl w:val="16A15515"/>
    <w:lvl w:ilvl="0">
      <w:start w:val="1"/>
      <w:numFmt w:val="decimalEnclosedCircle"/>
      <w:lvlText w:val="%1."/>
      <w:lvlJc w:val="left"/>
      <w:pPr>
        <w:tabs>
          <w:tab w:val="left" w:pos="1413"/>
        </w:tabs>
        <w:ind w:left="1413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79"/>
        </w:tabs>
        <w:ind w:left="1379" w:hanging="420"/>
      </w:pPr>
    </w:lvl>
    <w:lvl w:ilvl="2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abstractNum w:abstractNumId="5">
    <w:nsid w:val="19BA3DA6"/>
    <w:multiLevelType w:val="multilevel"/>
    <w:tmpl w:val="19BA3DA6"/>
    <w:lvl w:ilvl="0">
      <w:start w:val="1"/>
      <w:numFmt w:val="decimalEnclosedCircle"/>
      <w:lvlText w:val="%1."/>
      <w:lvlJc w:val="left"/>
      <w:pPr>
        <w:ind w:left="12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2AA3733C"/>
    <w:multiLevelType w:val="multilevel"/>
    <w:tmpl w:val="2AA3733C"/>
    <w:lvl w:ilvl="0">
      <w:start w:val="2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left" w:pos="786"/>
        </w:tabs>
        <w:ind w:left="786" w:hanging="360"/>
      </w:pPr>
      <w:rPr>
        <w:rFonts w:hint="eastAsia"/>
      </w:rPr>
    </w:lvl>
    <w:lvl w:ilvl="2">
      <w:start w:val="1"/>
      <w:numFmt w:val="decimal"/>
      <w:lvlText w:val="%3、"/>
      <w:lvlJc w:val="left"/>
      <w:pPr>
        <w:tabs>
          <w:tab w:val="left" w:pos="1070"/>
        </w:tabs>
        <w:ind w:left="107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2D2B16A2"/>
    <w:multiLevelType w:val="multilevel"/>
    <w:tmpl w:val="2D2B16A2"/>
    <w:lvl w:ilvl="0">
      <w:start w:val="1"/>
      <w:numFmt w:val="decimal"/>
      <w:lvlText w:val="（%1）"/>
      <w:lvlJc w:val="left"/>
      <w:pPr>
        <w:tabs>
          <w:tab w:val="left" w:pos="1081"/>
        </w:tabs>
        <w:ind w:left="1081" w:hanging="720"/>
      </w:pPr>
    </w:lvl>
    <w:lvl w:ilvl="1">
      <w:start w:val="1"/>
      <w:numFmt w:val="lowerLetter"/>
      <w:lvlText w:val="%2)"/>
      <w:lvlJc w:val="left"/>
      <w:pPr>
        <w:tabs>
          <w:tab w:val="left" w:pos="1201"/>
        </w:tabs>
        <w:ind w:left="1201" w:hanging="420"/>
      </w:pPr>
    </w:lvl>
    <w:lvl w:ilvl="2">
      <w:start w:val="1"/>
      <w:numFmt w:val="lowerRoman"/>
      <w:lvlText w:val="%3."/>
      <w:lvlJc w:val="right"/>
      <w:pPr>
        <w:tabs>
          <w:tab w:val="left" w:pos="1621"/>
        </w:tabs>
        <w:ind w:left="1621" w:hanging="420"/>
      </w:pPr>
    </w:lvl>
    <w:lvl w:ilvl="3">
      <w:start w:val="1"/>
      <w:numFmt w:val="decimal"/>
      <w:lvlText w:val="%4."/>
      <w:lvlJc w:val="left"/>
      <w:pPr>
        <w:tabs>
          <w:tab w:val="left" w:pos="2041"/>
        </w:tabs>
        <w:ind w:left="2041" w:hanging="420"/>
      </w:pPr>
    </w:lvl>
    <w:lvl w:ilvl="4">
      <w:start w:val="1"/>
      <w:numFmt w:val="lowerLetter"/>
      <w:lvlText w:val="%5)"/>
      <w:lvlJc w:val="left"/>
      <w:pPr>
        <w:tabs>
          <w:tab w:val="left" w:pos="2461"/>
        </w:tabs>
        <w:ind w:left="2461" w:hanging="420"/>
      </w:pPr>
    </w:lvl>
    <w:lvl w:ilvl="5">
      <w:start w:val="1"/>
      <w:numFmt w:val="lowerRoman"/>
      <w:lvlText w:val="%6."/>
      <w:lvlJc w:val="right"/>
      <w:pPr>
        <w:tabs>
          <w:tab w:val="left" w:pos="2881"/>
        </w:tabs>
        <w:ind w:left="2881" w:hanging="420"/>
      </w:pPr>
    </w:lvl>
    <w:lvl w:ilvl="6">
      <w:start w:val="1"/>
      <w:numFmt w:val="decimal"/>
      <w:lvlText w:val="%7."/>
      <w:lvlJc w:val="left"/>
      <w:pPr>
        <w:tabs>
          <w:tab w:val="left" w:pos="3301"/>
        </w:tabs>
        <w:ind w:left="3301" w:hanging="420"/>
      </w:pPr>
    </w:lvl>
    <w:lvl w:ilvl="7">
      <w:start w:val="1"/>
      <w:numFmt w:val="lowerLetter"/>
      <w:lvlText w:val="%8)"/>
      <w:lvlJc w:val="left"/>
      <w:pPr>
        <w:tabs>
          <w:tab w:val="left" w:pos="3721"/>
        </w:tabs>
        <w:ind w:left="3721" w:hanging="420"/>
      </w:pPr>
    </w:lvl>
    <w:lvl w:ilvl="8">
      <w:start w:val="1"/>
      <w:numFmt w:val="lowerRoman"/>
      <w:lvlText w:val="%9."/>
      <w:lvlJc w:val="right"/>
      <w:pPr>
        <w:tabs>
          <w:tab w:val="left" w:pos="4141"/>
        </w:tabs>
        <w:ind w:left="4141" w:hanging="420"/>
      </w:pPr>
    </w:lvl>
  </w:abstractNum>
  <w:abstractNum w:abstractNumId="8">
    <w:nsid w:val="396810EF"/>
    <w:multiLevelType w:val="multilevel"/>
    <w:tmpl w:val="396810EF"/>
    <w:lvl w:ilvl="0">
      <w:start w:val="1"/>
      <w:numFmt w:val="decimalEnclosedCircle"/>
      <w:lvlText w:val="%1."/>
      <w:lvlJc w:val="left"/>
      <w:pPr>
        <w:tabs>
          <w:tab w:val="left" w:pos="1379"/>
        </w:tabs>
        <w:ind w:left="1379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79"/>
        </w:tabs>
        <w:ind w:left="1379" w:hanging="420"/>
      </w:pPr>
    </w:lvl>
    <w:lvl w:ilvl="2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abstractNum w:abstractNumId="9">
    <w:nsid w:val="59C9892C"/>
    <w:multiLevelType w:val="singleLevel"/>
    <w:tmpl w:val="59C9892C"/>
    <w:lvl w:ilvl="0">
      <w:start w:val="2"/>
      <w:numFmt w:val="decimal"/>
      <w:suff w:val="nothing"/>
      <w:lvlText w:val="(%1)"/>
      <w:lvlJc w:val="left"/>
    </w:lvl>
  </w:abstractNum>
  <w:abstractNum w:abstractNumId="10">
    <w:nsid w:val="59C98AC7"/>
    <w:multiLevelType w:val="singleLevel"/>
    <w:tmpl w:val="59C98AC7"/>
    <w:lvl w:ilvl="0">
      <w:start w:val="1"/>
      <w:numFmt w:val="decimal"/>
      <w:suff w:val="nothing"/>
      <w:lvlText w:val="（%1）"/>
      <w:lvlJc w:val="left"/>
    </w:lvl>
  </w:abstractNum>
  <w:abstractNum w:abstractNumId="11">
    <w:nsid w:val="729B07B7"/>
    <w:multiLevelType w:val="multilevel"/>
    <w:tmpl w:val="729B07B7"/>
    <w:lvl w:ilvl="0">
      <w:start w:val="1"/>
      <w:numFmt w:val="decimalEnclosedCircle"/>
      <w:lvlText w:val="%1."/>
      <w:lvlJc w:val="left"/>
      <w:pPr>
        <w:tabs>
          <w:tab w:val="left" w:pos="1379"/>
        </w:tabs>
        <w:ind w:left="1379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79"/>
        </w:tabs>
        <w:ind w:left="1379" w:hanging="420"/>
      </w:pPr>
    </w:lvl>
    <w:lvl w:ilvl="2">
      <w:start w:val="1"/>
      <w:numFmt w:val="lowerRoman"/>
      <w:lvlText w:val="%3."/>
      <w:lvlJc w:val="right"/>
      <w:pPr>
        <w:tabs>
          <w:tab w:val="left" w:pos="1799"/>
        </w:tabs>
        <w:ind w:left="1799" w:hanging="420"/>
      </w:pPr>
    </w:lvl>
    <w:lvl w:ilvl="3">
      <w:start w:val="1"/>
      <w:numFmt w:val="decimal"/>
      <w:lvlText w:val="%4."/>
      <w:lvlJc w:val="left"/>
      <w:pPr>
        <w:tabs>
          <w:tab w:val="left" w:pos="2219"/>
        </w:tabs>
        <w:ind w:left="2219" w:hanging="420"/>
      </w:pPr>
    </w:lvl>
    <w:lvl w:ilvl="4">
      <w:start w:val="1"/>
      <w:numFmt w:val="lowerLetter"/>
      <w:lvlText w:val="%5)"/>
      <w:lvlJc w:val="left"/>
      <w:pPr>
        <w:tabs>
          <w:tab w:val="left" w:pos="2639"/>
        </w:tabs>
        <w:ind w:left="2639" w:hanging="420"/>
      </w:pPr>
    </w:lvl>
    <w:lvl w:ilvl="5">
      <w:start w:val="1"/>
      <w:numFmt w:val="lowerRoman"/>
      <w:lvlText w:val="%6."/>
      <w:lvlJc w:val="right"/>
      <w:pPr>
        <w:tabs>
          <w:tab w:val="left" w:pos="3059"/>
        </w:tabs>
        <w:ind w:left="3059" w:hanging="420"/>
      </w:pPr>
    </w:lvl>
    <w:lvl w:ilvl="6">
      <w:start w:val="1"/>
      <w:numFmt w:val="decimal"/>
      <w:lvlText w:val="%7."/>
      <w:lvlJc w:val="left"/>
      <w:pPr>
        <w:tabs>
          <w:tab w:val="left" w:pos="3479"/>
        </w:tabs>
        <w:ind w:left="3479" w:hanging="420"/>
      </w:pPr>
    </w:lvl>
    <w:lvl w:ilvl="7">
      <w:start w:val="1"/>
      <w:numFmt w:val="lowerLetter"/>
      <w:lvlText w:val="%8)"/>
      <w:lvlJc w:val="left"/>
      <w:pPr>
        <w:tabs>
          <w:tab w:val="left" w:pos="3899"/>
        </w:tabs>
        <w:ind w:left="3899" w:hanging="420"/>
      </w:pPr>
    </w:lvl>
    <w:lvl w:ilvl="8">
      <w:start w:val="1"/>
      <w:numFmt w:val="lowerRoman"/>
      <w:lvlText w:val="%9."/>
      <w:lvlJc w:val="right"/>
      <w:pPr>
        <w:tabs>
          <w:tab w:val="left" w:pos="4319"/>
        </w:tabs>
        <w:ind w:left="4319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6"/>
  </w:num>
  <w:num w:numId="7">
    <w:abstractNumId w:val="11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58E5"/>
    <w:rsid w:val="00040DAC"/>
    <w:rsid w:val="00040F8B"/>
    <w:rsid w:val="00064136"/>
    <w:rsid w:val="000676D4"/>
    <w:rsid w:val="0007275A"/>
    <w:rsid w:val="00072840"/>
    <w:rsid w:val="00094887"/>
    <w:rsid w:val="000D58E5"/>
    <w:rsid w:val="000E634A"/>
    <w:rsid w:val="000F4BA1"/>
    <w:rsid w:val="0011014F"/>
    <w:rsid w:val="00113D04"/>
    <w:rsid w:val="00144456"/>
    <w:rsid w:val="0019000B"/>
    <w:rsid w:val="001A2F03"/>
    <w:rsid w:val="001B02C9"/>
    <w:rsid w:val="001C7AA0"/>
    <w:rsid w:val="001E13F8"/>
    <w:rsid w:val="001F1AA1"/>
    <w:rsid w:val="001F42C5"/>
    <w:rsid w:val="001F6DB6"/>
    <w:rsid w:val="00203DB3"/>
    <w:rsid w:val="00207BAD"/>
    <w:rsid w:val="0025154F"/>
    <w:rsid w:val="00263238"/>
    <w:rsid w:val="002650BE"/>
    <w:rsid w:val="0027393E"/>
    <w:rsid w:val="002A586F"/>
    <w:rsid w:val="002C758E"/>
    <w:rsid w:val="002D0E42"/>
    <w:rsid w:val="0030640B"/>
    <w:rsid w:val="00312518"/>
    <w:rsid w:val="003225C0"/>
    <w:rsid w:val="00391BD3"/>
    <w:rsid w:val="003A215E"/>
    <w:rsid w:val="003B3DD8"/>
    <w:rsid w:val="003B4E8D"/>
    <w:rsid w:val="003C1FF4"/>
    <w:rsid w:val="003C57D9"/>
    <w:rsid w:val="003C5B4D"/>
    <w:rsid w:val="003D3CAB"/>
    <w:rsid w:val="00415586"/>
    <w:rsid w:val="00417ACF"/>
    <w:rsid w:val="00417E68"/>
    <w:rsid w:val="00421C77"/>
    <w:rsid w:val="004238B9"/>
    <w:rsid w:val="004A2E74"/>
    <w:rsid w:val="004B3D50"/>
    <w:rsid w:val="004D3290"/>
    <w:rsid w:val="004F16DF"/>
    <w:rsid w:val="004F5C95"/>
    <w:rsid w:val="0050313E"/>
    <w:rsid w:val="00507B55"/>
    <w:rsid w:val="00512A35"/>
    <w:rsid w:val="00553CCA"/>
    <w:rsid w:val="00570FEC"/>
    <w:rsid w:val="0057226C"/>
    <w:rsid w:val="00572A6F"/>
    <w:rsid w:val="00597B2F"/>
    <w:rsid w:val="005A6BCB"/>
    <w:rsid w:val="005C31A8"/>
    <w:rsid w:val="00603296"/>
    <w:rsid w:val="006207AF"/>
    <w:rsid w:val="006513C2"/>
    <w:rsid w:val="00685315"/>
    <w:rsid w:val="00692BFD"/>
    <w:rsid w:val="006939C6"/>
    <w:rsid w:val="006C6E51"/>
    <w:rsid w:val="006E4603"/>
    <w:rsid w:val="0073657D"/>
    <w:rsid w:val="00795677"/>
    <w:rsid w:val="007A2854"/>
    <w:rsid w:val="007A5BFC"/>
    <w:rsid w:val="008154EF"/>
    <w:rsid w:val="00865494"/>
    <w:rsid w:val="0086793D"/>
    <w:rsid w:val="00886145"/>
    <w:rsid w:val="00890918"/>
    <w:rsid w:val="008A449B"/>
    <w:rsid w:val="008B55DE"/>
    <w:rsid w:val="008D5A1C"/>
    <w:rsid w:val="008E4B08"/>
    <w:rsid w:val="008E7824"/>
    <w:rsid w:val="008F674F"/>
    <w:rsid w:val="009147E4"/>
    <w:rsid w:val="009447C2"/>
    <w:rsid w:val="009540AF"/>
    <w:rsid w:val="00955A4D"/>
    <w:rsid w:val="0096164B"/>
    <w:rsid w:val="009770EE"/>
    <w:rsid w:val="0098498E"/>
    <w:rsid w:val="0099342E"/>
    <w:rsid w:val="00996054"/>
    <w:rsid w:val="009C3C82"/>
    <w:rsid w:val="009E1C97"/>
    <w:rsid w:val="009E587A"/>
    <w:rsid w:val="00A019C0"/>
    <w:rsid w:val="00A12719"/>
    <w:rsid w:val="00A62E02"/>
    <w:rsid w:val="00A6662D"/>
    <w:rsid w:val="00A715EA"/>
    <w:rsid w:val="00AB1363"/>
    <w:rsid w:val="00AC1B74"/>
    <w:rsid w:val="00AD5704"/>
    <w:rsid w:val="00B240E9"/>
    <w:rsid w:val="00B717CA"/>
    <w:rsid w:val="00C024A0"/>
    <w:rsid w:val="00C138BA"/>
    <w:rsid w:val="00C1587A"/>
    <w:rsid w:val="00C34000"/>
    <w:rsid w:val="00C4795E"/>
    <w:rsid w:val="00C47CA9"/>
    <w:rsid w:val="00C75B45"/>
    <w:rsid w:val="00CA6B8D"/>
    <w:rsid w:val="00CB2C1A"/>
    <w:rsid w:val="00D22768"/>
    <w:rsid w:val="00D41EE6"/>
    <w:rsid w:val="00D47F96"/>
    <w:rsid w:val="00D56A80"/>
    <w:rsid w:val="00D72F47"/>
    <w:rsid w:val="00D75473"/>
    <w:rsid w:val="00DD56C8"/>
    <w:rsid w:val="00E02794"/>
    <w:rsid w:val="00E053A6"/>
    <w:rsid w:val="00E1151E"/>
    <w:rsid w:val="00E138C3"/>
    <w:rsid w:val="00E43C0C"/>
    <w:rsid w:val="00E45476"/>
    <w:rsid w:val="00E61596"/>
    <w:rsid w:val="00EB73FC"/>
    <w:rsid w:val="00ED05D2"/>
    <w:rsid w:val="00ED62C4"/>
    <w:rsid w:val="00F01696"/>
    <w:rsid w:val="00F420DC"/>
    <w:rsid w:val="00FB603E"/>
    <w:rsid w:val="00FC5B82"/>
    <w:rsid w:val="00FC7E71"/>
    <w:rsid w:val="00FE6BE2"/>
    <w:rsid w:val="00FE769B"/>
    <w:rsid w:val="29F75049"/>
    <w:rsid w:val="466F3171"/>
    <w:rsid w:val="5F910441"/>
    <w:rsid w:val="744E3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qFormat="1"/>
    <w:lsdException w:name="Normal Table" w:semiHidden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6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17E68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"/>
    <w:unhideWhenUsed/>
    <w:qFormat/>
    <w:rsid w:val="00417E68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417E68"/>
    <w:rPr>
      <w:rFonts w:ascii="Times New Roman" w:eastAsia="仿宋_GB2312" w:hAnsi="Times New Roman" w:cs="Times New Roman"/>
      <w:sz w:val="32"/>
      <w:szCs w:val="20"/>
    </w:rPr>
  </w:style>
  <w:style w:type="paragraph" w:styleId="a4">
    <w:name w:val="Body Text Indent"/>
    <w:basedOn w:val="a"/>
    <w:link w:val="Char1"/>
    <w:qFormat/>
    <w:rsid w:val="00417E68"/>
    <w:pPr>
      <w:snapToGrid w:val="0"/>
      <w:ind w:firstLineChars="200" w:firstLine="420"/>
    </w:pPr>
    <w:rPr>
      <w:rFonts w:ascii="宋体" w:hAnsi="宋体"/>
      <w:szCs w:val="24"/>
    </w:rPr>
  </w:style>
  <w:style w:type="paragraph" w:styleId="a5">
    <w:name w:val="Plain Text"/>
    <w:basedOn w:val="a"/>
    <w:link w:val="Char0"/>
    <w:unhideWhenUsed/>
    <w:qFormat/>
    <w:rsid w:val="00417E68"/>
    <w:rPr>
      <w:rFonts w:ascii="宋体" w:eastAsia="宋体" w:hAnsi="Courier New" w:cs="Times New Roman"/>
      <w:sz w:val="24"/>
      <w:szCs w:val="20"/>
    </w:rPr>
  </w:style>
  <w:style w:type="paragraph" w:styleId="20">
    <w:name w:val="Body Text Indent 2"/>
    <w:basedOn w:val="a"/>
    <w:link w:val="2Char"/>
    <w:qFormat/>
    <w:rsid w:val="00417E68"/>
    <w:pPr>
      <w:tabs>
        <w:tab w:val="left" w:pos="7020"/>
      </w:tabs>
      <w:spacing w:line="400" w:lineRule="exact"/>
      <w:ind w:firstLineChars="200" w:firstLine="640"/>
    </w:pPr>
    <w:rPr>
      <w:rFonts w:ascii="仿宋_GB2312" w:eastAsia="仿宋_GB2312" w:hAnsi="宋体" w:cs="Times New Roman"/>
      <w:sz w:val="32"/>
      <w:szCs w:val="24"/>
    </w:rPr>
  </w:style>
  <w:style w:type="paragraph" w:styleId="a6">
    <w:name w:val="Balloon Text"/>
    <w:basedOn w:val="a"/>
    <w:link w:val="Char2"/>
    <w:uiPriority w:val="99"/>
    <w:unhideWhenUsed/>
    <w:qFormat/>
    <w:rsid w:val="00417E68"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rsid w:val="00417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rsid w:val="00417E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417E68"/>
    <w:pPr>
      <w:widowControl/>
      <w:spacing w:after="100" w:line="276" w:lineRule="auto"/>
      <w:jc w:val="left"/>
    </w:pPr>
    <w:rPr>
      <w:rFonts w:ascii="Calibri" w:eastAsia="宋体" w:hAnsi="Calibri" w:cs="Times New Roman"/>
      <w:kern w:val="0"/>
      <w:sz w:val="22"/>
    </w:rPr>
  </w:style>
  <w:style w:type="character" w:styleId="a9">
    <w:name w:val="page number"/>
    <w:basedOn w:val="a0"/>
    <w:qFormat/>
    <w:rsid w:val="00417E68"/>
  </w:style>
  <w:style w:type="character" w:styleId="aa">
    <w:name w:val="Hyperlink"/>
    <w:uiPriority w:val="99"/>
    <w:unhideWhenUsed/>
    <w:qFormat/>
    <w:rsid w:val="00417E68"/>
    <w:rPr>
      <w:color w:val="0000FF"/>
      <w:u w:val="single"/>
    </w:rPr>
  </w:style>
  <w:style w:type="table" w:styleId="ab">
    <w:name w:val="Table Grid"/>
    <w:basedOn w:val="a1"/>
    <w:uiPriority w:val="59"/>
    <w:qFormat/>
    <w:rsid w:val="00417E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页眉 Char"/>
    <w:basedOn w:val="a0"/>
    <w:link w:val="a8"/>
    <w:uiPriority w:val="99"/>
    <w:qFormat/>
    <w:rsid w:val="00417E68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sid w:val="00417E68"/>
    <w:rPr>
      <w:sz w:val="18"/>
      <w:szCs w:val="18"/>
    </w:rPr>
  </w:style>
  <w:style w:type="paragraph" w:customStyle="1" w:styleId="p0">
    <w:name w:val="p0"/>
    <w:basedOn w:val="a"/>
    <w:qFormat/>
    <w:rsid w:val="00417E68"/>
    <w:pPr>
      <w:widowControl/>
      <w:jc w:val="left"/>
    </w:pPr>
    <w:rPr>
      <w:rFonts w:ascii="Times New Roman" w:eastAsia="宋体" w:hAnsi="Times New Roman" w:cs="Times New Roman"/>
      <w:szCs w:val="24"/>
    </w:rPr>
  </w:style>
  <w:style w:type="character" w:customStyle="1" w:styleId="1Char">
    <w:name w:val="标题 1 Char"/>
    <w:basedOn w:val="a0"/>
    <w:link w:val="1"/>
    <w:qFormat/>
    <w:rsid w:val="00417E6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0">
    <w:name w:val="纯文本 Char"/>
    <w:basedOn w:val="a0"/>
    <w:link w:val="a5"/>
    <w:qFormat/>
    <w:rsid w:val="00417E68"/>
    <w:rPr>
      <w:rFonts w:ascii="宋体" w:eastAsia="宋体" w:hAnsi="Courier New" w:cs="Times New Roman"/>
      <w:sz w:val="24"/>
      <w:szCs w:val="20"/>
    </w:rPr>
  </w:style>
  <w:style w:type="paragraph" w:customStyle="1" w:styleId="CharCharCharChar">
    <w:name w:val="Char Char Char Char"/>
    <w:basedOn w:val="a"/>
    <w:qFormat/>
    <w:rsid w:val="00417E68"/>
    <w:rPr>
      <w:rFonts w:ascii="Times New Roman" w:eastAsia="宋体" w:hAnsi="Times New Roman" w:cs="Times New Roman"/>
      <w:szCs w:val="24"/>
    </w:rPr>
  </w:style>
  <w:style w:type="character" w:customStyle="1" w:styleId="Char2">
    <w:name w:val="批注框文本 Char"/>
    <w:basedOn w:val="a0"/>
    <w:link w:val="a6"/>
    <w:uiPriority w:val="99"/>
    <w:semiHidden/>
    <w:qFormat/>
    <w:rsid w:val="00417E68"/>
    <w:rPr>
      <w:sz w:val="18"/>
      <w:szCs w:val="18"/>
    </w:rPr>
  </w:style>
  <w:style w:type="character" w:customStyle="1" w:styleId="Char5">
    <w:name w:val="正文文本缩进 Char"/>
    <w:basedOn w:val="a0"/>
    <w:link w:val="a4"/>
    <w:qFormat/>
    <w:rsid w:val="00417E68"/>
    <w:rPr>
      <w:rFonts w:ascii="宋体" w:hAnsi="宋体"/>
      <w:szCs w:val="24"/>
    </w:rPr>
  </w:style>
  <w:style w:type="character" w:customStyle="1" w:styleId="Char1">
    <w:name w:val="正文文本缩进 Char1"/>
    <w:basedOn w:val="a0"/>
    <w:link w:val="a4"/>
    <w:uiPriority w:val="99"/>
    <w:semiHidden/>
    <w:qFormat/>
    <w:rsid w:val="00417E68"/>
  </w:style>
  <w:style w:type="character" w:customStyle="1" w:styleId="Char">
    <w:name w:val="正文文本 Char"/>
    <w:basedOn w:val="a0"/>
    <w:link w:val="a3"/>
    <w:qFormat/>
    <w:rsid w:val="00417E68"/>
    <w:rPr>
      <w:rFonts w:ascii="Times New Roman" w:eastAsia="仿宋_GB2312" w:hAnsi="Times New Roman" w:cs="Times New Roman"/>
      <w:sz w:val="32"/>
      <w:szCs w:val="20"/>
    </w:rPr>
  </w:style>
  <w:style w:type="character" w:customStyle="1" w:styleId="2Char">
    <w:name w:val="正文文本缩进 2 Char"/>
    <w:basedOn w:val="a0"/>
    <w:link w:val="20"/>
    <w:qFormat/>
    <w:rsid w:val="00417E68"/>
    <w:rPr>
      <w:rFonts w:ascii="仿宋_GB2312" w:eastAsia="仿宋_GB2312" w:hAnsi="宋体" w:cs="Times New Roman"/>
      <w:sz w:val="32"/>
      <w:szCs w:val="24"/>
    </w:rPr>
  </w:style>
  <w:style w:type="paragraph" w:customStyle="1" w:styleId="1111">
    <w:name w:val="1.1.1（1）"/>
    <w:basedOn w:val="a"/>
    <w:link w:val="1111Char"/>
    <w:qFormat/>
    <w:rsid w:val="00417E68"/>
    <w:pPr>
      <w:adjustRightInd w:val="0"/>
      <w:snapToGrid w:val="0"/>
      <w:spacing w:line="360" w:lineRule="auto"/>
      <w:ind w:leftChars="200" w:left="350" w:hangingChars="150" w:hanging="150"/>
    </w:pPr>
    <w:rPr>
      <w:rFonts w:ascii="宋体" w:eastAsia="宋体" w:hAnsi="宋体" w:cs="Times New Roman"/>
      <w:sz w:val="24"/>
      <w:szCs w:val="24"/>
    </w:rPr>
  </w:style>
  <w:style w:type="character" w:customStyle="1" w:styleId="1111Char">
    <w:name w:val="1.1.1（1） Char"/>
    <w:link w:val="1111"/>
    <w:qFormat/>
    <w:rsid w:val="00417E68"/>
    <w:rPr>
      <w:rFonts w:ascii="宋体" w:eastAsia="宋体" w:hAnsi="宋体" w:cs="Times New Roman"/>
      <w:sz w:val="24"/>
      <w:szCs w:val="24"/>
    </w:rPr>
  </w:style>
  <w:style w:type="paragraph" w:customStyle="1" w:styleId="Ac">
    <w:name w:val="正文 A"/>
    <w:qFormat/>
    <w:rsid w:val="00417E68"/>
    <w:pPr>
      <w:widowControl w:val="0"/>
      <w:jc w:val="both"/>
    </w:pPr>
    <w:rPr>
      <w:rFonts w:ascii="Times New Roman" w:eastAsia="Arial Unicode MS" w:hAnsi="Times New Roman" w:cs="Arial Unicode MS"/>
      <w:color w:val="000000"/>
      <w:kern w:val="2"/>
      <w:sz w:val="21"/>
      <w:szCs w:val="21"/>
      <w:u w:color="000000"/>
    </w:rPr>
  </w:style>
  <w:style w:type="table" w:customStyle="1" w:styleId="TableNormal">
    <w:name w:val="Table Normal"/>
    <w:qFormat/>
    <w:rsid w:val="00417E6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无"/>
    <w:qFormat/>
    <w:rsid w:val="00417E68"/>
  </w:style>
  <w:style w:type="paragraph" w:customStyle="1" w:styleId="11">
    <w:name w:val="列出段落1"/>
    <w:basedOn w:val="a"/>
    <w:uiPriority w:val="34"/>
    <w:qFormat/>
    <w:rsid w:val="00417E68"/>
    <w:pPr>
      <w:ind w:firstLineChars="200" w:firstLine="420"/>
    </w:pPr>
  </w:style>
  <w:style w:type="character" w:customStyle="1" w:styleId="fontstyle01">
    <w:name w:val="fontstyle01"/>
    <w:basedOn w:val="a0"/>
    <w:qFormat/>
    <w:rsid w:val="00417E68"/>
    <w:rPr>
      <w:rFonts w:ascii="宋体" w:eastAsia="宋体" w:hAnsi="宋体" w:cs="宋体" w:hint="eastAsia"/>
      <w:color w:val="000000"/>
      <w:sz w:val="24"/>
      <w:szCs w:val="24"/>
    </w:rPr>
  </w:style>
  <w:style w:type="character" w:customStyle="1" w:styleId="fontstyle21">
    <w:name w:val="fontstyle21"/>
    <w:basedOn w:val="a0"/>
    <w:qFormat/>
    <w:rsid w:val="00417E68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21">
    <w:name w:val="2级节"/>
    <w:basedOn w:val="a"/>
    <w:qFormat/>
    <w:rsid w:val="00417E68"/>
    <w:pPr>
      <w:autoSpaceDE w:val="0"/>
      <w:autoSpaceDN w:val="0"/>
      <w:snapToGrid w:val="0"/>
      <w:spacing w:before="100" w:beforeAutospacing="1" w:after="100" w:afterAutospacing="1"/>
      <w:ind w:left="584" w:hangingChars="200" w:hanging="584"/>
      <w:jc w:val="left"/>
      <w:textAlignment w:val="bottom"/>
      <w:outlineLvl w:val="1"/>
    </w:pPr>
    <w:rPr>
      <w:rFonts w:ascii="宋体" w:eastAsia="黑体"/>
      <w:spacing w:val="6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qjh</dc:creator>
  <cp:lastModifiedBy>于俊清</cp:lastModifiedBy>
  <cp:revision>85</cp:revision>
  <cp:lastPrinted>2017-03-23T03:17:00Z</cp:lastPrinted>
  <dcterms:created xsi:type="dcterms:W3CDTF">2016-10-26T01:54:00Z</dcterms:created>
  <dcterms:modified xsi:type="dcterms:W3CDTF">2017-11-23T01:00:00Z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