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tabs>
          <w:tab w:val="left" w:pos="425"/>
        </w:tabs>
        <w:adjustRightInd w:val="0"/>
        <w:snapToGrid w:val="0"/>
        <w:spacing w:line="560" w:lineRule="exact"/>
        <w:rPr>
          <w:szCs w:val="32"/>
        </w:rPr>
      </w:pPr>
      <w:r>
        <w:rPr>
          <w:rFonts w:hint="eastAsia"/>
          <w:szCs w:val="32"/>
        </w:rPr>
        <w:t>报价要求：</w:t>
      </w:r>
    </w:p>
    <w:p>
      <w:pPr>
        <w:pStyle w:val="5"/>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5"/>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5"/>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5"/>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5"/>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5"/>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5"/>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5"/>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pStyle w:val="5"/>
        <w:tabs>
          <w:tab w:val="left" w:pos="425"/>
        </w:tabs>
        <w:adjustRightInd w:val="0"/>
        <w:snapToGrid w:val="0"/>
        <w:spacing w:line="560" w:lineRule="exact"/>
        <w:rPr>
          <w:szCs w:val="32"/>
        </w:rPr>
      </w:pPr>
      <w:bookmarkStart w:id="2" w:name="_GoBack"/>
      <w:bookmarkEnd w:id="2"/>
    </w:p>
    <w:p>
      <w:pPr>
        <w:spacing w:line="360" w:lineRule="auto"/>
        <w:jc w:val="center"/>
        <w:outlineLvl w:val="0"/>
        <w:rPr>
          <w:rFonts w:hint="eastAsia" w:ascii="仿宋_GB2312" w:hAnsi="微软雅黑" w:eastAsia="仿宋_GB2312" w:cs="Times New Roman"/>
          <w:sz w:val="32"/>
          <w:szCs w:val="32"/>
        </w:rPr>
      </w:pPr>
      <w:r>
        <w:rPr>
          <w:rFonts w:hint="eastAsia" w:ascii="仿宋_GB2312" w:hAnsi="微软雅黑" w:eastAsia="仿宋_GB2312" w:cs="Times New Roman"/>
          <w:sz w:val="32"/>
          <w:szCs w:val="32"/>
        </w:rPr>
        <w:br w:type="page"/>
      </w:r>
    </w:p>
    <w:p>
      <w:pPr>
        <w:jc w:val="left"/>
        <w:rPr>
          <w:rFonts w:ascii="仿宋_GB2312" w:hAnsi="微软雅黑" w:eastAsia="仿宋_GB2312" w:cs="Times New Roman"/>
          <w:sz w:val="32"/>
          <w:szCs w:val="32"/>
        </w:rPr>
      </w:pPr>
      <w:r>
        <w:rPr>
          <w:rFonts w:hint="eastAsia" w:ascii="仿宋_GB2312" w:hAnsi="微软雅黑" w:eastAsia="仿宋_GB2312" w:cs="Times New Roman"/>
          <w:sz w:val="32"/>
          <w:szCs w:val="32"/>
        </w:rPr>
        <w:t>附件</w:t>
      </w:r>
      <w:r>
        <w:rPr>
          <w:rFonts w:hint="eastAsia" w:ascii="仿宋_GB2312" w:hAnsi="微软雅黑" w:eastAsia="仿宋_GB2312" w:cs="Times New Roman"/>
          <w:sz w:val="32"/>
          <w:szCs w:val="32"/>
          <w:lang w:val="en-US" w:eastAsia="zh-CN"/>
        </w:rPr>
        <w:t>2</w:t>
      </w:r>
      <w:r>
        <w:rPr>
          <w:rFonts w:hint="eastAsia" w:ascii="仿宋_GB2312" w:hAnsi="微软雅黑" w:eastAsia="仿宋_GB2312" w:cs="Times New Roman"/>
          <w:sz w:val="32"/>
          <w:szCs w:val="32"/>
        </w:rPr>
        <w:t>：</w:t>
      </w:r>
    </w:p>
    <w:p>
      <w:pPr>
        <w:spacing w:line="360" w:lineRule="auto"/>
        <w:ind w:firstLine="723" w:firstLineChars="200"/>
        <w:jc w:val="center"/>
        <w:rPr>
          <w:rFonts w:hint="eastAsia" w:ascii="宋体" w:hAnsi="宋体" w:eastAsia="宋体"/>
          <w:b/>
          <w:bCs/>
          <w:sz w:val="36"/>
          <w:lang w:val="en-US" w:eastAsia="zh-CN"/>
        </w:rPr>
      </w:pPr>
      <w:r>
        <w:rPr>
          <w:rFonts w:hint="eastAsia" w:ascii="宋体" w:hAnsi="宋体"/>
          <w:b/>
          <w:bCs/>
          <w:sz w:val="36"/>
          <w:lang w:val="en-US" w:eastAsia="zh-CN"/>
        </w:rPr>
        <w:t>生产三部ABB变频器整流模块升级改造技术规格书</w:t>
      </w:r>
    </w:p>
    <w:p>
      <w:pPr>
        <w:autoSpaceDE w:val="0"/>
        <w:autoSpaceDN w:val="0"/>
        <w:adjustRightInd w:val="0"/>
        <w:spacing w:line="360" w:lineRule="auto"/>
        <w:contextualSpacing/>
        <w:rPr>
          <w:rFonts w:hint="eastAsia" w:ascii="黑体" w:hAnsi="黑体" w:eastAsia="黑体" w:cs="Microsoft JhengHei"/>
          <w:sz w:val="28"/>
          <w:szCs w:val="28"/>
          <w:lang w:val="en-US" w:eastAsia="zh-CN"/>
        </w:rPr>
      </w:pPr>
    </w:p>
    <w:p>
      <w:pPr>
        <w:autoSpaceDE w:val="0"/>
        <w:autoSpaceDN w:val="0"/>
        <w:adjustRightInd w:val="0"/>
        <w:spacing w:line="360" w:lineRule="auto"/>
        <w:contextualSpacing/>
        <w:rPr>
          <w:rFonts w:hint="eastAsia" w:ascii="黑体" w:hAnsi="黑体" w:eastAsia="黑体" w:cs="Microsoft JhengHei"/>
          <w:sz w:val="28"/>
          <w:szCs w:val="28"/>
          <w:lang w:val="en-US" w:eastAsia="zh-CN"/>
        </w:rPr>
      </w:pPr>
      <w:r>
        <w:rPr>
          <w:rFonts w:hint="eastAsia" w:ascii="黑体" w:hAnsi="黑体" w:eastAsia="黑体" w:cs="Microsoft JhengHei"/>
          <w:sz w:val="28"/>
          <w:szCs w:val="28"/>
          <w:lang w:val="en-US" w:eastAsia="zh-CN"/>
        </w:rPr>
        <w:t>一、 总  则</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1．本技术协议书适用于ACS800-07变频器整流模块项目中采用的变频调速装置的功能设计、结构、性能、安装和试验等方面的技术要求。</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2. 本技术协议书提出的是最低限度的技术要求，并未对一切技术细节作出规定，也未充分引述有关标准和规范的条文，承包方保证提供符合本协议书和工业标准的优质产品。</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3. 本技术协议书经双方确认后作为技术附件，与合同正文具有同等法律效力。</w:t>
      </w:r>
    </w:p>
    <w:p>
      <w:pPr>
        <w:autoSpaceDE w:val="0"/>
        <w:autoSpaceDN w:val="0"/>
        <w:adjustRightInd w:val="0"/>
        <w:spacing w:line="360" w:lineRule="auto"/>
        <w:contextualSpacing/>
        <w:rPr>
          <w:rFonts w:hint="eastAsia" w:ascii="黑体" w:hAnsi="黑体" w:eastAsia="黑体" w:cs="Microsoft JhengHei"/>
          <w:sz w:val="28"/>
          <w:szCs w:val="28"/>
          <w:lang w:val="en-US" w:eastAsia="zh-CN"/>
        </w:rPr>
      </w:pPr>
      <w:r>
        <w:rPr>
          <w:rFonts w:hint="eastAsia" w:ascii="黑体" w:hAnsi="黑体" w:eastAsia="黑体" w:cs="Microsoft JhengHei"/>
          <w:sz w:val="28"/>
          <w:szCs w:val="28"/>
          <w:lang w:val="en-US" w:eastAsia="zh-CN"/>
        </w:rPr>
        <w:t>二、</w:t>
      </w:r>
      <w:bookmarkStart w:id="0" w:name="_1、HARSVERT-A高压变频调速系统的性能"/>
      <w:bookmarkEnd w:id="0"/>
      <w:bookmarkStart w:id="1" w:name="_1、HARSVERT-A高压变频调速系统的特点"/>
      <w:bookmarkEnd w:id="1"/>
      <w:r>
        <w:rPr>
          <w:rFonts w:hint="eastAsia" w:ascii="黑体" w:hAnsi="黑体" w:eastAsia="黑体" w:cs="Microsoft JhengHei"/>
          <w:sz w:val="28"/>
          <w:szCs w:val="28"/>
          <w:lang w:val="en-US" w:eastAsia="zh-CN"/>
        </w:rPr>
        <w:t>应遵循的主要标准</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下列标准所包含的条文，通过在本技术协议书中引用而构成本协议书的基本条文。在本协议书出版时，所示版本均为有效。所有标准都会被修订，使用本协议书的各方应探讨使用下列标准最新版本的可能性。</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 156-2003          标准电压</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GB/T 1980-1996       标准频率</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GB/T 2423.10-1995  电工电子产品基本环境试验规程 振动（正弦）试验导则</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 2681-81     电工成套装置之中的导线颜色</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 3797-89     电控设备</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 3859.1-93   半导体电力变流器基本要求的规定</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 xml:space="preserve">GB 3859.2-93  </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半导体电力变流器应用导则</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 xml:space="preserve">GB 4208-93     </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 xml:space="preserve">    外壳防护等级的分类</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 xml:space="preserve">GB 4588.1-1996   </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无金属化孔单、双面印制板技术条件</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 xml:space="preserve">GB 4588.2-1996  </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 xml:space="preserve">    有金属化孔单、双面印制板技术条件</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GB/T15139-94</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 xml:space="preserve">    电工设备结构总技术条件</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 xml:space="preserve">GB/T13422-92   </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 xml:space="preserve">    半导体电力变流器电气试验方法</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GB/T 14549-93</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 xml:space="preserve">   电能质量  公用电网谐波</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IEEE std 519-1992</w:t>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ab/>
      </w:r>
      <w:r>
        <w:rPr>
          <w:rFonts w:hint="eastAsia" w:ascii="仿宋_GB2312" w:hAnsi="Microsoft JhengHei" w:eastAsia="仿宋_GB2312" w:cs="Microsoft JhengHei"/>
          <w:sz w:val="28"/>
          <w:szCs w:val="28"/>
          <w:lang w:val="en-US" w:eastAsia="zh-CN"/>
        </w:rPr>
        <w:t>电力系统谐波控制  推荐实施</w:t>
      </w:r>
    </w:p>
    <w:p>
      <w:pPr>
        <w:autoSpaceDE w:val="0"/>
        <w:autoSpaceDN w:val="0"/>
        <w:adjustRightInd w:val="0"/>
        <w:spacing w:line="360" w:lineRule="auto"/>
        <w:contextualSpacing/>
        <w:rPr>
          <w:rFonts w:hint="eastAsia" w:ascii="黑体" w:hAnsi="黑体" w:eastAsia="黑体" w:cs="Microsoft JhengHei"/>
          <w:sz w:val="28"/>
          <w:szCs w:val="28"/>
          <w:lang w:val="en-US" w:eastAsia="zh-CN"/>
        </w:rPr>
      </w:pPr>
      <w:r>
        <w:rPr>
          <w:rFonts w:hint="eastAsia" w:ascii="黑体" w:hAnsi="黑体" w:eastAsia="黑体" w:cs="Microsoft JhengHei"/>
          <w:sz w:val="28"/>
          <w:szCs w:val="28"/>
          <w:lang w:val="en-US" w:eastAsia="zh-CN"/>
        </w:rPr>
        <w:t>三、低压变频器技术要求</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3.1承包方将变频器的整流模块由ACS800-704-0640-07+V992升级到ACS800-704-0640-07+F250+OF253+V992总计4台。承包方将变频器的整流模块由ACS800-704-0910-07+V992升级到ACS800-704-0910-07+F250+OF253+V992总计2台。承包方将改造部分需安装线号，电缆外有阻燃套管，确保与ABB原装内部相同。</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3.2承包</w:t>
      </w:r>
      <w:r>
        <w:rPr>
          <w:rFonts w:hint="eastAsia" w:ascii="仿宋_GB2312" w:hAnsi="Microsoft JhengHei" w:eastAsia="仿宋_GB2312" w:cs="Microsoft JhengHei"/>
          <w:sz w:val="28"/>
          <w:szCs w:val="28"/>
        </w:rPr>
        <w:t>方应及时提供满足</w:t>
      </w:r>
      <w:r>
        <w:rPr>
          <w:rFonts w:hint="eastAsia" w:ascii="仿宋_GB2312" w:hAnsi="Microsoft JhengHei" w:eastAsia="仿宋_GB2312" w:cs="Microsoft JhengHei"/>
          <w:sz w:val="28"/>
          <w:szCs w:val="28"/>
          <w:lang w:val="en-US" w:eastAsia="zh-CN"/>
        </w:rPr>
        <w:t>本项目的</w:t>
      </w:r>
      <w:r>
        <w:rPr>
          <w:rFonts w:hint="eastAsia" w:ascii="仿宋_GB2312" w:hAnsi="Microsoft JhengHei" w:eastAsia="仿宋_GB2312" w:cs="Microsoft JhengHei"/>
          <w:sz w:val="28"/>
          <w:szCs w:val="28"/>
        </w:rPr>
        <w:t>资料和图纸</w:t>
      </w:r>
      <w:r>
        <w:rPr>
          <w:rFonts w:hint="eastAsia" w:ascii="仿宋_GB2312" w:hAnsi="Microsoft JhengHei" w:eastAsia="仿宋_GB2312" w:cs="Microsoft JhengHei"/>
          <w:sz w:val="28"/>
          <w:szCs w:val="28"/>
          <w:lang w:eastAsia="zh-CN"/>
        </w:rPr>
        <w:t>，</w:t>
      </w:r>
      <w:r>
        <w:rPr>
          <w:rFonts w:hint="eastAsia" w:ascii="仿宋_GB2312" w:hAnsi="Microsoft JhengHei" w:eastAsia="仿宋_GB2312" w:cs="Microsoft JhengHei"/>
          <w:sz w:val="28"/>
          <w:szCs w:val="28"/>
        </w:rPr>
        <w:t>在合同签署后，</w:t>
      </w:r>
      <w:r>
        <w:rPr>
          <w:rFonts w:hint="eastAsia" w:ascii="仿宋_GB2312" w:hAnsi="Microsoft JhengHei" w:eastAsia="仿宋_GB2312" w:cs="Microsoft JhengHei"/>
          <w:sz w:val="28"/>
          <w:szCs w:val="28"/>
          <w:lang w:val="en-US" w:eastAsia="zh-CN"/>
        </w:rPr>
        <w:t>承包方</w:t>
      </w:r>
      <w:r>
        <w:rPr>
          <w:rFonts w:hint="eastAsia" w:ascii="仿宋_GB2312" w:hAnsi="Microsoft JhengHei" w:eastAsia="仿宋_GB2312" w:cs="Microsoft JhengHei"/>
          <w:sz w:val="28"/>
          <w:szCs w:val="28"/>
        </w:rPr>
        <w:t>提供</w:t>
      </w:r>
      <w:r>
        <w:rPr>
          <w:rFonts w:hint="eastAsia" w:ascii="仿宋_GB2312" w:hAnsi="Microsoft JhengHei" w:eastAsia="仿宋_GB2312" w:cs="Microsoft JhengHei"/>
          <w:sz w:val="28"/>
          <w:szCs w:val="28"/>
          <w:lang w:val="en-US" w:eastAsia="zh-CN"/>
        </w:rPr>
        <w:t>改造</w:t>
      </w:r>
      <w:r>
        <w:rPr>
          <w:rFonts w:hint="eastAsia" w:ascii="仿宋_GB2312" w:hAnsi="Microsoft JhengHei" w:eastAsia="仿宋_GB2312" w:cs="Microsoft JhengHei"/>
          <w:sz w:val="28"/>
          <w:szCs w:val="28"/>
        </w:rPr>
        <w:t>所需的技术文件和图纸（以上图纸均要求</w:t>
      </w:r>
      <w:r>
        <w:rPr>
          <w:rFonts w:hint="eastAsia" w:ascii="仿宋_GB2312" w:hAnsi="Microsoft JhengHei" w:eastAsia="仿宋_GB2312" w:cs="Microsoft JhengHei"/>
          <w:sz w:val="28"/>
          <w:szCs w:val="28"/>
          <w:lang w:val="en-US" w:eastAsia="zh-CN"/>
        </w:rPr>
        <w:t>承包方</w:t>
      </w:r>
      <w:r>
        <w:rPr>
          <w:rFonts w:hint="eastAsia" w:ascii="仿宋_GB2312" w:hAnsi="Microsoft JhengHei" w:eastAsia="仿宋_GB2312" w:cs="Microsoft JhengHei"/>
          <w:sz w:val="28"/>
          <w:szCs w:val="28"/>
        </w:rPr>
        <w:t>提供电子版</w:t>
      </w:r>
      <w:r>
        <w:rPr>
          <w:rFonts w:hint="eastAsia" w:ascii="仿宋_GB2312" w:hAnsi="Microsoft JhengHei" w:eastAsia="仿宋_GB2312" w:cs="Microsoft JhengHei"/>
          <w:sz w:val="28"/>
          <w:szCs w:val="28"/>
          <w:lang w:val="en-US" w:eastAsia="zh-CN"/>
        </w:rPr>
        <w:t>和纸质版1份</w:t>
      </w:r>
      <w:r>
        <w:rPr>
          <w:rFonts w:hint="eastAsia" w:ascii="仿宋_GB2312" w:hAnsi="Microsoft JhengHei" w:eastAsia="仿宋_GB2312" w:cs="Microsoft JhengHei"/>
          <w:sz w:val="28"/>
          <w:szCs w:val="28"/>
        </w:rPr>
        <w:t>）。材料清单，质量证明文件（包括产品合格证、材料合格证、制造检修记录、试验报告以）。改造涉及的维修器件、安装改造费用、软硬件升级服务及其它跟本次改造相关的服务内容由承包方全部提供，并保证维修器件全部为新加工的最新版本器件，并提供近期合格证。</w:t>
      </w:r>
    </w:p>
    <w:p>
      <w:pPr>
        <w:autoSpaceDE w:val="0"/>
        <w:autoSpaceDN w:val="0"/>
        <w:adjustRightInd w:val="0"/>
        <w:spacing w:line="360" w:lineRule="auto"/>
        <w:ind w:firstLine="560" w:firstLine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3.3承包方升级拆下来的相关备件均需包装好，送至发包方要求的指定地点。</w:t>
      </w:r>
    </w:p>
    <w:p>
      <w:pPr>
        <w:spacing w:line="360" w:lineRule="auto"/>
        <w:rPr>
          <w:rFonts w:hint="eastAsia" w:ascii="宋体" w:hAnsi="宋体"/>
          <w:b/>
          <w:sz w:val="24"/>
          <w:szCs w:val="24"/>
        </w:rPr>
      </w:pPr>
      <w:r>
        <w:rPr>
          <w:rFonts w:hint="eastAsia" w:ascii="黑体" w:hAnsi="黑体" w:eastAsia="黑体" w:cs="Microsoft JhengHei"/>
          <w:sz w:val="28"/>
          <w:szCs w:val="28"/>
          <w:lang w:val="en-US" w:eastAsia="zh-CN"/>
        </w:rPr>
        <w:t>四、供货范围：</w:t>
      </w:r>
      <w:r>
        <w:rPr>
          <w:rFonts w:hint="eastAsia" w:ascii="仿宋_GB2312" w:hAnsi="Microsoft JhengHei" w:eastAsia="仿宋_GB2312" w:cs="Microsoft JhengHei"/>
          <w:w w:val="102"/>
          <w:sz w:val="28"/>
          <w:szCs w:val="28"/>
        </w:rPr>
        <w:t>（包括但不限于如下范围）</w:t>
      </w:r>
    </w:p>
    <w:tbl>
      <w:tblPr>
        <w:tblStyle w:val="12"/>
        <w:tblW w:w="918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1440"/>
        <w:gridCol w:w="720"/>
        <w:gridCol w:w="720"/>
        <w:gridCol w:w="1260"/>
        <w:gridCol w:w="2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20" w:type="dxa"/>
            <w:vAlign w:val="center"/>
          </w:tcPr>
          <w:p>
            <w:pPr>
              <w:spacing w:line="360" w:lineRule="auto"/>
              <w:rPr>
                <w:rFonts w:hint="eastAsia" w:ascii="宋体" w:hAnsi="宋体"/>
                <w:sz w:val="24"/>
                <w:szCs w:val="24"/>
              </w:rPr>
            </w:pPr>
            <w:r>
              <w:rPr>
                <w:rFonts w:hint="eastAsia" w:ascii="宋体" w:hAnsi="宋体"/>
                <w:sz w:val="24"/>
                <w:szCs w:val="24"/>
              </w:rPr>
              <w:t>序号</w:t>
            </w:r>
          </w:p>
        </w:tc>
        <w:tc>
          <w:tcPr>
            <w:tcW w:w="1440" w:type="dxa"/>
            <w:vAlign w:val="center"/>
          </w:tcPr>
          <w:p>
            <w:pPr>
              <w:spacing w:line="360" w:lineRule="auto"/>
              <w:rPr>
                <w:rFonts w:hint="eastAsia" w:ascii="宋体" w:hAnsi="宋体"/>
                <w:sz w:val="24"/>
                <w:szCs w:val="24"/>
              </w:rPr>
            </w:pPr>
            <w:r>
              <w:rPr>
                <w:rFonts w:hint="eastAsia" w:ascii="宋体" w:hAnsi="宋体"/>
                <w:sz w:val="24"/>
                <w:szCs w:val="24"/>
              </w:rPr>
              <w:t>名称</w:t>
            </w:r>
          </w:p>
        </w:tc>
        <w:tc>
          <w:tcPr>
            <w:tcW w:w="1440" w:type="dxa"/>
            <w:vAlign w:val="center"/>
          </w:tcPr>
          <w:p>
            <w:pPr>
              <w:spacing w:line="360" w:lineRule="auto"/>
              <w:ind w:firstLine="480" w:firstLineChars="200"/>
              <w:rPr>
                <w:rFonts w:hint="eastAsia" w:ascii="宋体" w:hAnsi="宋体"/>
                <w:sz w:val="24"/>
                <w:szCs w:val="24"/>
              </w:rPr>
            </w:pPr>
            <w:r>
              <w:rPr>
                <w:rFonts w:hint="eastAsia" w:ascii="宋体" w:hAnsi="宋体"/>
                <w:sz w:val="24"/>
                <w:szCs w:val="24"/>
              </w:rPr>
              <w:t>规格</w:t>
            </w:r>
          </w:p>
        </w:tc>
        <w:tc>
          <w:tcPr>
            <w:tcW w:w="720" w:type="dxa"/>
            <w:vAlign w:val="top"/>
          </w:tcPr>
          <w:p>
            <w:pPr>
              <w:spacing w:line="360" w:lineRule="auto"/>
              <w:rPr>
                <w:rFonts w:hint="eastAsia" w:ascii="宋体" w:hAnsi="宋体"/>
                <w:sz w:val="24"/>
                <w:szCs w:val="24"/>
              </w:rPr>
            </w:pPr>
            <w:r>
              <w:rPr>
                <w:rFonts w:hint="eastAsia" w:ascii="宋体" w:hAnsi="宋体"/>
                <w:sz w:val="24"/>
                <w:szCs w:val="24"/>
              </w:rPr>
              <w:t>单位</w:t>
            </w:r>
          </w:p>
        </w:tc>
        <w:tc>
          <w:tcPr>
            <w:tcW w:w="720" w:type="dxa"/>
            <w:vAlign w:val="center"/>
          </w:tcPr>
          <w:p>
            <w:pPr>
              <w:spacing w:line="360" w:lineRule="auto"/>
              <w:rPr>
                <w:rFonts w:hint="eastAsia" w:ascii="宋体" w:hAnsi="宋体"/>
                <w:sz w:val="24"/>
                <w:szCs w:val="24"/>
              </w:rPr>
            </w:pPr>
            <w:r>
              <w:rPr>
                <w:rFonts w:hint="eastAsia" w:ascii="宋体" w:hAnsi="宋体"/>
                <w:sz w:val="24"/>
                <w:szCs w:val="24"/>
              </w:rPr>
              <w:t>数量</w:t>
            </w:r>
          </w:p>
        </w:tc>
        <w:tc>
          <w:tcPr>
            <w:tcW w:w="126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品牌</w:t>
            </w:r>
          </w:p>
        </w:tc>
        <w:tc>
          <w:tcPr>
            <w:tcW w:w="2880" w:type="dxa"/>
            <w:vAlign w:val="center"/>
          </w:tcPr>
          <w:p>
            <w:pPr>
              <w:spacing w:line="360" w:lineRule="auto"/>
              <w:ind w:firstLine="480" w:firstLineChars="200"/>
              <w:rPr>
                <w:rFonts w:hint="eastAsia" w:ascii="宋体" w:hAnsi="宋体"/>
                <w:sz w:val="24"/>
                <w:szCs w:val="24"/>
              </w:rPr>
            </w:pPr>
            <w:r>
              <w:rPr>
                <w:rFonts w:hint="eastAsia" w:ascii="宋体" w:hAnsi="宋体"/>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rPr>
            </w:pPr>
            <w:r>
              <w:rPr>
                <w:rFonts w:hint="eastAsia" w:ascii="宋体" w:hAnsi="宋体"/>
                <w:sz w:val="24"/>
                <w:szCs w:val="24"/>
              </w:rPr>
              <w:t>1</w:t>
            </w:r>
          </w:p>
        </w:tc>
        <w:tc>
          <w:tcPr>
            <w:tcW w:w="144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接触器</w:t>
            </w:r>
          </w:p>
        </w:tc>
        <w:tc>
          <w:tcPr>
            <w:tcW w:w="144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AF300-30</w:t>
            </w:r>
          </w:p>
        </w:tc>
        <w:tc>
          <w:tcPr>
            <w:tcW w:w="720" w:type="dxa"/>
            <w:vAlign w:val="center"/>
          </w:tcPr>
          <w:p>
            <w:pPr>
              <w:spacing w:line="360" w:lineRule="auto"/>
              <w:rPr>
                <w:rFonts w:hint="eastAsia" w:ascii="宋体" w:hAnsi="宋体"/>
                <w:sz w:val="24"/>
                <w:szCs w:val="24"/>
              </w:rPr>
            </w:pPr>
            <w:r>
              <w:rPr>
                <w:rFonts w:hint="eastAsia" w:ascii="宋体" w:hAnsi="宋体"/>
                <w:sz w:val="24"/>
                <w:szCs w:val="24"/>
              </w:rPr>
              <w:t>台</w:t>
            </w:r>
          </w:p>
        </w:tc>
        <w:tc>
          <w:tcPr>
            <w:tcW w:w="72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12</w:t>
            </w:r>
          </w:p>
        </w:tc>
        <w:tc>
          <w:tcPr>
            <w:tcW w:w="1260" w:type="dxa"/>
            <w:vAlign w:val="center"/>
          </w:tcPr>
          <w:p>
            <w:pPr>
              <w:spacing w:line="360" w:lineRule="auto"/>
              <w:rPr>
                <w:rFonts w:hint="eastAsia" w:ascii="宋体" w:hAnsi="宋体"/>
                <w:sz w:val="24"/>
                <w:szCs w:val="24"/>
              </w:rPr>
            </w:pPr>
            <w:r>
              <w:rPr>
                <w:rFonts w:hint="eastAsia" w:ascii="宋体" w:hAnsi="宋体"/>
                <w:sz w:val="24"/>
                <w:szCs w:val="24"/>
              </w:rPr>
              <w:t xml:space="preserve">ABB </w:t>
            </w: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rPr>
            </w:pPr>
            <w:r>
              <w:rPr>
                <w:rFonts w:hint="eastAsia" w:ascii="宋体" w:hAnsi="宋体"/>
                <w:sz w:val="24"/>
                <w:szCs w:val="24"/>
              </w:rPr>
              <w:t>2</w:t>
            </w:r>
          </w:p>
        </w:tc>
        <w:tc>
          <w:tcPr>
            <w:tcW w:w="144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母排</w:t>
            </w:r>
          </w:p>
        </w:tc>
        <w:tc>
          <w:tcPr>
            <w:tcW w:w="144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SPLEA441846</w:t>
            </w:r>
          </w:p>
        </w:tc>
        <w:tc>
          <w:tcPr>
            <w:tcW w:w="720" w:type="dxa"/>
            <w:vAlign w:val="center"/>
          </w:tcPr>
          <w:p>
            <w:pPr>
              <w:spacing w:line="360" w:lineRule="auto"/>
              <w:rPr>
                <w:rFonts w:hint="eastAsia" w:ascii="宋体" w:hAnsi="宋体"/>
                <w:sz w:val="24"/>
                <w:szCs w:val="24"/>
              </w:rPr>
            </w:pPr>
            <w:r>
              <w:rPr>
                <w:rFonts w:hint="eastAsia" w:ascii="宋体" w:hAnsi="宋体"/>
                <w:sz w:val="24"/>
                <w:szCs w:val="24"/>
              </w:rPr>
              <w:t>台</w:t>
            </w:r>
          </w:p>
        </w:tc>
        <w:tc>
          <w:tcPr>
            <w:tcW w:w="72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72</w:t>
            </w:r>
          </w:p>
        </w:tc>
        <w:tc>
          <w:tcPr>
            <w:tcW w:w="1260" w:type="dxa"/>
            <w:vAlign w:val="center"/>
          </w:tcPr>
          <w:p>
            <w:pPr>
              <w:spacing w:line="360" w:lineRule="auto"/>
              <w:rPr>
                <w:rFonts w:hint="eastAsia" w:ascii="宋体" w:hAnsi="宋体"/>
                <w:sz w:val="24"/>
                <w:szCs w:val="24"/>
              </w:rPr>
            </w:pPr>
            <w:r>
              <w:rPr>
                <w:rFonts w:hint="eastAsia" w:ascii="宋体" w:hAnsi="宋体"/>
                <w:sz w:val="24"/>
                <w:szCs w:val="24"/>
              </w:rPr>
              <w:t xml:space="preserve">ABB </w:t>
            </w: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rPr>
            </w:pPr>
            <w:r>
              <w:rPr>
                <w:rFonts w:hint="eastAsia" w:ascii="宋体" w:hAnsi="宋体"/>
                <w:sz w:val="24"/>
                <w:szCs w:val="24"/>
              </w:rPr>
              <w:t>3</w:t>
            </w:r>
          </w:p>
        </w:tc>
        <w:tc>
          <w:tcPr>
            <w:tcW w:w="144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辅助出点</w:t>
            </w:r>
          </w:p>
        </w:tc>
        <w:tc>
          <w:tcPr>
            <w:tcW w:w="1440" w:type="dxa"/>
            <w:vAlign w:val="center"/>
          </w:tcPr>
          <w:p>
            <w:pPr>
              <w:spacing w:line="360" w:lineRule="auto"/>
              <w:rPr>
                <w:rFonts w:hint="eastAsia" w:ascii="宋体" w:hAnsi="宋体"/>
                <w:sz w:val="24"/>
                <w:szCs w:val="24"/>
              </w:rPr>
            </w:pPr>
            <w:r>
              <w:rPr>
                <w:rFonts w:ascii="微软雅黑" w:hAnsi="微软雅黑" w:eastAsia="微软雅黑" w:cs="微软雅黑"/>
                <w:b w:val="0"/>
                <w:i w:val="0"/>
                <w:caps w:val="0"/>
                <w:color w:val="000000"/>
                <w:spacing w:val="0"/>
                <w:sz w:val="18"/>
                <w:szCs w:val="18"/>
                <w:shd w:val="clear" w:color="auto" w:fill="F0F0F0"/>
              </w:rPr>
              <w:t>CAL18-11 </w:t>
            </w:r>
          </w:p>
        </w:tc>
        <w:tc>
          <w:tcPr>
            <w:tcW w:w="720" w:type="dxa"/>
            <w:vAlign w:val="center"/>
          </w:tcPr>
          <w:p>
            <w:pPr>
              <w:spacing w:line="360" w:lineRule="auto"/>
              <w:rPr>
                <w:rFonts w:hint="eastAsia" w:ascii="宋体" w:hAnsi="宋体"/>
                <w:sz w:val="24"/>
                <w:szCs w:val="24"/>
              </w:rPr>
            </w:pPr>
            <w:r>
              <w:rPr>
                <w:rFonts w:hint="eastAsia" w:ascii="宋体" w:hAnsi="宋体"/>
                <w:sz w:val="24"/>
                <w:szCs w:val="24"/>
              </w:rPr>
              <w:t>台</w:t>
            </w:r>
          </w:p>
        </w:tc>
        <w:tc>
          <w:tcPr>
            <w:tcW w:w="720" w:type="dxa"/>
            <w:vAlign w:val="center"/>
          </w:tcPr>
          <w:p>
            <w:pPr>
              <w:spacing w:line="360" w:lineRule="auto"/>
              <w:rPr>
                <w:rFonts w:hint="eastAsia" w:ascii="宋体" w:hAnsi="宋体" w:eastAsia="宋体"/>
                <w:sz w:val="24"/>
                <w:szCs w:val="24"/>
                <w:lang w:eastAsia="zh-CN"/>
              </w:rPr>
            </w:pPr>
            <w:r>
              <w:rPr>
                <w:rFonts w:hint="eastAsia" w:ascii="宋体" w:hAnsi="宋体"/>
                <w:sz w:val="24"/>
                <w:szCs w:val="24"/>
                <w:lang w:val="en-US" w:eastAsia="zh-CN"/>
              </w:rPr>
              <w:t>12</w:t>
            </w:r>
          </w:p>
        </w:tc>
        <w:tc>
          <w:tcPr>
            <w:tcW w:w="1260" w:type="dxa"/>
            <w:vAlign w:val="center"/>
          </w:tcPr>
          <w:p>
            <w:pPr>
              <w:spacing w:line="360" w:lineRule="auto"/>
              <w:rPr>
                <w:rFonts w:hint="eastAsia" w:ascii="宋体" w:hAnsi="宋体"/>
                <w:sz w:val="24"/>
                <w:szCs w:val="24"/>
              </w:rPr>
            </w:pPr>
            <w:r>
              <w:rPr>
                <w:rFonts w:hint="eastAsia" w:ascii="宋体" w:hAnsi="宋体"/>
                <w:sz w:val="24"/>
                <w:szCs w:val="24"/>
              </w:rPr>
              <w:t>ABB</w:t>
            </w:r>
          </w:p>
          <w:p>
            <w:pPr>
              <w:spacing w:line="360" w:lineRule="auto"/>
              <w:rPr>
                <w:rFonts w:hint="eastAsia" w:ascii="宋体" w:hAnsi="宋体"/>
                <w:sz w:val="24"/>
                <w:szCs w:val="24"/>
              </w:rPr>
            </w:pP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eastAsia="宋体"/>
                <w:sz w:val="24"/>
                <w:szCs w:val="24"/>
                <w:lang w:val="en-US" w:eastAsia="zh-CN"/>
              </w:rPr>
            </w:pPr>
            <w:r>
              <w:rPr>
                <w:rFonts w:hint="eastAsia" w:ascii="宋体" w:hAnsi="宋体"/>
                <w:sz w:val="24"/>
                <w:szCs w:val="24"/>
                <w:lang w:val="en-US" w:eastAsia="zh-CN"/>
              </w:rPr>
              <w:t>4</w:t>
            </w:r>
          </w:p>
        </w:tc>
        <w:tc>
          <w:tcPr>
            <w:tcW w:w="144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电路板</w:t>
            </w:r>
          </w:p>
        </w:tc>
        <w:tc>
          <w:tcPr>
            <w:tcW w:w="1440" w:type="dxa"/>
            <w:vAlign w:val="center"/>
          </w:tcPr>
          <w:p>
            <w:pPr>
              <w:spacing w:line="360" w:lineRule="auto"/>
              <w:rPr>
                <w:rFonts w:ascii="微软雅黑" w:hAnsi="微软雅黑" w:eastAsia="微软雅黑" w:cs="微软雅黑"/>
                <w:b w:val="0"/>
                <w:i w:val="0"/>
                <w:caps w:val="0"/>
                <w:color w:val="000000"/>
                <w:spacing w:val="0"/>
                <w:sz w:val="18"/>
                <w:szCs w:val="18"/>
                <w:shd w:val="clear" w:color="auto" w:fill="F0F0F0"/>
              </w:rPr>
            </w:pPr>
            <w:r>
              <w:rPr>
                <w:rFonts w:hint="eastAsia" w:ascii="宋体" w:hAnsi="宋体"/>
                <w:sz w:val="24"/>
                <w:szCs w:val="24"/>
                <w:lang w:val="en-US" w:eastAsia="zh-CN"/>
              </w:rPr>
              <w:t>CMRB11C</w:t>
            </w:r>
          </w:p>
        </w:tc>
        <w:tc>
          <w:tcPr>
            <w:tcW w:w="720" w:type="dxa"/>
            <w:vAlign w:val="center"/>
          </w:tcPr>
          <w:p>
            <w:pPr>
              <w:spacing w:line="360" w:lineRule="auto"/>
              <w:rPr>
                <w:rFonts w:hint="eastAsia" w:ascii="宋体" w:hAnsi="宋体" w:eastAsia="宋体"/>
                <w:sz w:val="24"/>
                <w:szCs w:val="24"/>
                <w:lang w:val="en-US" w:eastAsia="zh-CN"/>
              </w:rPr>
            </w:pPr>
            <w:r>
              <w:rPr>
                <w:rFonts w:hint="eastAsia" w:ascii="宋体" w:hAnsi="宋体"/>
                <w:sz w:val="24"/>
                <w:szCs w:val="24"/>
                <w:lang w:val="en-US" w:eastAsia="zh-CN"/>
              </w:rPr>
              <w:t>个</w:t>
            </w: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6</w:t>
            </w:r>
          </w:p>
        </w:tc>
        <w:tc>
          <w:tcPr>
            <w:tcW w:w="1260" w:type="dxa"/>
            <w:vAlign w:val="center"/>
          </w:tcPr>
          <w:p>
            <w:pPr>
              <w:spacing w:line="360" w:lineRule="auto"/>
              <w:rPr>
                <w:rFonts w:hint="eastAsia" w:ascii="宋体" w:hAnsi="宋体"/>
                <w:sz w:val="24"/>
                <w:szCs w:val="24"/>
              </w:rPr>
            </w:pPr>
            <w:r>
              <w:rPr>
                <w:rFonts w:hint="eastAsia" w:ascii="宋体" w:hAnsi="宋体"/>
                <w:sz w:val="24"/>
                <w:szCs w:val="24"/>
              </w:rPr>
              <w:t>ABB</w:t>
            </w:r>
          </w:p>
          <w:p>
            <w:pPr>
              <w:spacing w:line="360" w:lineRule="auto"/>
              <w:rPr>
                <w:rFonts w:hint="eastAsia" w:ascii="宋体" w:hAnsi="宋体"/>
                <w:sz w:val="24"/>
                <w:szCs w:val="24"/>
              </w:rPr>
            </w:pP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5</w:t>
            </w:r>
          </w:p>
        </w:tc>
        <w:tc>
          <w:tcPr>
            <w:tcW w:w="144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变压器固定支座</w:t>
            </w:r>
          </w:p>
        </w:tc>
        <w:tc>
          <w:tcPr>
            <w:tcW w:w="1440" w:type="dxa"/>
            <w:vAlign w:val="center"/>
          </w:tcPr>
          <w:p>
            <w:pPr>
              <w:spacing w:line="360" w:lineRule="auto"/>
              <w:rPr>
                <w:rFonts w:hint="eastAsia" w:ascii="宋体" w:hAnsi="宋体"/>
                <w:sz w:val="24"/>
                <w:szCs w:val="24"/>
                <w:lang w:val="en-US" w:eastAsia="zh-CN"/>
              </w:rPr>
            </w:pP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个</w:t>
            </w: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6</w:t>
            </w:r>
          </w:p>
        </w:tc>
        <w:tc>
          <w:tcPr>
            <w:tcW w:w="1260" w:type="dxa"/>
            <w:vAlign w:val="center"/>
          </w:tcPr>
          <w:p>
            <w:pPr>
              <w:spacing w:line="360" w:lineRule="auto"/>
              <w:rPr>
                <w:rFonts w:hint="eastAsia" w:ascii="宋体" w:hAnsi="宋体"/>
                <w:sz w:val="24"/>
                <w:szCs w:val="24"/>
              </w:rPr>
            </w:pP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6</w:t>
            </w:r>
          </w:p>
        </w:tc>
        <w:tc>
          <w:tcPr>
            <w:tcW w:w="144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接触器固定支座</w:t>
            </w:r>
          </w:p>
        </w:tc>
        <w:tc>
          <w:tcPr>
            <w:tcW w:w="1440" w:type="dxa"/>
            <w:vAlign w:val="center"/>
          </w:tcPr>
          <w:p>
            <w:pPr>
              <w:spacing w:line="360" w:lineRule="auto"/>
              <w:rPr>
                <w:rFonts w:hint="eastAsia" w:ascii="宋体" w:hAnsi="宋体"/>
                <w:sz w:val="24"/>
                <w:szCs w:val="24"/>
                <w:lang w:val="en-US" w:eastAsia="zh-CN"/>
              </w:rPr>
            </w:pP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个</w:t>
            </w: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12</w:t>
            </w:r>
          </w:p>
        </w:tc>
        <w:tc>
          <w:tcPr>
            <w:tcW w:w="1260" w:type="dxa"/>
            <w:vAlign w:val="center"/>
          </w:tcPr>
          <w:p>
            <w:pPr>
              <w:spacing w:line="360" w:lineRule="auto"/>
              <w:rPr>
                <w:rFonts w:hint="eastAsia" w:ascii="宋体" w:hAnsi="宋体"/>
                <w:sz w:val="24"/>
                <w:szCs w:val="24"/>
              </w:rPr>
            </w:pPr>
          </w:p>
        </w:tc>
        <w:tc>
          <w:tcPr>
            <w:tcW w:w="2880" w:type="dxa"/>
            <w:vAlign w:val="center"/>
          </w:tcPr>
          <w:p>
            <w:pPr>
              <w:spacing w:line="360" w:lineRule="auto"/>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7</w:t>
            </w:r>
          </w:p>
        </w:tc>
        <w:tc>
          <w:tcPr>
            <w:tcW w:w="144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通讯适配器</w:t>
            </w:r>
          </w:p>
        </w:tc>
        <w:tc>
          <w:tcPr>
            <w:tcW w:w="144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RUSB-02</w:t>
            </w: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个</w:t>
            </w:r>
          </w:p>
        </w:tc>
        <w:tc>
          <w:tcPr>
            <w:tcW w:w="720" w:type="dxa"/>
            <w:vAlign w:val="center"/>
          </w:tcPr>
          <w:p>
            <w:pPr>
              <w:spacing w:line="360" w:lineRule="auto"/>
              <w:rPr>
                <w:rFonts w:hint="eastAsia" w:ascii="宋体" w:hAnsi="宋体"/>
                <w:sz w:val="24"/>
                <w:szCs w:val="24"/>
                <w:lang w:val="en-US" w:eastAsia="zh-CN"/>
              </w:rPr>
            </w:pPr>
            <w:r>
              <w:rPr>
                <w:rFonts w:hint="eastAsia" w:ascii="宋体" w:hAnsi="宋体"/>
                <w:sz w:val="24"/>
                <w:szCs w:val="24"/>
                <w:lang w:val="en-US" w:eastAsia="zh-CN"/>
              </w:rPr>
              <w:t>1</w:t>
            </w:r>
          </w:p>
        </w:tc>
        <w:tc>
          <w:tcPr>
            <w:tcW w:w="1260" w:type="dxa"/>
            <w:vAlign w:val="center"/>
          </w:tcPr>
          <w:p>
            <w:pPr>
              <w:spacing w:line="360" w:lineRule="auto"/>
              <w:rPr>
                <w:rFonts w:hint="eastAsia" w:ascii="宋体" w:hAnsi="宋体"/>
                <w:sz w:val="24"/>
                <w:szCs w:val="24"/>
              </w:rPr>
            </w:pPr>
          </w:p>
        </w:tc>
        <w:tc>
          <w:tcPr>
            <w:tcW w:w="2880" w:type="dxa"/>
            <w:vAlign w:val="center"/>
          </w:tcPr>
          <w:p>
            <w:pPr>
              <w:spacing w:line="360" w:lineRule="auto"/>
              <w:rPr>
                <w:rFonts w:hint="eastAsia" w:ascii="宋体" w:hAnsi="宋体" w:eastAsia="宋体"/>
                <w:sz w:val="24"/>
                <w:szCs w:val="24"/>
                <w:lang w:val="en-US" w:eastAsia="zh-CN"/>
              </w:rPr>
            </w:pPr>
            <w:r>
              <w:rPr>
                <w:rFonts w:hint="eastAsia" w:ascii="宋体" w:hAnsi="宋体"/>
                <w:sz w:val="24"/>
                <w:szCs w:val="24"/>
                <w:lang w:val="en-US" w:eastAsia="zh-CN"/>
              </w:rPr>
              <w:t>含4套光纤</w:t>
            </w:r>
          </w:p>
        </w:tc>
      </w:tr>
    </w:tbl>
    <w:p>
      <w:pPr>
        <w:autoSpaceDE w:val="0"/>
        <w:autoSpaceDN w:val="0"/>
        <w:adjustRightInd w:val="0"/>
        <w:spacing w:line="360" w:lineRule="auto"/>
        <w:contextualSpacing/>
        <w:rPr>
          <w:rFonts w:ascii="黑体" w:hAnsi="黑体" w:eastAsia="黑体" w:cs="Microsoft JhengHei"/>
          <w:sz w:val="28"/>
          <w:szCs w:val="28"/>
        </w:rPr>
      </w:pPr>
      <w:r>
        <w:rPr>
          <w:rFonts w:hint="eastAsia" w:ascii="黑体" w:hAnsi="黑体" w:eastAsia="黑体" w:cs="Microsoft JhengHei"/>
          <w:sz w:val="28"/>
          <w:szCs w:val="28"/>
          <w:lang w:val="en-US" w:eastAsia="zh-CN"/>
        </w:rPr>
        <w:t>五</w:t>
      </w:r>
      <w:r>
        <w:rPr>
          <w:rFonts w:hint="eastAsia" w:ascii="黑体" w:hAnsi="黑体" w:eastAsia="黑体" w:cs="Microsoft JhengHei"/>
          <w:sz w:val="28"/>
          <w:szCs w:val="28"/>
        </w:rPr>
        <w:t>、工作要求</w:t>
      </w:r>
    </w:p>
    <w:p>
      <w:pPr>
        <w:autoSpaceDE w:val="0"/>
        <w:autoSpaceDN w:val="0"/>
        <w:adjustRightInd w:val="0"/>
        <w:spacing w:line="360" w:lineRule="auto"/>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5</w:t>
      </w:r>
      <w:r>
        <w:rPr>
          <w:rFonts w:hint="eastAsia" w:ascii="仿宋_GB2312" w:hAnsi="Microsoft JhengHei" w:eastAsia="仿宋_GB2312" w:cs="Microsoft JhengHei"/>
          <w:sz w:val="28"/>
          <w:szCs w:val="28"/>
        </w:rPr>
        <w:t>.1 办理相关安全培训、入场手续后方能进行施工。</w:t>
      </w:r>
    </w:p>
    <w:p>
      <w:pPr>
        <w:autoSpaceDE w:val="0"/>
        <w:autoSpaceDN w:val="0"/>
        <w:adjustRightInd w:val="0"/>
        <w:spacing w:line="360" w:lineRule="auto"/>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5</w:t>
      </w:r>
      <w:r>
        <w:rPr>
          <w:rFonts w:hint="eastAsia" w:ascii="仿宋_GB2312" w:hAnsi="Microsoft JhengHei" w:eastAsia="仿宋_GB2312" w:cs="Microsoft JhengHei"/>
          <w:sz w:val="28"/>
          <w:szCs w:val="28"/>
        </w:rPr>
        <w:t>.2 维修改造工作不得影响正常的现场设备运行。</w:t>
      </w:r>
    </w:p>
    <w:p>
      <w:pPr>
        <w:autoSpaceDE w:val="0"/>
        <w:autoSpaceDN w:val="0"/>
        <w:adjustRightInd w:val="0"/>
        <w:spacing w:line="360" w:lineRule="auto"/>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5</w:t>
      </w:r>
      <w:r>
        <w:rPr>
          <w:rFonts w:hint="eastAsia" w:ascii="仿宋_GB2312" w:hAnsi="Microsoft JhengHei" w:eastAsia="仿宋_GB2312" w:cs="Microsoft JhengHei"/>
          <w:sz w:val="28"/>
          <w:szCs w:val="28"/>
        </w:rPr>
        <w:t>.3 维修改造期间引发</w:t>
      </w:r>
      <w:r>
        <w:rPr>
          <w:rFonts w:hint="eastAsia" w:ascii="仿宋_GB2312" w:hAnsi="Microsoft JhengHei" w:eastAsia="仿宋_GB2312" w:cs="Microsoft JhengHei"/>
          <w:sz w:val="28"/>
          <w:szCs w:val="28"/>
          <w:lang w:val="en-US" w:eastAsia="zh-CN"/>
        </w:rPr>
        <w:t>设备故障等均由</w:t>
      </w:r>
      <w:r>
        <w:rPr>
          <w:rFonts w:hint="eastAsia" w:ascii="仿宋_GB2312" w:hAnsi="Microsoft JhengHei" w:eastAsia="仿宋_GB2312" w:cs="Microsoft JhengHei"/>
          <w:sz w:val="28"/>
          <w:szCs w:val="28"/>
        </w:rPr>
        <w:t>承包方负全责。</w:t>
      </w:r>
    </w:p>
    <w:p>
      <w:pPr>
        <w:autoSpaceDE w:val="0"/>
        <w:autoSpaceDN w:val="0"/>
        <w:adjustRightInd w:val="0"/>
        <w:spacing w:line="360" w:lineRule="auto"/>
        <w:ind w:left="560" w:hanging="560" w:hanging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5</w:t>
      </w:r>
      <w:r>
        <w:rPr>
          <w:rFonts w:hint="eastAsia" w:ascii="仿宋_GB2312" w:hAnsi="Microsoft JhengHei" w:eastAsia="仿宋_GB2312" w:cs="Microsoft JhengHei"/>
          <w:sz w:val="28"/>
          <w:szCs w:val="28"/>
        </w:rPr>
        <w:t>.4 施工方维修改造人员必须遵守甲方劳动纪律，自行佩戴安全劳动 保护用品。</w:t>
      </w:r>
    </w:p>
    <w:p>
      <w:pPr>
        <w:autoSpaceDE w:val="0"/>
        <w:autoSpaceDN w:val="0"/>
        <w:adjustRightInd w:val="0"/>
        <w:spacing w:line="360" w:lineRule="auto"/>
        <w:ind w:left="560" w:hanging="560" w:hangingChars="200"/>
        <w:contextualSpacing/>
        <w:rPr>
          <w:rFonts w:hint="eastAsia"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5</w:t>
      </w:r>
      <w:r>
        <w:rPr>
          <w:rFonts w:hint="eastAsia" w:ascii="仿宋_GB2312" w:hAnsi="Microsoft JhengHei" w:eastAsia="仿宋_GB2312" w:cs="Microsoft JhengHei"/>
          <w:sz w:val="28"/>
          <w:szCs w:val="28"/>
        </w:rPr>
        <w:t>.5 现场维修过程中需要动用现场的电器等设备需经过甲方同意后方</w:t>
      </w:r>
      <w:r>
        <w:rPr>
          <w:rFonts w:hint="eastAsia" w:ascii="仿宋_GB2312" w:hAnsi="Microsoft JhengHei" w:eastAsia="仿宋_GB2312" w:cs="Microsoft JhengHei"/>
          <w:spacing w:val="5"/>
          <w:sz w:val="28"/>
          <w:szCs w:val="28"/>
        </w:rPr>
        <w:t>可</w:t>
      </w:r>
      <w:r>
        <w:rPr>
          <w:rFonts w:hint="eastAsia" w:ascii="仿宋_GB2312" w:hAnsi="Microsoft JhengHei" w:eastAsia="仿宋_GB2312" w:cs="Microsoft JhengHei"/>
          <w:sz w:val="28"/>
          <w:szCs w:val="28"/>
        </w:rPr>
        <w:t>进行。</w:t>
      </w:r>
    </w:p>
    <w:p>
      <w:pPr>
        <w:autoSpaceDE w:val="0"/>
        <w:autoSpaceDN w:val="0"/>
        <w:adjustRightInd w:val="0"/>
        <w:spacing w:line="360" w:lineRule="auto"/>
        <w:ind w:left="560" w:hanging="560" w:hanging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5.6 承包方负责安装调试和搬运。</w:t>
      </w:r>
    </w:p>
    <w:p>
      <w:pPr>
        <w:autoSpaceDE w:val="0"/>
        <w:autoSpaceDN w:val="0"/>
        <w:adjustRightInd w:val="0"/>
        <w:spacing w:line="360" w:lineRule="auto"/>
        <w:ind w:left="560" w:hanging="560" w:hangingChars="200"/>
        <w:contextualSpacing/>
        <w:rPr>
          <w:rFonts w:hint="eastAsia" w:ascii="仿宋_GB2312" w:hAnsi="Microsoft JhengHei" w:eastAsia="仿宋_GB2312" w:cs="Microsoft JhengHei"/>
          <w:sz w:val="28"/>
          <w:szCs w:val="28"/>
          <w:lang w:val="en-US" w:eastAsia="zh-CN"/>
        </w:rPr>
      </w:pPr>
      <w:r>
        <w:rPr>
          <w:rFonts w:hint="eastAsia" w:ascii="仿宋_GB2312" w:hAnsi="Microsoft JhengHei" w:eastAsia="仿宋_GB2312" w:cs="Microsoft JhengHei"/>
          <w:sz w:val="28"/>
          <w:szCs w:val="28"/>
          <w:lang w:val="en-US" w:eastAsia="zh-CN"/>
        </w:rPr>
        <w:t>5.7 工期为6个月</w:t>
      </w:r>
    </w:p>
    <w:p>
      <w:pPr>
        <w:autoSpaceDE w:val="0"/>
        <w:autoSpaceDN w:val="0"/>
        <w:adjustRightInd w:val="0"/>
        <w:spacing w:line="360" w:lineRule="auto"/>
        <w:contextualSpacing/>
        <w:rPr>
          <w:rFonts w:ascii="黑体" w:hAnsi="黑体" w:eastAsia="黑体" w:cs="Microsoft JhengHei"/>
          <w:sz w:val="28"/>
          <w:szCs w:val="28"/>
        </w:rPr>
      </w:pPr>
      <w:r>
        <w:rPr>
          <w:rFonts w:hint="eastAsia" w:ascii="黑体" w:hAnsi="黑体" w:eastAsia="黑体" w:cs="Microsoft JhengHei"/>
          <w:sz w:val="28"/>
          <w:szCs w:val="28"/>
          <w:lang w:val="en-US" w:eastAsia="zh-CN"/>
        </w:rPr>
        <w:t>六</w:t>
      </w:r>
      <w:r>
        <w:rPr>
          <w:rFonts w:hint="eastAsia" w:ascii="黑体" w:hAnsi="黑体" w:eastAsia="黑体" w:cs="Microsoft JhengHei"/>
          <w:sz w:val="28"/>
          <w:szCs w:val="28"/>
        </w:rPr>
        <w:t>、项目验收</w:t>
      </w:r>
    </w:p>
    <w:p>
      <w:pPr>
        <w:autoSpaceDE w:val="0"/>
        <w:autoSpaceDN w:val="0"/>
        <w:adjustRightInd w:val="0"/>
        <w:spacing w:line="360" w:lineRule="auto"/>
        <w:ind w:firstLine="560" w:firstLine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rPr>
        <w:t>甲方单位在维修完成后需对改造完成的</w:t>
      </w:r>
      <w:r>
        <w:rPr>
          <w:rFonts w:hint="eastAsia" w:ascii="仿宋_GB2312" w:hAnsi="Microsoft JhengHei" w:eastAsia="仿宋_GB2312" w:cs="Microsoft JhengHei"/>
          <w:sz w:val="28"/>
          <w:szCs w:val="28"/>
          <w:lang w:val="en-US" w:eastAsia="zh-CN"/>
        </w:rPr>
        <w:t>整流模块</w:t>
      </w:r>
      <w:r>
        <w:rPr>
          <w:rFonts w:hint="eastAsia" w:ascii="仿宋_GB2312" w:hAnsi="Microsoft JhengHei" w:eastAsia="仿宋_GB2312" w:cs="Microsoft JhengHei"/>
          <w:sz w:val="28"/>
          <w:szCs w:val="28"/>
        </w:rPr>
        <w:t>设备运行</w:t>
      </w:r>
      <w:r>
        <w:rPr>
          <w:rFonts w:hint="eastAsia" w:ascii="仿宋_GB2312" w:hAnsi="Microsoft JhengHei" w:eastAsia="仿宋_GB2312" w:cs="Microsoft JhengHei"/>
          <w:sz w:val="28"/>
          <w:szCs w:val="28"/>
          <w:lang w:eastAsia="zh-CN"/>
        </w:rPr>
        <w:t>一</w:t>
      </w:r>
      <w:r>
        <w:rPr>
          <w:rFonts w:hint="eastAsia" w:ascii="仿宋_GB2312" w:hAnsi="Microsoft JhengHei" w:eastAsia="仿宋_GB2312" w:cs="Microsoft JhengHei"/>
          <w:sz w:val="28"/>
          <w:szCs w:val="28"/>
        </w:rPr>
        <w:t>个月，各项</w:t>
      </w:r>
      <w:r>
        <w:rPr>
          <w:rFonts w:hint="eastAsia" w:ascii="仿宋_GB2312" w:hAnsi="Microsoft JhengHei" w:eastAsia="仿宋_GB2312" w:cs="Microsoft JhengHei"/>
          <w:sz w:val="28"/>
          <w:szCs w:val="28"/>
          <w:lang w:val="en-US" w:eastAsia="zh-CN"/>
        </w:rPr>
        <w:t>参数</w:t>
      </w:r>
      <w:r>
        <w:rPr>
          <w:rFonts w:hint="eastAsia" w:ascii="仿宋_GB2312" w:hAnsi="Microsoft JhengHei" w:eastAsia="仿宋_GB2312" w:cs="Microsoft JhengHei"/>
          <w:sz w:val="28"/>
          <w:szCs w:val="28"/>
        </w:rPr>
        <w:t>正常，组织验收。要求如下：</w:t>
      </w:r>
    </w:p>
    <w:p>
      <w:pPr>
        <w:autoSpaceDE w:val="0"/>
        <w:autoSpaceDN w:val="0"/>
        <w:adjustRightInd w:val="0"/>
        <w:spacing w:line="360" w:lineRule="auto"/>
        <w:ind w:left="560" w:hanging="560" w:hanging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6</w:t>
      </w:r>
      <w:r>
        <w:rPr>
          <w:rFonts w:hint="eastAsia" w:ascii="仿宋_GB2312" w:hAnsi="Microsoft JhengHei" w:eastAsia="仿宋_GB2312" w:cs="Microsoft JhengHei"/>
          <w:sz w:val="28"/>
          <w:szCs w:val="28"/>
        </w:rPr>
        <w:t xml:space="preserve">.1 </w:t>
      </w:r>
      <w:r>
        <w:rPr>
          <w:rFonts w:hint="eastAsia" w:ascii="仿宋_GB2312" w:hAnsi="Microsoft JhengHei" w:eastAsia="仿宋_GB2312" w:cs="Microsoft JhengHei"/>
          <w:sz w:val="28"/>
          <w:szCs w:val="28"/>
          <w:lang w:val="en-US" w:eastAsia="zh-CN"/>
        </w:rPr>
        <w:t>电压、电流、温度等运行正常</w:t>
      </w:r>
      <w:r>
        <w:rPr>
          <w:rFonts w:hint="eastAsia" w:ascii="仿宋_GB2312" w:hAnsi="Microsoft JhengHei" w:eastAsia="仿宋_GB2312" w:cs="Microsoft JhengHei"/>
          <w:sz w:val="28"/>
          <w:szCs w:val="28"/>
        </w:rPr>
        <w:t>。</w:t>
      </w:r>
    </w:p>
    <w:p>
      <w:pPr>
        <w:autoSpaceDE w:val="0"/>
        <w:autoSpaceDN w:val="0"/>
        <w:adjustRightInd w:val="0"/>
        <w:spacing w:line="360" w:lineRule="auto"/>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6</w:t>
      </w:r>
      <w:r>
        <w:rPr>
          <w:rFonts w:hint="eastAsia" w:ascii="仿宋_GB2312" w:hAnsi="Microsoft JhengHei" w:eastAsia="仿宋_GB2312" w:cs="Microsoft JhengHei"/>
          <w:sz w:val="28"/>
          <w:szCs w:val="28"/>
        </w:rPr>
        <w:t>.2 承包方对设备进行系统测试。</w:t>
      </w:r>
    </w:p>
    <w:p>
      <w:pPr>
        <w:pStyle w:val="21"/>
        <w:spacing w:after="0" w:line="360" w:lineRule="auto"/>
        <w:ind w:right="30" w:firstLine="0" w:firstLineChars="0"/>
        <w:jc w:val="both"/>
        <w:rPr>
          <w:rFonts w:hint="eastAsia"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6</w:t>
      </w:r>
      <w:r>
        <w:rPr>
          <w:rFonts w:hint="eastAsia" w:ascii="仿宋_GB2312" w:hAnsi="Microsoft JhengHei" w:eastAsia="仿宋_GB2312" w:cs="Microsoft JhengHei"/>
          <w:sz w:val="28"/>
          <w:szCs w:val="28"/>
          <w:lang w:eastAsia="zh-CN"/>
        </w:rPr>
        <w:t>.</w:t>
      </w:r>
      <w:r>
        <w:rPr>
          <w:rFonts w:hint="eastAsia" w:ascii="仿宋_GB2312" w:hAnsi="Microsoft JhengHei" w:eastAsia="仿宋_GB2312" w:cs="Microsoft JhengHei"/>
          <w:sz w:val="28"/>
          <w:szCs w:val="28"/>
          <w:lang w:val="en-US" w:eastAsia="zh-CN"/>
        </w:rPr>
        <w:t>3</w:t>
      </w:r>
      <w:r>
        <w:rPr>
          <w:rFonts w:hint="eastAsia" w:ascii="仿宋_GB2312" w:hAnsi="Microsoft JhengHei" w:eastAsia="仿宋_GB2312" w:cs="Microsoft JhengHei"/>
          <w:sz w:val="28"/>
          <w:szCs w:val="28"/>
          <w:lang w:eastAsia="zh-CN"/>
        </w:rPr>
        <w:t xml:space="preserve"> 各项资料、操作规程、保养手册齐全。</w:t>
      </w:r>
    </w:p>
    <w:p>
      <w:pPr>
        <w:autoSpaceDE w:val="0"/>
        <w:autoSpaceDN w:val="0"/>
        <w:adjustRightInd w:val="0"/>
        <w:spacing w:line="360" w:lineRule="auto"/>
        <w:contextualSpacing/>
        <w:rPr>
          <w:rFonts w:hint="eastAsia" w:ascii="黑体" w:hAnsi="黑体" w:eastAsia="黑体" w:cs="Microsoft JhengHei"/>
          <w:sz w:val="28"/>
          <w:szCs w:val="28"/>
          <w:lang w:val="en-US" w:eastAsia="zh-CN"/>
        </w:rPr>
      </w:pPr>
      <w:r>
        <w:rPr>
          <w:rFonts w:hint="eastAsia" w:ascii="黑体" w:hAnsi="黑体" w:eastAsia="黑体" w:cs="Microsoft JhengHei"/>
          <w:sz w:val="28"/>
          <w:szCs w:val="28"/>
          <w:lang w:val="en-US" w:eastAsia="zh-CN"/>
        </w:rPr>
        <w:t>七、质量保证及服务承诺</w:t>
      </w:r>
    </w:p>
    <w:p>
      <w:pPr>
        <w:autoSpaceDE w:val="0"/>
        <w:autoSpaceDN w:val="0"/>
        <w:adjustRightInd w:val="0"/>
        <w:spacing w:line="360" w:lineRule="auto"/>
        <w:ind w:left="560" w:hanging="560" w:hanging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7</w:t>
      </w:r>
      <w:r>
        <w:rPr>
          <w:rFonts w:hint="eastAsia" w:ascii="仿宋_GB2312" w:hAnsi="Microsoft JhengHei" w:eastAsia="仿宋_GB2312" w:cs="Microsoft JhengHei"/>
          <w:sz w:val="28"/>
          <w:szCs w:val="28"/>
        </w:rPr>
        <w:t>.1 承包方负责对损坏的设备进行修复及对设备进行升级改造，恢复设备的正常使用，保证设备运行的稳定性。</w:t>
      </w:r>
    </w:p>
    <w:p>
      <w:pPr>
        <w:autoSpaceDE w:val="0"/>
        <w:autoSpaceDN w:val="0"/>
        <w:adjustRightInd w:val="0"/>
        <w:spacing w:line="360" w:lineRule="auto"/>
        <w:ind w:left="560" w:hanging="560" w:hanging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7</w:t>
      </w:r>
      <w:r>
        <w:rPr>
          <w:rFonts w:hint="eastAsia" w:ascii="仿宋_GB2312" w:hAnsi="Microsoft JhengHei" w:eastAsia="仿宋_GB2312" w:cs="Microsoft JhengHei"/>
          <w:sz w:val="28"/>
          <w:szCs w:val="28"/>
        </w:rPr>
        <w:t>.2 质保期限为项目验收完成运行后 12个月。</w:t>
      </w:r>
    </w:p>
    <w:p>
      <w:pPr>
        <w:autoSpaceDE w:val="0"/>
        <w:autoSpaceDN w:val="0"/>
        <w:adjustRightInd w:val="0"/>
        <w:spacing w:line="360" w:lineRule="auto"/>
        <w:ind w:left="560" w:hanging="560" w:hangingChars="200"/>
        <w:contextualSpacing/>
        <w:rPr>
          <w:rFonts w:ascii="仿宋_GB2312" w:hAnsi="Microsoft JhengHei" w:eastAsia="仿宋_GB2312" w:cs="Microsoft JhengHei"/>
          <w:sz w:val="28"/>
          <w:szCs w:val="28"/>
        </w:rPr>
      </w:pPr>
      <w:r>
        <w:rPr>
          <w:rFonts w:hint="eastAsia" w:ascii="仿宋_GB2312" w:hAnsi="Microsoft JhengHei" w:eastAsia="仿宋_GB2312" w:cs="Microsoft JhengHei"/>
          <w:sz w:val="28"/>
          <w:szCs w:val="28"/>
          <w:lang w:val="en-US" w:eastAsia="zh-CN"/>
        </w:rPr>
        <w:t>7</w:t>
      </w:r>
      <w:r>
        <w:rPr>
          <w:rFonts w:hint="eastAsia" w:ascii="仿宋_GB2312" w:hAnsi="Microsoft JhengHei" w:eastAsia="仿宋_GB2312" w:cs="Microsoft JhengHei"/>
          <w:sz w:val="28"/>
          <w:szCs w:val="28"/>
        </w:rPr>
        <w:t>.3 设备保修期内出现问题的，在接到用户通知后24小时内赶到现场，无偿进行维修服务。</w:t>
      </w:r>
    </w:p>
    <w:p>
      <w:pPr>
        <w:spacing w:line="360" w:lineRule="auto"/>
        <w:ind w:firstLine="480" w:firstLineChars="200"/>
        <w:rPr>
          <w:rFonts w:hint="eastAsia"/>
          <w:sz w:val="24"/>
        </w:rPr>
      </w:pPr>
    </w:p>
    <w:p>
      <w:pPr>
        <w:autoSpaceDE w:val="0"/>
        <w:autoSpaceDN w:val="0"/>
        <w:adjustRightInd w:val="0"/>
        <w:spacing w:line="360" w:lineRule="auto"/>
        <w:ind w:left="560" w:hanging="640" w:hangingChars="200"/>
        <w:contextualSpacing/>
        <w:rPr>
          <w:rFonts w:ascii="仿宋_GB2312" w:hAnsi="微软雅黑" w:eastAsia="仿宋_GB2312"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2010601030101010101"/>
    <w:charset w:val="86"/>
    <w:family w:val="modern"/>
    <w:pitch w:val="default"/>
    <w:sig w:usb0="00000000" w:usb1="00000000" w:usb2="00000000" w:usb3="00000000" w:csb0="00040000" w:csb1="00000000"/>
  </w:font>
  <w:font w:name="幼圆">
    <w:panose1 w:val="0201050906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23B9A"/>
    <w:rsid w:val="00061C74"/>
    <w:rsid w:val="000B293D"/>
    <w:rsid w:val="00100E11"/>
    <w:rsid w:val="00123B9A"/>
    <w:rsid w:val="0015415A"/>
    <w:rsid w:val="001754F9"/>
    <w:rsid w:val="001B5B1A"/>
    <w:rsid w:val="001C76F5"/>
    <w:rsid w:val="001D2246"/>
    <w:rsid w:val="00216DBA"/>
    <w:rsid w:val="002274CF"/>
    <w:rsid w:val="00294127"/>
    <w:rsid w:val="002B59C1"/>
    <w:rsid w:val="002B714B"/>
    <w:rsid w:val="003123BF"/>
    <w:rsid w:val="003A7871"/>
    <w:rsid w:val="003C29FA"/>
    <w:rsid w:val="00450AFC"/>
    <w:rsid w:val="00531997"/>
    <w:rsid w:val="005D5820"/>
    <w:rsid w:val="00634198"/>
    <w:rsid w:val="00645841"/>
    <w:rsid w:val="00647010"/>
    <w:rsid w:val="0066212D"/>
    <w:rsid w:val="006F7D89"/>
    <w:rsid w:val="007A20F8"/>
    <w:rsid w:val="007A6559"/>
    <w:rsid w:val="007C5161"/>
    <w:rsid w:val="007F35DE"/>
    <w:rsid w:val="00813353"/>
    <w:rsid w:val="008221BA"/>
    <w:rsid w:val="00827E30"/>
    <w:rsid w:val="0085437F"/>
    <w:rsid w:val="00870D1D"/>
    <w:rsid w:val="0091476A"/>
    <w:rsid w:val="00A31D93"/>
    <w:rsid w:val="00AD0527"/>
    <w:rsid w:val="00AE4EAE"/>
    <w:rsid w:val="00BC0B01"/>
    <w:rsid w:val="00BC40BA"/>
    <w:rsid w:val="00BC5E33"/>
    <w:rsid w:val="00C15F7F"/>
    <w:rsid w:val="00C71737"/>
    <w:rsid w:val="00C8708A"/>
    <w:rsid w:val="00CC0724"/>
    <w:rsid w:val="00D04E84"/>
    <w:rsid w:val="00D16313"/>
    <w:rsid w:val="00D23ACA"/>
    <w:rsid w:val="00D42EC5"/>
    <w:rsid w:val="00E0626A"/>
    <w:rsid w:val="00E65F69"/>
    <w:rsid w:val="00F41F5E"/>
    <w:rsid w:val="00F8100C"/>
    <w:rsid w:val="00FC11E0"/>
    <w:rsid w:val="00FD6463"/>
    <w:rsid w:val="00FF685A"/>
    <w:rsid w:val="03C47C52"/>
    <w:rsid w:val="055047B9"/>
    <w:rsid w:val="0D4005AB"/>
    <w:rsid w:val="168A5A67"/>
    <w:rsid w:val="187F1895"/>
    <w:rsid w:val="32016592"/>
    <w:rsid w:val="389056B4"/>
    <w:rsid w:val="554E0206"/>
    <w:rsid w:val="55860A18"/>
    <w:rsid w:val="64391B28"/>
    <w:rsid w:val="678216DA"/>
    <w:rsid w:val="742F5A82"/>
    <w:rsid w:val="75614716"/>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beforeLines="0" w:after="330" w:afterLines="0" w:line="576" w:lineRule="auto"/>
      <w:outlineLvl w:val="0"/>
    </w:pPr>
    <w:rPr>
      <w:b/>
      <w:bCs/>
      <w:kern w:val="44"/>
      <w:sz w:val="44"/>
      <w:szCs w:val="44"/>
    </w:rPr>
  </w:style>
  <w:style w:type="character" w:default="1" w:styleId="9">
    <w:name w:val="Default Paragraph Font"/>
    <w:link w:val="10"/>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18"/>
    <w:qFormat/>
    <w:uiPriority w:val="0"/>
    <w:rPr>
      <w:rFonts w:ascii="Times New Roman" w:hAnsi="Times New Roman" w:eastAsia="仿宋_GB2312" w:cs="Times New Roman"/>
      <w:sz w:val="32"/>
      <w:szCs w:val="20"/>
    </w:rPr>
  </w:style>
  <w:style w:type="paragraph" w:styleId="4">
    <w:name w:val="Plain Text"/>
    <w:basedOn w:val="1"/>
    <w:link w:val="16"/>
    <w:qFormat/>
    <w:uiPriority w:val="0"/>
    <w:rPr>
      <w:rFonts w:ascii="宋体" w:hAnsi="Courier New" w:eastAsia="宋体" w:cs="Times New Roman"/>
      <w:sz w:val="24"/>
      <w:szCs w:val="20"/>
    </w:rPr>
  </w:style>
  <w:style w:type="paragraph" w:styleId="5">
    <w:name w:val="Body Text Indent 2"/>
    <w:basedOn w:val="1"/>
    <w:link w:val="19"/>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6">
    <w:name w:val="Balloon Text"/>
    <w:basedOn w:val="1"/>
    <w:link w:val="17"/>
    <w:unhideWhenUsed/>
    <w:qFormat/>
    <w:uiPriority w:val="99"/>
    <w:rPr>
      <w:sz w:val="18"/>
      <w:szCs w:val="18"/>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10">
    <w:name w:val=" Char"/>
    <w:basedOn w:val="1"/>
    <w:link w:val="9"/>
    <w:uiPriority w:val="0"/>
  </w:style>
  <w:style w:type="character" w:styleId="11">
    <w:name w:val="page number"/>
    <w:basedOn w:val="9"/>
    <w:unhideWhenUsed/>
    <w:uiPriority w:val="99"/>
  </w:style>
  <w:style w:type="character" w:customStyle="1" w:styleId="13">
    <w:name w:val="页眉 Char"/>
    <w:basedOn w:val="9"/>
    <w:link w:val="8"/>
    <w:semiHidden/>
    <w:uiPriority w:val="99"/>
    <w:rPr>
      <w:sz w:val="18"/>
      <w:szCs w:val="18"/>
    </w:rPr>
  </w:style>
  <w:style w:type="character" w:customStyle="1" w:styleId="14">
    <w:name w:val="页脚 Char"/>
    <w:basedOn w:val="9"/>
    <w:link w:val="7"/>
    <w:semiHidden/>
    <w:qFormat/>
    <w:uiPriority w:val="99"/>
    <w:rPr>
      <w:sz w:val="18"/>
      <w:szCs w:val="18"/>
    </w:rPr>
  </w:style>
  <w:style w:type="paragraph" w:customStyle="1" w:styleId="15">
    <w:name w:val="p0"/>
    <w:basedOn w:val="1"/>
    <w:qFormat/>
    <w:uiPriority w:val="0"/>
    <w:pPr>
      <w:widowControl/>
      <w:jc w:val="left"/>
    </w:pPr>
    <w:rPr>
      <w:rFonts w:ascii="Times New Roman" w:hAnsi="Times New Roman" w:eastAsia="宋体" w:cs="Times New Roman"/>
      <w:szCs w:val="24"/>
    </w:rPr>
  </w:style>
  <w:style w:type="character" w:customStyle="1" w:styleId="16">
    <w:name w:val="纯文本 Char"/>
    <w:basedOn w:val="9"/>
    <w:link w:val="4"/>
    <w:uiPriority w:val="0"/>
    <w:rPr>
      <w:rFonts w:ascii="宋体" w:hAnsi="Courier New" w:eastAsia="宋体" w:cs="Times New Roman"/>
      <w:sz w:val="24"/>
      <w:szCs w:val="20"/>
    </w:rPr>
  </w:style>
  <w:style w:type="character" w:customStyle="1" w:styleId="17">
    <w:name w:val="批注框文本 Char"/>
    <w:basedOn w:val="9"/>
    <w:link w:val="6"/>
    <w:semiHidden/>
    <w:uiPriority w:val="99"/>
    <w:rPr>
      <w:sz w:val="18"/>
      <w:szCs w:val="18"/>
    </w:rPr>
  </w:style>
  <w:style w:type="character" w:customStyle="1" w:styleId="18">
    <w:name w:val="正文文本 Char"/>
    <w:basedOn w:val="9"/>
    <w:link w:val="3"/>
    <w:qFormat/>
    <w:uiPriority w:val="0"/>
    <w:rPr>
      <w:rFonts w:ascii="Times New Roman" w:hAnsi="Times New Roman" w:eastAsia="仿宋_GB2312" w:cs="Times New Roman"/>
      <w:sz w:val="32"/>
      <w:szCs w:val="20"/>
    </w:rPr>
  </w:style>
  <w:style w:type="character" w:customStyle="1" w:styleId="19">
    <w:name w:val="正文文本缩进 2 Char"/>
    <w:basedOn w:val="9"/>
    <w:link w:val="5"/>
    <w:uiPriority w:val="0"/>
    <w:rPr>
      <w:rFonts w:ascii="仿宋_GB2312" w:hAnsi="宋体" w:eastAsia="仿宋_GB2312" w:cs="Times New Roman"/>
      <w:sz w:val="32"/>
      <w:szCs w:val="24"/>
    </w:rPr>
  </w:style>
  <w:style w:type="character" w:customStyle="1" w:styleId="20">
    <w:name w:val="标题 1 Char"/>
    <w:link w:val="2"/>
    <w:qFormat/>
    <w:uiPriority w:val="0"/>
    <w:rPr>
      <w:b/>
      <w:bCs/>
      <w:kern w:val="44"/>
      <w:sz w:val="44"/>
      <w:szCs w:val="44"/>
    </w:rPr>
  </w:style>
  <w:style w:type="paragraph" w:customStyle="1" w:styleId="21">
    <w:name w:val="列出段落1"/>
    <w:basedOn w:val="1"/>
    <w:qFormat/>
    <w:uiPriority w:val="34"/>
    <w:pPr>
      <w:spacing w:after="200" w:line="276" w:lineRule="auto"/>
      <w:ind w:firstLine="420" w:firstLineChars="200"/>
      <w:jc w:val="left"/>
    </w:pPr>
    <w:rPr>
      <w:kern w:val="0"/>
      <w:sz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609</Words>
  <Characters>3476</Characters>
  <Lines>28</Lines>
  <Paragraphs>8</Paragraphs>
  <ScaleCrop>false</ScaleCrop>
  <LinksUpToDate>false</LinksUpToDate>
  <CharactersWithSpaces>4077</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2016-08-16T06:32:00Z</dcterms:created>
  <dc:creator>qjh</dc:creator>
  <cp:lastModifiedBy>于俊清</cp:lastModifiedBy>
  <dcterms:modified xsi:type="dcterms:W3CDTF">2017-11-16T08:00:25Z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