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tabs>
          <w:tab w:val="left" w:pos="425"/>
        </w:tabs>
        <w:adjustRightInd w:val="0"/>
        <w:snapToGrid w:val="0"/>
        <w:spacing w:line="560" w:lineRule="exact"/>
        <w:rPr>
          <w:szCs w:val="32"/>
        </w:rPr>
      </w:pPr>
      <w:r>
        <w:rPr>
          <w:rFonts w:hint="eastAsia"/>
          <w:szCs w:val="32"/>
        </w:rPr>
        <w:t>报价要求：</w:t>
      </w:r>
    </w:p>
    <w:p>
      <w:pPr>
        <w:pStyle w:val="8"/>
        <w:tabs>
          <w:tab w:val="left" w:pos="425"/>
        </w:tabs>
        <w:adjustRightInd w:val="0"/>
        <w:snapToGrid w:val="0"/>
        <w:spacing w:line="560" w:lineRule="exact"/>
        <w:rPr>
          <w:szCs w:val="32"/>
        </w:rPr>
      </w:pPr>
      <w:r>
        <w:rPr>
          <w:rFonts w:hint="eastAsia"/>
          <w:szCs w:val="32"/>
        </w:rPr>
        <w:t>参与本项目的供应商应综合考虑服务发生的人工、材料、机械设备及现场临建、水、电等费用综合报价（含利润、税金）等完成本项目相关工作，报价包括但不限于以下内容：</w:t>
      </w:r>
    </w:p>
    <w:p>
      <w:pPr>
        <w:pStyle w:val="8"/>
        <w:tabs>
          <w:tab w:val="left" w:pos="425"/>
        </w:tabs>
        <w:adjustRightInd w:val="0"/>
        <w:snapToGrid w:val="0"/>
        <w:spacing w:line="560" w:lineRule="exact"/>
        <w:rPr>
          <w:szCs w:val="32"/>
        </w:rPr>
      </w:pPr>
      <w:r>
        <w:rPr>
          <w:szCs w:val="32"/>
        </w:rPr>
        <w:t>1.</w:t>
      </w:r>
      <w:r>
        <w:rPr>
          <w:rFonts w:hint="eastAsia"/>
          <w:szCs w:val="32"/>
        </w:rPr>
        <w:t>根据要求需建设的必要的临时设施而发生的费用（如水电源接通、排水、搭设脚手架、临时支撑等）；</w:t>
      </w:r>
    </w:p>
    <w:p>
      <w:pPr>
        <w:pStyle w:val="8"/>
        <w:tabs>
          <w:tab w:val="left" w:pos="425"/>
        </w:tabs>
        <w:adjustRightInd w:val="0"/>
        <w:snapToGrid w:val="0"/>
        <w:spacing w:line="560" w:lineRule="exact"/>
        <w:rPr>
          <w:szCs w:val="32"/>
        </w:rPr>
      </w:pPr>
      <w:r>
        <w:rPr>
          <w:szCs w:val="32"/>
        </w:rPr>
        <w:t>2.</w:t>
      </w:r>
      <w:r>
        <w:rPr>
          <w:rFonts w:hint="eastAsia"/>
          <w:szCs w:val="32"/>
        </w:rPr>
        <w:t>设备及机具拆装采取的措施；</w:t>
      </w:r>
    </w:p>
    <w:p>
      <w:pPr>
        <w:pStyle w:val="8"/>
        <w:tabs>
          <w:tab w:val="left" w:pos="425"/>
        </w:tabs>
        <w:adjustRightInd w:val="0"/>
        <w:snapToGrid w:val="0"/>
        <w:spacing w:line="560" w:lineRule="exact"/>
        <w:rPr>
          <w:szCs w:val="32"/>
        </w:rPr>
      </w:pPr>
      <w:r>
        <w:rPr>
          <w:szCs w:val="32"/>
        </w:rPr>
        <w:t>3.</w:t>
      </w:r>
      <w:r>
        <w:rPr>
          <w:rFonts w:hint="eastAsia"/>
          <w:szCs w:val="32"/>
        </w:rPr>
        <w:t>本项目实施中可能发生的安全问题的治理防范措施费；</w:t>
      </w:r>
    </w:p>
    <w:p>
      <w:pPr>
        <w:pStyle w:val="8"/>
        <w:tabs>
          <w:tab w:val="left" w:pos="425"/>
        </w:tabs>
        <w:adjustRightInd w:val="0"/>
        <w:snapToGrid w:val="0"/>
        <w:spacing w:line="560" w:lineRule="exact"/>
        <w:rPr>
          <w:szCs w:val="32"/>
        </w:rPr>
      </w:pPr>
      <w:r>
        <w:rPr>
          <w:szCs w:val="32"/>
        </w:rPr>
        <w:t>4.</w:t>
      </w:r>
      <w:r>
        <w:rPr>
          <w:rFonts w:hint="eastAsia"/>
          <w:szCs w:val="32"/>
        </w:rPr>
        <w:t>合同中各类风险费用（如技术参数变化、防风、防火、防雨等）；</w:t>
      </w:r>
    </w:p>
    <w:p>
      <w:pPr>
        <w:pStyle w:val="8"/>
        <w:tabs>
          <w:tab w:val="left" w:pos="425"/>
        </w:tabs>
        <w:adjustRightInd w:val="0"/>
        <w:snapToGrid w:val="0"/>
        <w:spacing w:line="560" w:lineRule="exact"/>
        <w:rPr>
          <w:szCs w:val="32"/>
        </w:rPr>
      </w:pPr>
      <w:r>
        <w:rPr>
          <w:szCs w:val="32"/>
        </w:rPr>
        <w:t>5.</w:t>
      </w:r>
      <w:r>
        <w:rPr>
          <w:rFonts w:hint="eastAsia"/>
          <w:szCs w:val="32"/>
        </w:rPr>
        <w:t>垃圾废弃物清理搬运、施工区域清扫及为满足招标人规定的文明施工要求所发生的费用；</w:t>
      </w:r>
    </w:p>
    <w:p>
      <w:pPr>
        <w:pStyle w:val="8"/>
        <w:tabs>
          <w:tab w:val="left" w:pos="425"/>
        </w:tabs>
        <w:adjustRightInd w:val="0"/>
        <w:snapToGrid w:val="0"/>
        <w:spacing w:line="560" w:lineRule="exact"/>
        <w:rPr>
          <w:szCs w:val="32"/>
        </w:rPr>
      </w:pPr>
      <w:r>
        <w:rPr>
          <w:szCs w:val="32"/>
        </w:rPr>
        <w:t>6.</w:t>
      </w:r>
      <w:r>
        <w:rPr>
          <w:rFonts w:hint="eastAsia"/>
          <w:szCs w:val="32"/>
        </w:rPr>
        <w:t>投标人认为为完成本项目所必需的其它费用；</w:t>
      </w:r>
    </w:p>
    <w:p>
      <w:pPr>
        <w:pStyle w:val="8"/>
        <w:tabs>
          <w:tab w:val="left" w:pos="425"/>
        </w:tabs>
        <w:adjustRightInd w:val="0"/>
        <w:snapToGrid w:val="0"/>
        <w:spacing w:line="560" w:lineRule="exact"/>
        <w:rPr>
          <w:szCs w:val="32"/>
        </w:rPr>
      </w:pPr>
      <w:r>
        <w:rPr>
          <w:szCs w:val="32"/>
        </w:rPr>
        <w:t>7.</w:t>
      </w:r>
      <w:r>
        <w:rPr>
          <w:rFonts w:hint="eastAsia"/>
          <w:szCs w:val="32"/>
        </w:rPr>
        <w:t>本项目的报价全部采用人民币含税价格（需提供增值税专用发票）。</w:t>
      </w:r>
    </w:p>
    <w:p>
      <w:pPr>
        <w:pStyle w:val="21"/>
        <w:spacing w:line="560" w:lineRule="exact"/>
        <w:rPr>
          <w:rFonts w:hint="eastAsia" w:ascii="仿宋_GB2312" w:hAnsi="微软雅黑" w:eastAsia="仿宋_GB2312" w:cs="仿宋_GB2312"/>
          <w:kern w:val="0"/>
          <w:sz w:val="32"/>
          <w:szCs w:val="32"/>
        </w:rPr>
        <w:sectPr>
          <w:headerReference r:id="rId3" w:type="default"/>
          <w:footerReference r:id="rId4" w:type="default"/>
          <w:pgSz w:w="11906" w:h="16838"/>
          <w:pgMar w:top="2098" w:right="1474" w:bottom="1985" w:left="1588" w:header="851" w:footer="992" w:gutter="567"/>
          <w:cols w:space="425" w:num="1"/>
          <w:docGrid w:type="lines" w:linePitch="312" w:charSpace="0"/>
        </w:sectPr>
      </w:pPr>
    </w:p>
    <w:p>
      <w:pPr>
        <w:pStyle w:val="21"/>
        <w:spacing w:line="560" w:lineRule="exact"/>
        <w:rPr>
          <w:rFonts w:ascii="仿宋_GB2312" w:hAnsi="微软雅黑" w:eastAsia="仿宋_GB2312" w:cs="仿宋_GB2312"/>
          <w:kern w:val="0"/>
          <w:sz w:val="32"/>
          <w:szCs w:val="32"/>
        </w:rPr>
      </w:pPr>
      <w:r>
        <w:rPr>
          <w:rFonts w:hint="eastAsia" w:ascii="仿宋_GB2312" w:hAnsi="微软雅黑" w:eastAsia="仿宋_GB2312" w:cs="仿宋_GB2312"/>
          <w:kern w:val="0"/>
          <w:sz w:val="32"/>
          <w:szCs w:val="32"/>
        </w:rPr>
        <w:t>附件2：</w:t>
      </w:r>
    </w:p>
    <w:p>
      <w:pPr>
        <w:snapToGrid w:val="0"/>
        <w:spacing w:line="480" w:lineRule="exact"/>
        <w:jc w:val="center"/>
        <w:rPr>
          <w:rFonts w:asciiTheme="minorEastAsia" w:hAnsiTheme="minorEastAsia"/>
        </w:rPr>
      </w:pPr>
    </w:p>
    <w:p>
      <w:pPr>
        <w:snapToGrid w:val="0"/>
        <w:spacing w:line="480" w:lineRule="exact"/>
        <w:jc w:val="center"/>
        <w:rPr>
          <w:rFonts w:asciiTheme="minorEastAsia" w:hAnsiTheme="minorEastAsia"/>
        </w:rPr>
      </w:pPr>
    </w:p>
    <w:p>
      <w:pPr>
        <w:snapToGrid w:val="0"/>
        <w:spacing w:line="480" w:lineRule="exact"/>
        <w:jc w:val="center"/>
        <w:rPr>
          <w:rFonts w:asciiTheme="minorEastAsia" w:hAnsiTheme="minorEastAsia"/>
        </w:rPr>
      </w:pPr>
    </w:p>
    <w:p>
      <w:pPr>
        <w:spacing w:line="360" w:lineRule="auto"/>
        <w:contextualSpacing/>
        <w:jc w:val="center"/>
        <w:rPr>
          <w:rFonts w:ascii="仿宋_GB2312" w:hAnsi="仿宋_GB2312" w:eastAsia="仿宋_GB2312" w:cs="仿宋_GB2312"/>
          <w:b/>
          <w:bCs/>
          <w:sz w:val="44"/>
          <w:szCs w:val="44"/>
        </w:rPr>
      </w:pPr>
      <w:r>
        <w:rPr>
          <w:rFonts w:hint="eastAsia" w:ascii="仿宋_GB2312" w:hAnsi="仿宋_GB2312" w:eastAsia="仿宋_GB2312" w:cs="仿宋_GB2312"/>
          <w:b/>
          <w:bCs/>
          <w:sz w:val="44"/>
          <w:szCs w:val="44"/>
        </w:rPr>
        <w:t>黄骅港二期装船机操控系统升级改造</w:t>
      </w:r>
      <w:r>
        <w:rPr>
          <w:rFonts w:hint="eastAsia" w:ascii="仿宋_GB2312" w:hAnsi="仿宋_GB2312" w:eastAsia="仿宋_GB2312" w:cs="仿宋_GB2312"/>
          <w:b/>
          <w:bCs/>
          <w:sz w:val="44"/>
          <w:szCs w:val="44"/>
          <w:lang w:val="en-US" w:eastAsia="zh-CN"/>
        </w:rPr>
        <w:t xml:space="preserve">     </w:t>
      </w:r>
      <w:r>
        <w:rPr>
          <w:rFonts w:hint="eastAsia" w:ascii="仿宋_GB2312" w:hAnsi="仿宋_GB2312" w:eastAsia="仿宋_GB2312" w:cs="仿宋_GB2312"/>
          <w:b/>
          <w:bCs/>
          <w:sz w:val="44"/>
          <w:szCs w:val="44"/>
        </w:rPr>
        <w:t>技术规格书</w:t>
      </w:r>
      <w:r>
        <w:rPr>
          <w:rFonts w:hint="eastAsia" w:ascii="仿宋_GB2312" w:hAnsi="仿宋_GB2312" w:eastAsia="仿宋_GB2312" w:cs="仿宋_GB2312"/>
          <w:b/>
          <w:bCs/>
          <w:sz w:val="44"/>
          <w:szCs w:val="44"/>
          <w:lang w:val="en-US" w:eastAsia="zh-CN"/>
        </w:rPr>
        <w:t xml:space="preserve">  </w:t>
      </w:r>
    </w:p>
    <w:p>
      <w:pPr>
        <w:rPr>
          <w:rFonts w:hint="eastAsia" w:ascii="仿宋_GB2312" w:hAnsi="仿宋_GB2312" w:eastAsia="仿宋_GB2312" w:cs="仿宋_GB2312"/>
          <w:sz w:val="44"/>
          <w:szCs w:val="44"/>
        </w:rPr>
      </w:pPr>
      <w:bookmarkStart w:id="265" w:name="_GoBack"/>
      <w:bookmarkEnd w:id="265"/>
    </w:p>
    <w:p>
      <w:pPr>
        <w:rPr>
          <w:rFonts w:hint="eastAsia" w:ascii="仿宋_GB2312" w:hAnsi="仿宋_GB2312" w:eastAsia="仿宋_GB2312" w:cs="仿宋_GB2312"/>
          <w:sz w:val="44"/>
          <w:szCs w:val="44"/>
        </w:rPr>
      </w:pPr>
    </w:p>
    <w:p>
      <w:pPr>
        <w:rPr>
          <w:rFonts w:hint="eastAsia" w:ascii="仿宋_GB2312" w:hAnsi="仿宋_GB2312" w:eastAsia="仿宋_GB2312" w:cs="仿宋_GB2312"/>
          <w:sz w:val="44"/>
          <w:szCs w:val="44"/>
        </w:rPr>
      </w:pPr>
    </w:p>
    <w:p>
      <w:pPr>
        <w:rPr>
          <w:rFonts w:hint="eastAsia" w:ascii="仿宋_GB2312" w:hAnsi="仿宋_GB2312" w:eastAsia="仿宋_GB2312" w:cs="仿宋_GB2312"/>
          <w:sz w:val="44"/>
          <w:szCs w:val="44"/>
        </w:rPr>
      </w:pPr>
    </w:p>
    <w:p>
      <w:pPr>
        <w:rPr>
          <w:rFonts w:hint="eastAsia" w:ascii="仿宋_GB2312" w:hAnsi="仿宋_GB2312" w:eastAsia="仿宋_GB2312" w:cs="仿宋_GB2312"/>
          <w:sz w:val="44"/>
          <w:szCs w:val="44"/>
        </w:rPr>
      </w:pPr>
    </w:p>
    <w:p>
      <w:pPr>
        <w:rPr>
          <w:rFonts w:hint="eastAsia" w:ascii="仿宋_GB2312" w:hAnsi="仿宋_GB2312" w:eastAsia="仿宋_GB2312" w:cs="仿宋_GB2312"/>
          <w:sz w:val="44"/>
          <w:szCs w:val="44"/>
        </w:rPr>
      </w:pPr>
    </w:p>
    <w:p>
      <w:pPr>
        <w:rPr>
          <w:rFonts w:hint="eastAsia" w:ascii="仿宋_GB2312" w:hAnsi="仿宋_GB2312" w:eastAsia="仿宋_GB2312" w:cs="仿宋_GB2312"/>
          <w:sz w:val="44"/>
          <w:szCs w:val="44"/>
        </w:rPr>
      </w:pPr>
    </w:p>
    <w:p>
      <w:pPr>
        <w:rPr>
          <w:rFonts w:hint="eastAsia" w:ascii="仿宋_GB2312" w:hAnsi="仿宋_GB2312" w:eastAsia="仿宋_GB2312" w:cs="仿宋_GB2312"/>
          <w:sz w:val="44"/>
          <w:szCs w:val="44"/>
        </w:rPr>
      </w:pPr>
    </w:p>
    <w:p>
      <w:pPr>
        <w:rPr>
          <w:rFonts w:hint="eastAsia" w:ascii="仿宋_GB2312" w:hAnsi="仿宋_GB2312" w:eastAsia="仿宋_GB2312" w:cs="仿宋_GB2312"/>
          <w:sz w:val="44"/>
          <w:szCs w:val="44"/>
        </w:rPr>
      </w:pPr>
    </w:p>
    <w:p>
      <w:pPr>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神华黄骅港务有限责任公司</w:t>
      </w:r>
    </w:p>
    <w:p>
      <w:pPr>
        <w:jc w:val="center"/>
        <w:rPr>
          <w:rFonts w:hint="eastAsia" w:ascii="仿宋" w:hAnsi="仿宋" w:eastAsia="仿宋" w:cs="仿宋_GB2312"/>
          <w:b/>
          <w:bCs/>
          <w:sz w:val="32"/>
          <w:szCs w:val="32"/>
        </w:rPr>
      </w:pPr>
      <w:r>
        <w:rPr>
          <w:rFonts w:hint="eastAsia" w:ascii="仿宋" w:hAnsi="仿宋" w:eastAsia="仿宋" w:cs="仿宋_GB2312"/>
          <w:b/>
          <w:bCs/>
          <w:sz w:val="32"/>
          <w:szCs w:val="32"/>
        </w:rPr>
        <w:t>201</w:t>
      </w:r>
      <w:r>
        <w:rPr>
          <w:rFonts w:hint="eastAsia" w:ascii="仿宋" w:hAnsi="仿宋" w:eastAsia="仿宋" w:cs="仿宋_GB2312"/>
          <w:b/>
          <w:bCs/>
          <w:sz w:val="32"/>
          <w:szCs w:val="32"/>
          <w:lang w:val="en-US" w:eastAsia="zh-CN"/>
        </w:rPr>
        <w:t>7</w:t>
      </w:r>
      <w:r>
        <w:rPr>
          <w:rFonts w:hint="eastAsia" w:ascii="仿宋" w:hAnsi="仿宋" w:eastAsia="仿宋" w:cs="仿宋_GB2312"/>
          <w:b/>
          <w:bCs/>
          <w:sz w:val="32"/>
          <w:szCs w:val="32"/>
        </w:rPr>
        <w:t>-</w:t>
      </w:r>
      <w:r>
        <w:rPr>
          <w:rFonts w:hint="eastAsia" w:ascii="仿宋" w:hAnsi="仿宋" w:eastAsia="仿宋" w:cs="仿宋_GB2312"/>
          <w:b/>
          <w:bCs/>
          <w:sz w:val="32"/>
          <w:szCs w:val="32"/>
          <w:lang w:val="en-US" w:eastAsia="zh-CN"/>
        </w:rPr>
        <w:t>10</w:t>
      </w:r>
      <w:r>
        <w:rPr>
          <w:rFonts w:hint="eastAsia" w:ascii="仿宋" w:hAnsi="仿宋" w:eastAsia="仿宋" w:cs="仿宋_GB2312"/>
          <w:b/>
          <w:bCs/>
          <w:sz w:val="32"/>
          <w:szCs w:val="32"/>
        </w:rPr>
        <w:t>-</w:t>
      </w:r>
      <w:r>
        <w:rPr>
          <w:rFonts w:hint="eastAsia" w:ascii="仿宋" w:hAnsi="仿宋" w:eastAsia="仿宋" w:cs="仿宋_GB2312"/>
          <w:b/>
          <w:bCs/>
          <w:sz w:val="32"/>
          <w:szCs w:val="32"/>
          <w:lang w:val="en-US" w:eastAsia="zh-CN"/>
        </w:rPr>
        <w:t>30</w:t>
      </w:r>
    </w:p>
    <w:p>
      <w:pPr>
        <w:rPr>
          <w:rFonts w:hint="eastAsia" w:eastAsia="黑体"/>
          <w:b/>
          <w:color w:val="000000"/>
          <w:spacing w:val="-6"/>
          <w:kern w:val="44"/>
          <w:sz w:val="28"/>
          <w:szCs w:val="28"/>
        </w:rPr>
      </w:pPr>
    </w:p>
    <w:p>
      <w:pPr>
        <w:rPr>
          <w:rFonts w:hint="eastAsia" w:eastAsia="黑体"/>
          <w:b/>
          <w:color w:val="000000"/>
          <w:spacing w:val="-6"/>
          <w:kern w:val="44"/>
          <w:sz w:val="28"/>
          <w:szCs w:val="28"/>
        </w:rPr>
      </w:pPr>
    </w:p>
    <w:p>
      <w:pPr>
        <w:rPr>
          <w:rFonts w:hint="eastAsia" w:eastAsia="黑体"/>
          <w:b/>
          <w:color w:val="000000"/>
          <w:spacing w:val="-6"/>
          <w:kern w:val="44"/>
          <w:sz w:val="28"/>
          <w:szCs w:val="28"/>
        </w:rPr>
      </w:pPr>
      <w:r>
        <w:rPr>
          <w:rFonts w:hint="eastAsia" w:eastAsia="黑体"/>
          <w:b/>
          <w:color w:val="000000"/>
          <w:spacing w:val="-6"/>
          <w:kern w:val="44"/>
          <w:sz w:val="28"/>
          <w:szCs w:val="28"/>
        </w:rPr>
        <w:br w:type="page"/>
      </w:r>
      <w:r>
        <w:rPr>
          <w:rFonts w:hint="eastAsia" w:ascii="宋体" w:hAnsi="宋体" w:cs="宋体"/>
          <w:b/>
          <w:color w:val="000000"/>
          <w:spacing w:val="-6"/>
          <w:kern w:val="44"/>
          <w:sz w:val="32"/>
          <w:szCs w:val="32"/>
        </w:rPr>
        <w:t>目录</w:t>
      </w:r>
    </w:p>
    <w:p>
      <w:pPr>
        <w:pStyle w:val="12"/>
        <w:tabs>
          <w:tab w:val="right" w:leader="dot" w:pos="9070"/>
        </w:tabs>
        <w:rPr>
          <w:rFonts w:hint="eastAsia" w:ascii="宋体" w:hAnsi="宋体" w:cs="宋体"/>
          <w:sz w:val="24"/>
        </w:rPr>
      </w:pPr>
      <w:r>
        <w:rPr>
          <w:rFonts w:hint="eastAsia" w:ascii="宋体" w:hAnsi="宋体" w:cs="宋体"/>
          <w:b/>
          <w:color w:val="000000"/>
          <w:spacing w:val="-6"/>
          <w:kern w:val="44"/>
          <w:sz w:val="24"/>
        </w:rPr>
        <w:fldChar w:fldCharType="begin"/>
      </w:r>
      <w:r>
        <w:rPr>
          <w:rFonts w:hint="eastAsia" w:ascii="宋体" w:hAnsi="宋体" w:cs="宋体"/>
          <w:b/>
          <w:color w:val="000000"/>
          <w:spacing w:val="-6"/>
          <w:kern w:val="44"/>
          <w:sz w:val="24"/>
        </w:rPr>
        <w:instrText xml:space="preserve">TOC \o "1-3" \u </w:instrText>
      </w:r>
      <w:r>
        <w:rPr>
          <w:rFonts w:hint="eastAsia" w:ascii="宋体" w:hAnsi="宋体" w:cs="宋体"/>
          <w:b/>
          <w:color w:val="000000"/>
          <w:spacing w:val="-6"/>
          <w:kern w:val="44"/>
          <w:sz w:val="24"/>
        </w:rPr>
        <w:fldChar w:fldCharType="separate"/>
      </w:r>
      <w:r>
        <w:rPr>
          <w:rFonts w:hint="eastAsia" w:ascii="宋体" w:hAnsi="宋体" w:cs="宋体"/>
          <w:sz w:val="24"/>
        </w:rPr>
        <w:t xml:space="preserve">1. </w:t>
      </w:r>
      <w:r>
        <w:rPr>
          <w:rFonts w:hint="eastAsia" w:ascii="宋体" w:hAnsi="宋体" w:cs="宋体"/>
          <w:sz w:val="24"/>
          <w:lang w:val="sq-AL"/>
        </w:rPr>
        <w:t>改造说明及要求</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_Toc946 </w:instrText>
      </w:r>
      <w:r>
        <w:rPr>
          <w:rFonts w:hint="eastAsia" w:ascii="宋体" w:hAnsi="宋体" w:cs="宋体"/>
          <w:sz w:val="24"/>
        </w:rPr>
        <w:fldChar w:fldCharType="separate"/>
      </w:r>
      <w:r>
        <w:rPr>
          <w:rFonts w:ascii="宋体" w:hAnsi="宋体" w:cs="宋体"/>
          <w:sz w:val="24"/>
        </w:rPr>
        <w:t>3</w:t>
      </w:r>
      <w:r>
        <w:rPr>
          <w:rFonts w:hint="eastAsia" w:ascii="宋体" w:hAnsi="宋体" w:cs="宋体"/>
          <w:sz w:val="24"/>
        </w:rPr>
        <w:fldChar w:fldCharType="end"/>
      </w:r>
    </w:p>
    <w:p>
      <w:pPr>
        <w:pStyle w:val="13"/>
        <w:tabs>
          <w:tab w:val="right" w:leader="dot" w:pos="9070"/>
        </w:tabs>
        <w:rPr>
          <w:rFonts w:hint="eastAsia" w:ascii="宋体" w:hAnsi="宋体" w:cs="宋体"/>
          <w:sz w:val="24"/>
        </w:rPr>
      </w:pPr>
      <w:r>
        <w:rPr>
          <w:rFonts w:hint="eastAsia" w:ascii="宋体" w:hAnsi="宋体" w:cs="宋体"/>
          <w:sz w:val="24"/>
          <w:lang w:val="sq-AL"/>
        </w:rPr>
        <w:t>1.1 改造对象</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_Toc24417 </w:instrText>
      </w:r>
      <w:r>
        <w:rPr>
          <w:rFonts w:hint="eastAsia" w:ascii="宋体" w:hAnsi="宋体" w:cs="宋体"/>
          <w:sz w:val="24"/>
        </w:rPr>
        <w:fldChar w:fldCharType="separate"/>
      </w:r>
      <w:r>
        <w:rPr>
          <w:rFonts w:ascii="宋体" w:hAnsi="宋体" w:cs="宋体"/>
          <w:sz w:val="24"/>
        </w:rPr>
        <w:t>3</w:t>
      </w:r>
      <w:r>
        <w:rPr>
          <w:rFonts w:hint="eastAsia" w:ascii="宋体" w:hAnsi="宋体" w:cs="宋体"/>
          <w:sz w:val="24"/>
        </w:rPr>
        <w:fldChar w:fldCharType="end"/>
      </w:r>
    </w:p>
    <w:p>
      <w:pPr>
        <w:pStyle w:val="13"/>
        <w:tabs>
          <w:tab w:val="right" w:leader="dot" w:pos="9070"/>
        </w:tabs>
        <w:rPr>
          <w:rFonts w:hint="eastAsia" w:ascii="宋体" w:hAnsi="宋体" w:cs="宋体"/>
          <w:sz w:val="24"/>
        </w:rPr>
      </w:pPr>
      <w:r>
        <w:rPr>
          <w:rFonts w:hint="eastAsia" w:ascii="宋体" w:hAnsi="宋体" w:cs="宋体"/>
          <w:sz w:val="24"/>
          <w:lang w:val="sq-AL"/>
        </w:rPr>
        <w:t>1.2 改造原因</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_Toc15782 </w:instrText>
      </w:r>
      <w:r>
        <w:rPr>
          <w:rFonts w:hint="eastAsia" w:ascii="宋体" w:hAnsi="宋体" w:cs="宋体"/>
          <w:sz w:val="24"/>
        </w:rPr>
        <w:fldChar w:fldCharType="separate"/>
      </w:r>
      <w:r>
        <w:rPr>
          <w:rFonts w:ascii="宋体" w:hAnsi="宋体" w:cs="宋体"/>
          <w:sz w:val="24"/>
        </w:rPr>
        <w:t>3</w:t>
      </w:r>
      <w:r>
        <w:rPr>
          <w:rFonts w:hint="eastAsia" w:ascii="宋体" w:hAnsi="宋体" w:cs="宋体"/>
          <w:sz w:val="24"/>
        </w:rPr>
        <w:fldChar w:fldCharType="end"/>
      </w:r>
    </w:p>
    <w:p>
      <w:pPr>
        <w:pStyle w:val="13"/>
        <w:tabs>
          <w:tab w:val="right" w:leader="dot" w:pos="9070"/>
        </w:tabs>
        <w:rPr>
          <w:rFonts w:hint="eastAsia" w:ascii="宋体" w:hAnsi="宋体" w:cs="宋体"/>
          <w:sz w:val="24"/>
        </w:rPr>
      </w:pPr>
      <w:r>
        <w:rPr>
          <w:rFonts w:hint="eastAsia" w:ascii="宋体" w:hAnsi="宋体" w:cs="宋体"/>
          <w:sz w:val="24"/>
          <w:lang w:val="sq-AL"/>
        </w:rPr>
        <w:t>1.3</w:t>
      </w:r>
      <w:r>
        <w:rPr>
          <w:rFonts w:hint="eastAsia" w:ascii="宋体" w:hAnsi="宋体" w:cs="宋体"/>
          <w:sz w:val="24"/>
        </w:rPr>
        <w:t xml:space="preserve"> </w:t>
      </w:r>
      <w:r>
        <w:rPr>
          <w:rFonts w:hint="eastAsia" w:ascii="宋体" w:hAnsi="宋体" w:cs="宋体"/>
          <w:sz w:val="24"/>
          <w:lang w:val="sq-AL"/>
        </w:rPr>
        <w:t>改造要求（以下改造</w:t>
      </w:r>
      <w:r>
        <w:rPr>
          <w:rFonts w:hint="eastAsia" w:ascii="宋体" w:hAnsi="宋体" w:cs="宋体"/>
          <w:sz w:val="24"/>
        </w:rPr>
        <w:t>由投标方提供方案，招标方最终确定</w:t>
      </w:r>
      <w:r>
        <w:rPr>
          <w:rFonts w:hint="eastAsia" w:ascii="宋体" w:hAnsi="宋体" w:cs="宋体"/>
          <w:sz w:val="24"/>
          <w:lang w:val="sq-AL"/>
        </w:rPr>
        <w:t>）</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_Toc18573 </w:instrText>
      </w:r>
      <w:r>
        <w:rPr>
          <w:rFonts w:hint="eastAsia" w:ascii="宋体" w:hAnsi="宋体" w:cs="宋体"/>
          <w:sz w:val="24"/>
        </w:rPr>
        <w:fldChar w:fldCharType="separate"/>
      </w:r>
      <w:r>
        <w:rPr>
          <w:rFonts w:ascii="宋体" w:hAnsi="宋体" w:cs="宋体"/>
          <w:sz w:val="24"/>
        </w:rPr>
        <w:t>3</w:t>
      </w:r>
      <w:r>
        <w:rPr>
          <w:rFonts w:hint="eastAsia" w:ascii="宋体" w:hAnsi="宋体" w:cs="宋体"/>
          <w:sz w:val="24"/>
        </w:rPr>
        <w:fldChar w:fldCharType="end"/>
      </w:r>
    </w:p>
    <w:p>
      <w:pPr>
        <w:pStyle w:val="13"/>
        <w:tabs>
          <w:tab w:val="right" w:leader="dot" w:pos="9070"/>
        </w:tabs>
        <w:rPr>
          <w:rFonts w:hint="eastAsia" w:ascii="宋体" w:hAnsi="宋体" w:cs="宋体"/>
          <w:sz w:val="24"/>
        </w:rPr>
      </w:pPr>
      <w:r>
        <w:rPr>
          <w:rFonts w:hint="eastAsia" w:ascii="宋体" w:hAnsi="宋体" w:cs="宋体"/>
          <w:sz w:val="24"/>
          <w:lang w:val="sq-AL"/>
        </w:rPr>
        <w:t>1.4 改造目的</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_Toc2465 </w:instrText>
      </w:r>
      <w:r>
        <w:rPr>
          <w:rFonts w:hint="eastAsia" w:ascii="宋体" w:hAnsi="宋体" w:cs="宋体"/>
          <w:sz w:val="24"/>
        </w:rPr>
        <w:fldChar w:fldCharType="separate"/>
      </w:r>
      <w:r>
        <w:rPr>
          <w:rFonts w:ascii="宋体" w:hAnsi="宋体" w:cs="宋体"/>
          <w:sz w:val="24"/>
        </w:rPr>
        <w:t>3</w:t>
      </w:r>
      <w:r>
        <w:rPr>
          <w:rFonts w:hint="eastAsia" w:ascii="宋体" w:hAnsi="宋体" w:cs="宋体"/>
          <w:sz w:val="24"/>
        </w:rPr>
        <w:fldChar w:fldCharType="end"/>
      </w:r>
    </w:p>
    <w:p>
      <w:pPr>
        <w:pStyle w:val="12"/>
        <w:tabs>
          <w:tab w:val="right" w:leader="dot" w:pos="9070"/>
        </w:tabs>
        <w:rPr>
          <w:rFonts w:hint="eastAsia" w:ascii="宋体" w:hAnsi="宋体" w:cs="宋体"/>
          <w:sz w:val="24"/>
        </w:rPr>
      </w:pPr>
      <w:r>
        <w:rPr>
          <w:rFonts w:hint="eastAsia" w:ascii="宋体" w:hAnsi="宋体" w:cs="宋体"/>
          <w:sz w:val="24"/>
        </w:rPr>
        <w:t>2. 供货范围</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_Toc26686 </w:instrText>
      </w:r>
      <w:r>
        <w:rPr>
          <w:rFonts w:hint="eastAsia" w:ascii="宋体" w:hAnsi="宋体" w:cs="宋体"/>
          <w:sz w:val="24"/>
        </w:rPr>
        <w:fldChar w:fldCharType="separate"/>
      </w:r>
      <w:r>
        <w:rPr>
          <w:rFonts w:ascii="宋体" w:hAnsi="宋体" w:cs="宋体"/>
          <w:sz w:val="24"/>
        </w:rPr>
        <w:t>3</w:t>
      </w:r>
      <w:r>
        <w:rPr>
          <w:rFonts w:hint="eastAsia" w:ascii="宋体" w:hAnsi="宋体" w:cs="宋体"/>
          <w:sz w:val="24"/>
        </w:rPr>
        <w:fldChar w:fldCharType="end"/>
      </w:r>
    </w:p>
    <w:p>
      <w:pPr>
        <w:pStyle w:val="12"/>
        <w:tabs>
          <w:tab w:val="right" w:leader="dot" w:pos="9070"/>
        </w:tabs>
        <w:rPr>
          <w:rFonts w:hint="eastAsia" w:ascii="宋体" w:hAnsi="宋体" w:cs="宋体"/>
          <w:sz w:val="24"/>
        </w:rPr>
      </w:pPr>
      <w:r>
        <w:rPr>
          <w:rFonts w:hint="eastAsia" w:ascii="宋体" w:hAnsi="宋体" w:cs="宋体"/>
          <w:sz w:val="24"/>
        </w:rPr>
        <w:t>3. 详细供货范围及技术要求</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_Toc20814 </w:instrText>
      </w:r>
      <w:r>
        <w:rPr>
          <w:rFonts w:hint="eastAsia" w:ascii="宋体" w:hAnsi="宋体" w:cs="宋体"/>
          <w:sz w:val="24"/>
        </w:rPr>
        <w:fldChar w:fldCharType="separate"/>
      </w:r>
      <w:r>
        <w:rPr>
          <w:rFonts w:ascii="宋体" w:hAnsi="宋体" w:cs="宋体"/>
          <w:sz w:val="24"/>
        </w:rPr>
        <w:t>3</w:t>
      </w:r>
      <w:r>
        <w:rPr>
          <w:rFonts w:hint="eastAsia" w:ascii="宋体" w:hAnsi="宋体" w:cs="宋体"/>
          <w:sz w:val="24"/>
        </w:rPr>
        <w:fldChar w:fldCharType="end"/>
      </w:r>
    </w:p>
    <w:p>
      <w:pPr>
        <w:pStyle w:val="13"/>
        <w:tabs>
          <w:tab w:val="right" w:leader="dot" w:pos="9070"/>
        </w:tabs>
        <w:rPr>
          <w:rFonts w:hint="eastAsia" w:ascii="宋体" w:hAnsi="宋体" w:cs="宋体"/>
          <w:sz w:val="24"/>
        </w:rPr>
      </w:pPr>
      <w:r>
        <w:rPr>
          <w:rFonts w:hint="eastAsia" w:ascii="宋体" w:hAnsi="宋体" w:cs="宋体"/>
          <w:sz w:val="24"/>
        </w:rPr>
        <w:t>3.1 司机室外壳，含室内照明及内部装修</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_Toc2068 </w:instrText>
      </w:r>
      <w:r>
        <w:rPr>
          <w:rFonts w:hint="eastAsia" w:ascii="宋体" w:hAnsi="宋体" w:cs="宋体"/>
          <w:sz w:val="24"/>
        </w:rPr>
        <w:fldChar w:fldCharType="separate"/>
      </w:r>
      <w:r>
        <w:rPr>
          <w:rFonts w:ascii="宋体" w:hAnsi="宋体" w:cs="宋体"/>
          <w:sz w:val="24"/>
        </w:rPr>
        <w:t>3</w:t>
      </w:r>
      <w:r>
        <w:rPr>
          <w:rFonts w:hint="eastAsia" w:ascii="宋体" w:hAnsi="宋体" w:cs="宋体"/>
          <w:sz w:val="24"/>
        </w:rPr>
        <w:fldChar w:fldCharType="end"/>
      </w:r>
    </w:p>
    <w:p>
      <w:pPr>
        <w:pStyle w:val="13"/>
        <w:tabs>
          <w:tab w:val="right" w:leader="dot" w:pos="9070"/>
        </w:tabs>
        <w:rPr>
          <w:rFonts w:hint="eastAsia" w:ascii="宋体" w:hAnsi="宋体" w:cs="宋体"/>
          <w:sz w:val="24"/>
        </w:rPr>
      </w:pPr>
      <w:r>
        <w:rPr>
          <w:rFonts w:hint="eastAsia" w:ascii="宋体" w:hAnsi="宋体" w:cs="宋体"/>
          <w:sz w:val="24"/>
          <w:lang w:val="sq-AL"/>
        </w:rPr>
        <w:t>3.2 司机室内部设备</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_Toc19406 </w:instrText>
      </w:r>
      <w:r>
        <w:rPr>
          <w:rFonts w:hint="eastAsia" w:ascii="宋体" w:hAnsi="宋体" w:cs="宋体"/>
          <w:sz w:val="24"/>
        </w:rPr>
        <w:fldChar w:fldCharType="separate"/>
      </w:r>
      <w:r>
        <w:rPr>
          <w:rFonts w:ascii="宋体" w:hAnsi="宋体" w:cs="宋体"/>
          <w:sz w:val="24"/>
        </w:rPr>
        <w:t>3</w:t>
      </w:r>
      <w:r>
        <w:rPr>
          <w:rFonts w:hint="eastAsia" w:ascii="宋体" w:hAnsi="宋体" w:cs="宋体"/>
          <w:sz w:val="24"/>
        </w:rPr>
        <w:fldChar w:fldCharType="end"/>
      </w:r>
    </w:p>
    <w:p>
      <w:pPr>
        <w:pStyle w:val="13"/>
        <w:tabs>
          <w:tab w:val="right" w:leader="dot" w:pos="9070"/>
        </w:tabs>
        <w:rPr>
          <w:rFonts w:hint="eastAsia" w:ascii="宋体" w:hAnsi="宋体" w:cs="宋体"/>
          <w:sz w:val="24"/>
        </w:rPr>
      </w:pPr>
      <w:r>
        <w:rPr>
          <w:rFonts w:hint="eastAsia" w:ascii="宋体" w:hAnsi="宋体" w:cs="宋体"/>
          <w:sz w:val="24"/>
          <w:lang w:val="sq-AL"/>
        </w:rPr>
        <w:t>3.3</w:t>
      </w:r>
      <w:r>
        <w:rPr>
          <w:rFonts w:hint="eastAsia" w:ascii="宋体" w:hAnsi="宋体" w:cs="宋体"/>
          <w:sz w:val="24"/>
        </w:rPr>
        <w:t xml:space="preserve"> </w:t>
      </w:r>
      <w:r>
        <w:rPr>
          <w:rFonts w:hint="eastAsia" w:ascii="宋体" w:hAnsi="宋体" w:cs="宋体"/>
          <w:sz w:val="24"/>
          <w:lang w:val="sq-AL"/>
        </w:rPr>
        <w:t>司机室外部设备</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_Toc20142 </w:instrText>
      </w:r>
      <w:r>
        <w:rPr>
          <w:rFonts w:hint="eastAsia" w:ascii="宋体" w:hAnsi="宋体" w:cs="宋体"/>
          <w:sz w:val="24"/>
        </w:rPr>
        <w:fldChar w:fldCharType="separate"/>
      </w:r>
      <w:r>
        <w:rPr>
          <w:rFonts w:ascii="宋体" w:hAnsi="宋体" w:cs="宋体"/>
          <w:sz w:val="24"/>
        </w:rPr>
        <w:t>3</w:t>
      </w:r>
      <w:r>
        <w:rPr>
          <w:rFonts w:hint="eastAsia" w:ascii="宋体" w:hAnsi="宋体" w:cs="宋体"/>
          <w:sz w:val="24"/>
        </w:rPr>
        <w:fldChar w:fldCharType="end"/>
      </w:r>
    </w:p>
    <w:p>
      <w:pPr>
        <w:pStyle w:val="13"/>
        <w:tabs>
          <w:tab w:val="right" w:leader="dot" w:pos="9070"/>
        </w:tabs>
        <w:rPr>
          <w:rFonts w:hint="eastAsia" w:ascii="宋体" w:hAnsi="宋体" w:cs="宋体"/>
          <w:sz w:val="24"/>
        </w:rPr>
      </w:pPr>
      <w:r>
        <w:rPr>
          <w:rFonts w:hint="eastAsia" w:ascii="宋体" w:hAnsi="宋体" w:cs="宋体"/>
          <w:sz w:val="24"/>
        </w:rPr>
        <w:t>3.4 技术资料</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_Toc2392 </w:instrText>
      </w:r>
      <w:r>
        <w:rPr>
          <w:rFonts w:hint="eastAsia" w:ascii="宋体" w:hAnsi="宋体" w:cs="宋体"/>
          <w:sz w:val="24"/>
        </w:rPr>
        <w:fldChar w:fldCharType="separate"/>
      </w:r>
      <w:r>
        <w:rPr>
          <w:rFonts w:ascii="宋体" w:hAnsi="宋体" w:cs="宋体"/>
          <w:sz w:val="24"/>
        </w:rPr>
        <w:t>3</w:t>
      </w:r>
      <w:r>
        <w:rPr>
          <w:rFonts w:hint="eastAsia" w:ascii="宋体" w:hAnsi="宋体" w:cs="宋体"/>
          <w:sz w:val="24"/>
        </w:rPr>
        <w:fldChar w:fldCharType="end"/>
      </w:r>
    </w:p>
    <w:p>
      <w:pPr>
        <w:pStyle w:val="13"/>
        <w:tabs>
          <w:tab w:val="right" w:leader="dot" w:pos="9070"/>
        </w:tabs>
        <w:rPr>
          <w:rFonts w:hint="eastAsia" w:ascii="宋体" w:hAnsi="宋体" w:cs="宋体"/>
          <w:sz w:val="24"/>
        </w:rPr>
      </w:pPr>
      <w:r>
        <w:rPr>
          <w:rFonts w:hint="eastAsia" w:ascii="宋体" w:hAnsi="宋体" w:cs="宋体"/>
          <w:sz w:val="24"/>
        </w:rPr>
        <w:t>3.5 现场安装调试</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_Toc18220 </w:instrText>
      </w:r>
      <w:r>
        <w:rPr>
          <w:rFonts w:hint="eastAsia" w:ascii="宋体" w:hAnsi="宋体" w:cs="宋体"/>
          <w:sz w:val="24"/>
        </w:rPr>
        <w:fldChar w:fldCharType="separate"/>
      </w:r>
      <w:r>
        <w:rPr>
          <w:rFonts w:ascii="宋体" w:hAnsi="宋体" w:cs="宋体"/>
          <w:sz w:val="24"/>
        </w:rPr>
        <w:t>3</w:t>
      </w:r>
      <w:r>
        <w:rPr>
          <w:rFonts w:hint="eastAsia" w:ascii="宋体" w:hAnsi="宋体" w:cs="宋体"/>
          <w:sz w:val="24"/>
        </w:rPr>
        <w:fldChar w:fldCharType="end"/>
      </w:r>
    </w:p>
    <w:p>
      <w:pPr>
        <w:pStyle w:val="13"/>
        <w:tabs>
          <w:tab w:val="right" w:leader="dot" w:pos="9070"/>
        </w:tabs>
        <w:rPr>
          <w:rFonts w:hint="eastAsia" w:ascii="宋体" w:hAnsi="宋体" w:cs="宋体"/>
          <w:sz w:val="24"/>
        </w:rPr>
      </w:pPr>
      <w:r>
        <w:rPr>
          <w:rFonts w:hint="eastAsia" w:ascii="宋体" w:hAnsi="宋体" w:cs="宋体"/>
          <w:sz w:val="24"/>
        </w:rPr>
        <w:t>3.6 服务承诺</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_Toc23852 </w:instrText>
      </w:r>
      <w:r>
        <w:rPr>
          <w:rFonts w:hint="eastAsia" w:ascii="宋体" w:hAnsi="宋体" w:cs="宋体"/>
          <w:sz w:val="24"/>
        </w:rPr>
        <w:fldChar w:fldCharType="separate"/>
      </w:r>
      <w:r>
        <w:rPr>
          <w:rFonts w:ascii="宋体" w:hAnsi="宋体" w:cs="宋体"/>
          <w:sz w:val="24"/>
        </w:rPr>
        <w:t>3</w:t>
      </w:r>
      <w:r>
        <w:rPr>
          <w:rFonts w:hint="eastAsia" w:ascii="宋体" w:hAnsi="宋体" w:cs="宋体"/>
          <w:sz w:val="24"/>
        </w:rPr>
        <w:fldChar w:fldCharType="end"/>
      </w:r>
    </w:p>
    <w:p>
      <w:pPr>
        <w:pStyle w:val="13"/>
        <w:tabs>
          <w:tab w:val="right" w:leader="dot" w:pos="9070"/>
        </w:tabs>
        <w:rPr>
          <w:rFonts w:hint="eastAsia" w:ascii="宋体" w:hAnsi="宋体" w:cs="宋体"/>
          <w:sz w:val="24"/>
        </w:rPr>
      </w:pPr>
      <w:r>
        <w:rPr>
          <w:rFonts w:hint="eastAsia" w:ascii="宋体" w:hAnsi="宋体" w:cs="宋体"/>
          <w:sz w:val="24"/>
        </w:rPr>
        <w:t>3.7 其他</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_Toc8680 </w:instrText>
      </w:r>
      <w:r>
        <w:rPr>
          <w:rFonts w:hint="eastAsia" w:ascii="宋体" w:hAnsi="宋体" w:cs="宋体"/>
          <w:sz w:val="24"/>
        </w:rPr>
        <w:fldChar w:fldCharType="separate"/>
      </w:r>
      <w:r>
        <w:rPr>
          <w:rFonts w:ascii="宋体" w:hAnsi="宋体" w:cs="宋体"/>
          <w:sz w:val="24"/>
        </w:rPr>
        <w:t>3</w:t>
      </w:r>
      <w:r>
        <w:rPr>
          <w:rFonts w:hint="eastAsia" w:ascii="宋体" w:hAnsi="宋体" w:cs="宋体"/>
          <w:sz w:val="24"/>
        </w:rPr>
        <w:fldChar w:fldCharType="end"/>
      </w:r>
    </w:p>
    <w:p>
      <w:pPr>
        <w:pStyle w:val="12"/>
        <w:tabs>
          <w:tab w:val="right" w:leader="dot" w:pos="9070"/>
        </w:tabs>
        <w:rPr>
          <w:rFonts w:hint="eastAsia" w:ascii="宋体" w:hAnsi="宋体" w:cs="宋体"/>
          <w:sz w:val="24"/>
        </w:rPr>
      </w:pPr>
      <w:r>
        <w:rPr>
          <w:rFonts w:hint="eastAsia" w:ascii="宋体" w:hAnsi="宋体" w:cs="宋体"/>
          <w:sz w:val="24"/>
        </w:rPr>
        <w:t>4. 其它</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_Toc8172 </w:instrText>
      </w:r>
      <w:r>
        <w:rPr>
          <w:rFonts w:hint="eastAsia" w:ascii="宋体" w:hAnsi="宋体" w:cs="宋体"/>
          <w:sz w:val="24"/>
        </w:rPr>
        <w:fldChar w:fldCharType="separate"/>
      </w:r>
      <w:r>
        <w:rPr>
          <w:rFonts w:ascii="宋体" w:hAnsi="宋体" w:cs="宋体"/>
          <w:sz w:val="24"/>
        </w:rPr>
        <w:t>3</w:t>
      </w:r>
      <w:r>
        <w:rPr>
          <w:rFonts w:hint="eastAsia" w:ascii="宋体" w:hAnsi="宋体" w:cs="宋体"/>
          <w:sz w:val="24"/>
        </w:rPr>
        <w:fldChar w:fldCharType="end"/>
      </w:r>
    </w:p>
    <w:p>
      <w:pPr>
        <w:pStyle w:val="12"/>
        <w:tabs>
          <w:tab w:val="right" w:leader="dot" w:pos="9070"/>
        </w:tabs>
        <w:rPr>
          <w:rFonts w:hint="eastAsia" w:ascii="宋体" w:hAnsi="宋体" w:cs="宋体"/>
          <w:sz w:val="24"/>
        </w:rPr>
      </w:pPr>
      <w:r>
        <w:rPr>
          <w:rFonts w:hint="eastAsia" w:ascii="宋体" w:hAnsi="宋体" w:cs="宋体"/>
          <w:sz w:val="24"/>
        </w:rPr>
        <w:t>5. 工程改造范围及供货清单</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_Toc24552 </w:instrText>
      </w:r>
      <w:r>
        <w:rPr>
          <w:rFonts w:hint="eastAsia" w:ascii="宋体" w:hAnsi="宋体" w:cs="宋体"/>
          <w:sz w:val="24"/>
        </w:rPr>
        <w:fldChar w:fldCharType="separate"/>
      </w:r>
      <w:r>
        <w:rPr>
          <w:rFonts w:ascii="宋体" w:hAnsi="宋体" w:cs="宋体"/>
          <w:sz w:val="24"/>
        </w:rPr>
        <w:t>3</w:t>
      </w:r>
      <w:r>
        <w:rPr>
          <w:rFonts w:hint="eastAsia" w:ascii="宋体" w:hAnsi="宋体" w:cs="宋体"/>
          <w:sz w:val="24"/>
        </w:rPr>
        <w:fldChar w:fldCharType="end"/>
      </w:r>
    </w:p>
    <w:p>
      <w:pPr>
        <w:pStyle w:val="12"/>
        <w:tabs>
          <w:tab w:val="right" w:leader="dot" w:pos="9070"/>
        </w:tabs>
        <w:rPr>
          <w:rFonts w:hint="eastAsia" w:ascii="宋体" w:hAnsi="宋体" w:cs="宋体"/>
          <w:sz w:val="24"/>
        </w:rPr>
      </w:pPr>
      <w:r>
        <w:rPr>
          <w:rFonts w:hint="eastAsia" w:ascii="宋体" w:hAnsi="宋体" w:cs="宋体"/>
          <w:sz w:val="24"/>
        </w:rPr>
        <w:t>6. 施工方案及过程控制</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_Toc21963 </w:instrText>
      </w:r>
      <w:r>
        <w:rPr>
          <w:rFonts w:hint="eastAsia" w:ascii="宋体" w:hAnsi="宋体" w:cs="宋体"/>
          <w:sz w:val="24"/>
        </w:rPr>
        <w:fldChar w:fldCharType="separate"/>
      </w:r>
      <w:r>
        <w:rPr>
          <w:rFonts w:ascii="宋体" w:hAnsi="宋体" w:cs="宋体"/>
          <w:sz w:val="24"/>
        </w:rPr>
        <w:t>3</w:t>
      </w:r>
      <w:r>
        <w:rPr>
          <w:rFonts w:hint="eastAsia" w:ascii="宋体" w:hAnsi="宋体" w:cs="宋体"/>
          <w:sz w:val="24"/>
        </w:rPr>
        <w:fldChar w:fldCharType="end"/>
      </w:r>
    </w:p>
    <w:p>
      <w:pPr>
        <w:pStyle w:val="12"/>
        <w:tabs>
          <w:tab w:val="right" w:leader="dot" w:pos="9070"/>
        </w:tabs>
        <w:rPr>
          <w:rFonts w:hint="eastAsia" w:ascii="宋体" w:hAnsi="宋体" w:cs="宋体"/>
          <w:sz w:val="24"/>
        </w:rPr>
      </w:pPr>
      <w:r>
        <w:rPr>
          <w:rFonts w:hint="eastAsia" w:ascii="宋体" w:hAnsi="宋体" w:cs="宋体"/>
          <w:sz w:val="24"/>
        </w:rPr>
        <w:t>7. 项目验收</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_Toc26316 </w:instrText>
      </w:r>
      <w:r>
        <w:rPr>
          <w:rFonts w:hint="eastAsia" w:ascii="宋体" w:hAnsi="宋体" w:cs="宋体"/>
          <w:sz w:val="24"/>
        </w:rPr>
        <w:fldChar w:fldCharType="separate"/>
      </w:r>
      <w:r>
        <w:rPr>
          <w:rFonts w:ascii="宋体" w:hAnsi="宋体" w:cs="宋体"/>
          <w:sz w:val="24"/>
        </w:rPr>
        <w:t>3</w:t>
      </w:r>
      <w:r>
        <w:rPr>
          <w:rFonts w:hint="eastAsia" w:ascii="宋体" w:hAnsi="宋体" w:cs="宋体"/>
          <w:sz w:val="24"/>
        </w:rPr>
        <w:fldChar w:fldCharType="end"/>
      </w:r>
    </w:p>
    <w:p>
      <w:pPr>
        <w:pStyle w:val="12"/>
        <w:tabs>
          <w:tab w:val="right" w:leader="dot" w:pos="9070"/>
        </w:tabs>
        <w:rPr>
          <w:rFonts w:hint="eastAsia" w:ascii="宋体" w:hAnsi="宋体" w:cs="宋体"/>
          <w:sz w:val="24"/>
        </w:rPr>
      </w:pPr>
      <w:r>
        <w:rPr>
          <w:rFonts w:hint="eastAsia" w:ascii="宋体" w:hAnsi="宋体" w:cs="宋体"/>
          <w:sz w:val="24"/>
        </w:rPr>
        <w:t>8.质量保证及服务承诺</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_Toc24379 </w:instrText>
      </w:r>
      <w:r>
        <w:rPr>
          <w:rFonts w:hint="eastAsia" w:ascii="宋体" w:hAnsi="宋体" w:cs="宋体"/>
          <w:sz w:val="24"/>
        </w:rPr>
        <w:fldChar w:fldCharType="separate"/>
      </w:r>
      <w:r>
        <w:rPr>
          <w:rFonts w:ascii="宋体" w:hAnsi="宋体" w:cs="宋体"/>
          <w:sz w:val="24"/>
        </w:rPr>
        <w:t>3</w:t>
      </w:r>
      <w:r>
        <w:rPr>
          <w:rFonts w:hint="eastAsia" w:ascii="宋体" w:hAnsi="宋体" w:cs="宋体"/>
          <w:sz w:val="24"/>
        </w:rPr>
        <w:fldChar w:fldCharType="end"/>
      </w:r>
    </w:p>
    <w:p>
      <w:pPr>
        <w:rPr>
          <w:rFonts w:hint="eastAsia" w:eastAsia="黑体"/>
          <w:b/>
          <w:color w:val="000000"/>
          <w:spacing w:val="-6"/>
          <w:kern w:val="44"/>
          <w:sz w:val="24"/>
        </w:rPr>
      </w:pPr>
      <w:r>
        <w:rPr>
          <w:rFonts w:hint="eastAsia" w:ascii="宋体" w:hAnsi="宋体" w:cs="宋体"/>
          <w:color w:val="000000"/>
          <w:spacing w:val="-6"/>
          <w:sz w:val="24"/>
        </w:rPr>
        <w:fldChar w:fldCharType="end"/>
      </w:r>
    </w:p>
    <w:p>
      <w:pPr>
        <w:rPr>
          <w:rFonts w:hint="eastAsia" w:eastAsia="黑体"/>
          <w:b/>
          <w:color w:val="000000"/>
          <w:spacing w:val="-6"/>
          <w:kern w:val="44"/>
          <w:sz w:val="28"/>
          <w:szCs w:val="28"/>
        </w:rPr>
      </w:pPr>
    </w:p>
    <w:p>
      <w:pPr>
        <w:rPr>
          <w:rFonts w:hint="eastAsia" w:eastAsia="黑体"/>
          <w:b/>
          <w:color w:val="000000"/>
          <w:spacing w:val="-6"/>
          <w:kern w:val="44"/>
          <w:sz w:val="28"/>
          <w:szCs w:val="28"/>
        </w:rPr>
      </w:pPr>
    </w:p>
    <w:p>
      <w:pPr>
        <w:rPr>
          <w:rFonts w:hint="eastAsia" w:eastAsia="黑体"/>
          <w:b/>
          <w:color w:val="000000"/>
          <w:spacing w:val="-6"/>
          <w:kern w:val="44"/>
          <w:sz w:val="28"/>
          <w:szCs w:val="28"/>
        </w:rPr>
      </w:pPr>
    </w:p>
    <w:p>
      <w:pPr>
        <w:rPr>
          <w:rFonts w:hint="eastAsia" w:eastAsia="黑体"/>
          <w:b/>
          <w:color w:val="000000"/>
          <w:spacing w:val="-6"/>
          <w:kern w:val="44"/>
          <w:sz w:val="28"/>
          <w:szCs w:val="28"/>
        </w:rPr>
      </w:pPr>
    </w:p>
    <w:p>
      <w:pPr>
        <w:rPr>
          <w:rFonts w:hint="eastAsia" w:eastAsia="黑体"/>
          <w:b/>
          <w:color w:val="000000"/>
          <w:spacing w:val="-6"/>
          <w:kern w:val="44"/>
          <w:sz w:val="28"/>
          <w:szCs w:val="28"/>
        </w:rPr>
      </w:pPr>
    </w:p>
    <w:p>
      <w:pPr>
        <w:rPr>
          <w:rFonts w:hint="eastAsia" w:eastAsia="黑体"/>
          <w:b/>
          <w:color w:val="000000"/>
          <w:spacing w:val="-6"/>
          <w:kern w:val="44"/>
          <w:sz w:val="28"/>
          <w:szCs w:val="28"/>
        </w:rPr>
      </w:pPr>
    </w:p>
    <w:p>
      <w:pPr>
        <w:rPr>
          <w:rFonts w:hint="eastAsia" w:eastAsia="黑体"/>
          <w:b/>
          <w:color w:val="000000"/>
          <w:spacing w:val="-6"/>
          <w:kern w:val="44"/>
          <w:sz w:val="28"/>
          <w:szCs w:val="28"/>
        </w:rPr>
      </w:pPr>
    </w:p>
    <w:p>
      <w:pPr>
        <w:pStyle w:val="3"/>
        <w:keepNext/>
        <w:keepLines/>
        <w:pageBreakBefore w:val="0"/>
        <w:widowControl w:val="0"/>
        <w:numPr>
          <w:ilvl w:val="0"/>
          <w:numId w:val="0"/>
        </w:numPr>
        <w:kinsoku/>
        <w:wordWrap/>
        <w:overflowPunct/>
        <w:topLinePunct w:val="0"/>
        <w:autoSpaceDE/>
        <w:autoSpaceDN/>
        <w:bidi w:val="0"/>
        <w:adjustRightInd w:val="0"/>
        <w:snapToGrid w:val="0"/>
        <w:spacing w:before="0" w:after="260" w:line="240" w:lineRule="auto"/>
        <w:ind w:left="23" w:leftChars="0" w:right="0" w:rightChars="0" w:firstLine="0" w:firstLineChars="0"/>
        <w:jc w:val="both"/>
        <w:textAlignment w:val="auto"/>
        <w:outlineLvl w:val="1"/>
        <w:rPr>
          <w:rFonts w:hint="eastAsia"/>
          <w:sz w:val="28"/>
          <w:szCs w:val="28"/>
          <w:lang w:val="sq-AL"/>
        </w:rPr>
      </w:pPr>
      <w:bookmarkStart w:id="0" w:name="_Toc946"/>
      <w:r>
        <w:rPr>
          <w:rFonts w:hint="eastAsia"/>
          <w:sz w:val="28"/>
          <w:szCs w:val="28"/>
          <w:lang w:val="sq-AL"/>
        </w:rPr>
        <w:t>1. 改造说明及要求</w:t>
      </w:r>
      <w:bookmarkEnd w:id="0"/>
    </w:p>
    <w:p>
      <w:pPr>
        <w:pStyle w:val="3"/>
        <w:keepNext/>
        <w:keepLines/>
        <w:pageBreakBefore w:val="0"/>
        <w:widowControl w:val="0"/>
        <w:numPr>
          <w:ilvl w:val="0"/>
          <w:numId w:val="0"/>
        </w:numPr>
        <w:kinsoku/>
        <w:wordWrap/>
        <w:overflowPunct/>
        <w:topLinePunct w:val="0"/>
        <w:autoSpaceDE/>
        <w:autoSpaceDN/>
        <w:bidi w:val="0"/>
        <w:adjustRightInd w:val="0"/>
        <w:snapToGrid w:val="0"/>
        <w:spacing w:before="0" w:after="260" w:line="240" w:lineRule="auto"/>
        <w:ind w:left="23" w:leftChars="0" w:right="0" w:rightChars="0" w:firstLine="0" w:firstLineChars="0"/>
        <w:jc w:val="both"/>
        <w:textAlignment w:val="auto"/>
        <w:outlineLvl w:val="1"/>
        <w:rPr>
          <w:rFonts w:hint="eastAsia"/>
          <w:sz w:val="28"/>
          <w:szCs w:val="28"/>
          <w:lang w:val="sq-AL"/>
        </w:rPr>
      </w:pPr>
      <w:bookmarkStart w:id="1" w:name="_Toc24417"/>
      <w:r>
        <w:rPr>
          <w:rFonts w:hint="eastAsia"/>
          <w:sz w:val="28"/>
          <w:szCs w:val="28"/>
          <w:lang w:val="sq-AL"/>
        </w:rPr>
        <w:t>1.1 改造对象</w:t>
      </w:r>
      <w:bookmarkEnd w:id="1"/>
    </w:p>
    <w:p>
      <w:pPr>
        <w:spacing w:line="360" w:lineRule="auto"/>
        <w:ind w:firstLine="480" w:firstLineChars="200"/>
        <w:rPr>
          <w:rFonts w:hint="eastAsia" w:hAnsi="宋体"/>
          <w:sz w:val="24"/>
          <w:lang w:val="sq-AL"/>
        </w:rPr>
      </w:pPr>
      <w:r>
        <w:rPr>
          <w:rFonts w:hint="eastAsia" w:hAnsi="宋体"/>
          <w:sz w:val="24"/>
          <w:lang w:val="sq-AL"/>
        </w:rPr>
        <w:t>黄骅港二期装船机SL</w:t>
      </w:r>
      <w:r>
        <w:rPr>
          <w:rFonts w:hint="eastAsia" w:hAnsi="宋体"/>
          <w:sz w:val="24"/>
        </w:rPr>
        <w:t>4</w:t>
      </w:r>
      <w:r>
        <w:rPr>
          <w:rFonts w:hint="eastAsia" w:hAnsi="宋体"/>
          <w:sz w:val="24"/>
          <w:lang w:val="sq-AL"/>
        </w:rPr>
        <w:t>、SL</w:t>
      </w:r>
      <w:r>
        <w:rPr>
          <w:rFonts w:hint="eastAsia" w:hAnsi="宋体"/>
          <w:sz w:val="24"/>
        </w:rPr>
        <w:t>5</w:t>
      </w:r>
      <w:r>
        <w:rPr>
          <w:rFonts w:hint="eastAsia" w:hAnsi="宋体"/>
          <w:sz w:val="24"/>
          <w:lang w:val="sq-AL"/>
        </w:rPr>
        <w:t>、SL</w:t>
      </w:r>
      <w:r>
        <w:rPr>
          <w:rFonts w:hint="eastAsia" w:hAnsi="宋体"/>
          <w:sz w:val="24"/>
        </w:rPr>
        <w:t>6</w:t>
      </w:r>
      <w:r>
        <w:rPr>
          <w:rFonts w:hint="eastAsia" w:hAnsi="宋体"/>
          <w:sz w:val="24"/>
          <w:lang w:val="sq-AL"/>
        </w:rPr>
        <w:t>共</w:t>
      </w:r>
      <w:r>
        <w:rPr>
          <w:rFonts w:hint="eastAsia" w:hAnsi="宋体"/>
          <w:sz w:val="24"/>
          <w:lang w:val="en-US" w:eastAsia="zh-CN"/>
        </w:rPr>
        <w:t>3</w:t>
      </w:r>
      <w:r>
        <w:rPr>
          <w:rFonts w:hint="eastAsia" w:hAnsi="宋体"/>
          <w:sz w:val="24"/>
          <w:lang w:val="sq-AL"/>
        </w:rPr>
        <w:t>台单机司机室操控系统进行升级改造。</w:t>
      </w:r>
    </w:p>
    <w:p>
      <w:pPr>
        <w:pStyle w:val="3"/>
        <w:keepNext/>
        <w:keepLines/>
        <w:pageBreakBefore w:val="0"/>
        <w:widowControl w:val="0"/>
        <w:numPr>
          <w:ilvl w:val="0"/>
          <w:numId w:val="0"/>
        </w:numPr>
        <w:kinsoku/>
        <w:wordWrap/>
        <w:overflowPunct/>
        <w:topLinePunct w:val="0"/>
        <w:autoSpaceDE/>
        <w:autoSpaceDN/>
        <w:bidi w:val="0"/>
        <w:adjustRightInd w:val="0"/>
        <w:snapToGrid w:val="0"/>
        <w:spacing w:before="0" w:after="260" w:line="240" w:lineRule="auto"/>
        <w:ind w:left="23" w:leftChars="0" w:right="0" w:rightChars="0" w:firstLine="0" w:firstLineChars="0"/>
        <w:jc w:val="both"/>
        <w:textAlignment w:val="auto"/>
        <w:outlineLvl w:val="1"/>
        <w:rPr>
          <w:rFonts w:hint="eastAsia"/>
          <w:sz w:val="28"/>
          <w:szCs w:val="28"/>
          <w:lang w:val="sq-AL"/>
        </w:rPr>
      </w:pPr>
      <w:bookmarkStart w:id="2" w:name="_Toc18573"/>
      <w:r>
        <w:rPr>
          <w:rFonts w:hint="eastAsia"/>
          <w:sz w:val="28"/>
          <w:szCs w:val="28"/>
          <w:lang w:val="sq-AL"/>
        </w:rPr>
        <w:t>1.</w:t>
      </w:r>
      <w:r>
        <w:rPr>
          <w:rFonts w:hint="eastAsia"/>
          <w:sz w:val="28"/>
          <w:szCs w:val="28"/>
          <w:lang w:val="en-US" w:eastAsia="zh-CN"/>
        </w:rPr>
        <w:t>2</w:t>
      </w:r>
      <w:r>
        <w:rPr>
          <w:rFonts w:hint="eastAsia"/>
          <w:sz w:val="28"/>
          <w:szCs w:val="28"/>
          <w:lang w:val="sq-AL"/>
        </w:rPr>
        <w:t xml:space="preserve"> 改造要求（以下改造由投标方提供方案，招标方最终确定）</w:t>
      </w:r>
      <w:bookmarkEnd w:id="2"/>
    </w:p>
    <w:p>
      <w:pPr>
        <w:numPr>
          <w:ilvl w:val="0"/>
          <w:numId w:val="2"/>
        </w:numPr>
        <w:spacing w:line="360" w:lineRule="auto"/>
        <w:ind w:firstLine="480" w:firstLineChars="200"/>
        <w:rPr>
          <w:rFonts w:hAnsi="宋体"/>
          <w:sz w:val="24"/>
          <w:lang w:val="sq-AL"/>
        </w:rPr>
      </w:pPr>
      <w:r>
        <w:rPr>
          <w:rFonts w:hint="eastAsia" w:hAnsi="宋体"/>
          <w:sz w:val="24"/>
          <w:lang w:val="sq-AL"/>
        </w:rPr>
        <w:t>更换司机室。根据现有司机室内设备的布置需求，尽量加大单机</w:t>
      </w:r>
      <w:r>
        <w:rPr>
          <w:rFonts w:hint="eastAsia" w:hAnsi="宋体"/>
          <w:sz w:val="24"/>
          <w:lang w:val="sq-AL" w:eastAsia="zh-CN"/>
        </w:rPr>
        <w:t>司</w:t>
      </w:r>
      <w:r>
        <w:rPr>
          <w:rFonts w:hint="eastAsia" w:hAnsi="宋体"/>
          <w:sz w:val="24"/>
          <w:lang w:val="sq-AL"/>
        </w:rPr>
        <w:t>机室的外形尺寸（不改变单机主体钢结构），以满足室内各类设备摆放的需求，同时增加司机室的保暖隔热设施，合理设计窗户。改造后所有司机室布置要求基本一致。</w:t>
      </w:r>
    </w:p>
    <w:p>
      <w:pPr>
        <w:numPr>
          <w:ilvl w:val="0"/>
          <w:numId w:val="2"/>
        </w:numPr>
        <w:spacing w:line="360" w:lineRule="auto"/>
        <w:ind w:firstLine="480" w:firstLineChars="200"/>
        <w:rPr>
          <w:rFonts w:hint="eastAsia" w:hAnsi="宋体"/>
          <w:sz w:val="24"/>
          <w:lang w:val="sq-AL"/>
        </w:rPr>
      </w:pPr>
      <w:r>
        <w:rPr>
          <w:rFonts w:hint="eastAsia" w:hAnsi="宋体"/>
          <w:sz w:val="24"/>
          <w:lang w:val="sq-AL"/>
        </w:rPr>
        <w:t>装船机司机室的安装底座需要加固，</w:t>
      </w:r>
      <w:r>
        <w:rPr>
          <w:rFonts w:hint="eastAsia" w:hAnsi="宋体"/>
          <w:sz w:val="24"/>
          <w:lang w:val="sq-AL" w:eastAsia="zh-CN"/>
        </w:rPr>
        <w:t>强度除满足司机室重量外，需要承受突发风载以及行走紧急制动等多种载荷，</w:t>
      </w:r>
      <w:r>
        <w:rPr>
          <w:rFonts w:hint="eastAsia" w:hAnsi="宋体"/>
          <w:sz w:val="24"/>
          <w:lang w:val="sq-AL"/>
        </w:rPr>
        <w:t>并安装</w:t>
      </w:r>
      <w:r>
        <w:rPr>
          <w:rFonts w:hint="eastAsia" w:hAnsi="宋体"/>
          <w:sz w:val="24"/>
          <w:lang w:val="sq-AL" w:eastAsia="zh-CN"/>
        </w:rPr>
        <w:t>强度足够</w:t>
      </w:r>
      <w:r>
        <w:rPr>
          <w:rFonts w:hint="eastAsia" w:hAnsi="宋体"/>
          <w:sz w:val="24"/>
          <w:lang w:val="sq-AL"/>
        </w:rPr>
        <w:t>安全保护</w:t>
      </w:r>
      <w:r>
        <w:rPr>
          <w:rFonts w:hint="eastAsia" w:hAnsi="宋体"/>
          <w:sz w:val="24"/>
          <w:lang w:val="sq-AL" w:eastAsia="zh-CN"/>
        </w:rPr>
        <w:t>钢丝绳。由招标方提供司机室安装底座的强度和使用寿命核算，核算是否满足新的装船机司机室的使用需求，对不能满足司机室底座使用需求部分提供改造方案，由招标方审核通过，进行司机室底座加固改造。装船机司机室外形尺寸可以参照招标方提供图纸，外形如下图所示，具体尺寸，实地校核为准。司机室四周需要增加走廊以及栏杆，方便司机室玻璃擦拭以及雨刷维修等工作。</w:t>
      </w:r>
    </w:p>
    <w:p>
      <w:pPr>
        <w:numPr>
          <w:ilvl w:val="0"/>
          <w:numId w:val="0"/>
        </w:numPr>
        <w:spacing w:line="360" w:lineRule="auto"/>
        <w:rPr>
          <w:rFonts w:hint="eastAsia" w:hAnsi="宋体"/>
          <w:sz w:val="24"/>
          <w:lang w:val="sq-AL"/>
        </w:rPr>
      </w:pPr>
      <w:r>
        <w:rPr>
          <w:rFonts w:hint="eastAsia" w:hAnsi="宋体"/>
          <w:sz w:val="24"/>
          <w:lang w:val="sq-AL"/>
        </w:rPr>
        <w:drawing>
          <wp:inline distT="0" distB="0" distL="114300" distR="114300">
            <wp:extent cx="5173345" cy="1416685"/>
            <wp:effectExtent l="0" t="0" r="8255" b="12065"/>
            <wp:docPr id="2" name="图片 1" descr="装船机司机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装船机司机室"/>
                    <pic:cNvPicPr>
                      <a:picLocks noChangeAspect="1"/>
                    </pic:cNvPicPr>
                  </pic:nvPicPr>
                  <pic:blipFill>
                    <a:blip r:embed="rId6"/>
                    <a:srcRect l="1843" t="27068" b="25117"/>
                    <a:stretch>
                      <a:fillRect/>
                    </a:stretch>
                  </pic:blipFill>
                  <pic:spPr>
                    <a:xfrm>
                      <a:off x="0" y="0"/>
                      <a:ext cx="5173345" cy="1416685"/>
                    </a:xfrm>
                    <a:prstGeom prst="rect">
                      <a:avLst/>
                    </a:prstGeom>
                    <a:noFill/>
                    <a:ln w="9525">
                      <a:noFill/>
                    </a:ln>
                  </pic:spPr>
                </pic:pic>
              </a:graphicData>
            </a:graphic>
          </wp:inline>
        </w:drawing>
      </w:r>
    </w:p>
    <w:p>
      <w:pPr>
        <w:numPr>
          <w:ilvl w:val="0"/>
          <w:numId w:val="2"/>
        </w:numPr>
        <w:spacing w:line="360" w:lineRule="auto"/>
        <w:ind w:firstLine="480" w:firstLineChars="200"/>
        <w:rPr>
          <w:rFonts w:hint="eastAsia" w:hAnsi="宋体"/>
          <w:sz w:val="24"/>
          <w:lang w:val="sq-AL"/>
        </w:rPr>
      </w:pPr>
      <w:r>
        <w:rPr>
          <w:rFonts w:hint="eastAsia" w:hAnsi="宋体"/>
          <w:sz w:val="24"/>
          <w:lang w:val="sq-AL"/>
        </w:rPr>
        <w:t>更换</w:t>
      </w:r>
      <w:r>
        <w:rPr>
          <w:rFonts w:hint="eastAsia" w:hAnsi="宋体"/>
          <w:sz w:val="24"/>
          <w:lang w:val="en-US" w:eastAsia="zh-CN"/>
        </w:rPr>
        <w:t>3</w:t>
      </w:r>
      <w:r>
        <w:rPr>
          <w:rFonts w:hint="eastAsia" w:hAnsi="宋体"/>
          <w:sz w:val="24"/>
          <w:lang w:val="sq-AL"/>
        </w:rPr>
        <w:t>台单机司机室操作台，对操作台上的按钮进行优化设计，部分按钮及指示灯通过HMI完成操作、显示功能。减少原操作台半自动操作按钮、季节选择等不必要的按钮，并对剩余按钮及指示灯进行合理布局。具体减少按钮由</w:t>
      </w:r>
      <w:r>
        <w:rPr>
          <w:rFonts w:hint="eastAsia" w:hAnsi="宋体"/>
          <w:color w:val="000000"/>
          <w:sz w:val="24"/>
          <w:lang w:val="sq-AL" w:eastAsia="zh-CN"/>
        </w:rPr>
        <w:t>招标方</w:t>
      </w:r>
      <w:r>
        <w:rPr>
          <w:rFonts w:hint="eastAsia" w:hAnsi="宋体"/>
          <w:sz w:val="24"/>
          <w:lang w:val="sq-AL"/>
        </w:rPr>
        <w:t>决定。</w:t>
      </w:r>
    </w:p>
    <w:p>
      <w:pPr>
        <w:numPr>
          <w:ilvl w:val="0"/>
          <w:numId w:val="2"/>
        </w:numPr>
        <w:spacing w:line="360" w:lineRule="auto"/>
        <w:ind w:firstLine="480" w:firstLineChars="200"/>
        <w:rPr>
          <w:rFonts w:hint="eastAsia" w:hAnsi="宋体"/>
          <w:sz w:val="24"/>
          <w:lang w:val="sq-AL"/>
        </w:rPr>
      </w:pPr>
      <w:r>
        <w:rPr>
          <w:rFonts w:hint="eastAsia" w:hAnsi="宋体"/>
          <w:sz w:val="24"/>
          <w:lang w:val="sq-AL"/>
        </w:rPr>
        <w:t>重新设计调整现有监控操作触摸屏的位置、管控电脑位置及单机视频显示器的位置使之更加合理和紧凑。将车载台、调度电话等布置到操作台周围，并设计配套的电源插座，方便司机操作使用。</w:t>
      </w:r>
    </w:p>
    <w:p>
      <w:pPr>
        <w:numPr>
          <w:ilvl w:val="0"/>
          <w:numId w:val="2"/>
        </w:numPr>
        <w:spacing w:line="360" w:lineRule="auto"/>
        <w:ind w:firstLine="480" w:firstLineChars="200"/>
        <w:rPr>
          <w:rFonts w:hint="eastAsia" w:hAnsi="宋体"/>
          <w:sz w:val="24"/>
          <w:highlight w:val="none"/>
          <w:lang w:val="sq-AL"/>
        </w:rPr>
      </w:pPr>
      <w:r>
        <w:rPr>
          <w:rFonts w:hint="eastAsia" w:hAnsi="宋体"/>
          <w:sz w:val="24"/>
          <w:highlight w:val="none"/>
          <w:lang w:val="sq-AL"/>
        </w:rPr>
        <w:t>提供</w:t>
      </w:r>
      <w:r>
        <w:rPr>
          <w:rFonts w:hint="eastAsia" w:hAnsi="宋体"/>
          <w:sz w:val="24"/>
          <w:highlight w:val="none"/>
          <w:lang w:val="en-US" w:eastAsia="zh-CN"/>
        </w:rPr>
        <w:t>3</w:t>
      </w:r>
      <w:r>
        <w:rPr>
          <w:rFonts w:hint="eastAsia" w:hAnsi="宋体"/>
          <w:sz w:val="24"/>
          <w:highlight w:val="none"/>
          <w:lang w:val="sq-AL"/>
        </w:rPr>
        <w:t>台触摸屏（带双以太网接口、</w:t>
      </w:r>
      <w:r>
        <w:rPr>
          <w:rFonts w:hint="eastAsia" w:hAnsi="宋体"/>
          <w:sz w:val="24"/>
          <w:highlight w:val="none"/>
          <w:lang w:val="en-US" w:eastAsia="zh-CN"/>
        </w:rPr>
        <w:t>i7-6700HQ四核处理器</w:t>
      </w:r>
      <w:r>
        <w:rPr>
          <w:rFonts w:hint="eastAsia" w:hAnsi="宋体"/>
          <w:sz w:val="24"/>
          <w:highlight w:val="none"/>
          <w:lang w:val="sq-AL"/>
        </w:rPr>
        <w:t>、主频不低于</w:t>
      </w:r>
      <w:r>
        <w:rPr>
          <w:rFonts w:hint="eastAsia" w:hAnsi="宋体"/>
          <w:sz w:val="24"/>
          <w:highlight w:val="none"/>
        </w:rPr>
        <w:t>2.8GHZ、内存不低于4GB、固态硬盘容量不低于</w:t>
      </w:r>
      <w:r>
        <w:rPr>
          <w:rFonts w:hint="eastAsia" w:hAnsi="宋体"/>
          <w:sz w:val="24"/>
          <w:highlight w:val="none"/>
          <w:lang w:val="en-US" w:eastAsia="zh-CN"/>
        </w:rPr>
        <w:t>128</w:t>
      </w:r>
      <w:r>
        <w:rPr>
          <w:rFonts w:hint="eastAsia" w:hAnsi="宋体"/>
          <w:sz w:val="24"/>
          <w:highlight w:val="none"/>
        </w:rPr>
        <w:t>GB</w:t>
      </w:r>
      <w:r>
        <w:rPr>
          <w:rFonts w:hint="eastAsia" w:hAnsi="宋体"/>
          <w:sz w:val="24"/>
          <w:highlight w:val="none"/>
          <w:lang w:val="sq-AL"/>
        </w:rPr>
        <w:t>），用于部分操作与单机状态监测。每台单机电气室到司机室配置2根网线</w:t>
      </w:r>
      <w:r>
        <w:rPr>
          <w:rFonts w:hint="eastAsia" w:hAnsi="宋体"/>
          <w:sz w:val="24"/>
          <w:highlight w:val="none"/>
          <w:lang w:val="en-US" w:eastAsia="zh-CN"/>
        </w:rPr>
        <w:t>（网线为6类，100米时通过cat-6验证，性能不低于百通或者泛达产品，室内接头采用网络机架方式，到设备接口采用同品牌定制网络跳线方式），</w:t>
      </w:r>
      <w:r>
        <w:rPr>
          <w:rFonts w:hint="eastAsia" w:hAnsi="宋体"/>
          <w:sz w:val="24"/>
          <w:highlight w:val="none"/>
          <w:lang w:val="sq-AL"/>
        </w:rPr>
        <w:t>用于该电脑与电气室PLC连接。提供</w:t>
      </w:r>
      <w:r>
        <w:rPr>
          <w:rFonts w:hint="eastAsia" w:hAnsi="宋体"/>
          <w:sz w:val="24"/>
          <w:highlight w:val="none"/>
          <w:lang w:val="en-US" w:eastAsia="zh-CN"/>
        </w:rPr>
        <w:t>3</w:t>
      </w:r>
      <w:r>
        <w:rPr>
          <w:rFonts w:hint="eastAsia" w:hAnsi="宋体"/>
          <w:sz w:val="24"/>
          <w:highlight w:val="none"/>
          <w:lang w:val="sq-AL"/>
        </w:rPr>
        <w:t>套优质无线键盘鼠标，用于单机监控触摸电脑操作。</w:t>
      </w:r>
    </w:p>
    <w:p>
      <w:pPr>
        <w:numPr>
          <w:ilvl w:val="0"/>
          <w:numId w:val="2"/>
        </w:numPr>
        <w:spacing w:line="360" w:lineRule="auto"/>
        <w:ind w:firstLine="480" w:firstLineChars="200"/>
        <w:rPr>
          <w:rFonts w:hint="eastAsia" w:hAnsi="宋体"/>
          <w:sz w:val="24"/>
          <w:highlight w:val="none"/>
          <w:lang w:val="sq-AL"/>
        </w:rPr>
      </w:pPr>
      <w:r>
        <w:rPr>
          <w:rFonts w:hint="eastAsia" w:hAnsi="宋体"/>
          <w:sz w:val="24"/>
          <w:highlight w:val="none"/>
          <w:lang w:val="sq-AL"/>
        </w:rPr>
        <w:t>由于原有的司机室配电盘及控制箱内空气开关数量及容量不足，需要在计算所有载荷的基础上重新设计一个新的配电盘，增加里面的空气开关数量，进入司机室的所有电源在此配电盘进行分配，并预留适当的备用空气开关。</w:t>
      </w:r>
    </w:p>
    <w:p>
      <w:pPr>
        <w:numPr>
          <w:ilvl w:val="0"/>
          <w:numId w:val="2"/>
        </w:numPr>
        <w:spacing w:line="360" w:lineRule="auto"/>
        <w:ind w:firstLine="480" w:firstLineChars="200"/>
        <w:rPr>
          <w:rFonts w:hint="eastAsia" w:hAnsi="宋体"/>
          <w:sz w:val="24"/>
          <w:highlight w:val="none"/>
          <w:lang w:val="sq-AL"/>
        </w:rPr>
      </w:pPr>
      <w:r>
        <w:rPr>
          <w:rFonts w:hint="eastAsia" w:hAnsi="宋体"/>
          <w:sz w:val="24"/>
          <w:highlight w:val="none"/>
          <w:lang w:val="sq-AL" w:eastAsia="zh-CN"/>
        </w:rPr>
        <w:t>增加两台移动式编程器（处理器为第六代酷睿</w:t>
      </w:r>
      <w:r>
        <w:rPr>
          <w:rFonts w:hint="eastAsia" w:hAnsi="宋体"/>
          <w:sz w:val="24"/>
          <w:highlight w:val="none"/>
          <w:lang w:val="en-US" w:eastAsia="zh-CN"/>
        </w:rPr>
        <w:t>i7-6700HQ四核处理器，主频不低于2.3GHZ，内存不低于4GB,硬盘不低于1TB</w:t>
      </w:r>
      <w:r>
        <w:rPr>
          <w:rFonts w:hint="eastAsia" w:hAnsi="宋体"/>
          <w:sz w:val="24"/>
          <w:highlight w:val="none"/>
          <w:lang w:val="sq-AL" w:eastAsia="zh-CN"/>
        </w:rPr>
        <w:t>），用于招标方日常程序调试及故障处理使用。</w:t>
      </w:r>
    </w:p>
    <w:p>
      <w:pPr>
        <w:numPr>
          <w:ilvl w:val="0"/>
          <w:numId w:val="2"/>
        </w:numPr>
        <w:spacing w:line="360" w:lineRule="auto"/>
        <w:ind w:firstLine="480" w:firstLineChars="200"/>
        <w:rPr>
          <w:rFonts w:hint="eastAsia" w:hAnsi="宋体"/>
          <w:sz w:val="24"/>
          <w:highlight w:val="none"/>
          <w:lang w:val="sq-AL"/>
        </w:rPr>
      </w:pPr>
      <w:r>
        <w:rPr>
          <w:rFonts w:hint="eastAsia" w:hAnsi="宋体"/>
          <w:sz w:val="24"/>
          <w:highlight w:val="none"/>
          <w:lang w:val="sq-AL" w:eastAsia="zh-CN"/>
        </w:rPr>
        <w:t>对司机室内</w:t>
      </w:r>
      <w:r>
        <w:rPr>
          <w:rFonts w:hint="eastAsia" w:hAnsi="宋体"/>
          <w:sz w:val="24"/>
          <w:highlight w:val="none"/>
          <w:lang w:val="en-US" w:eastAsia="zh-CN"/>
        </w:rPr>
        <w:t>PLC模块进行更换，模块数量及种类不能少于原有种类及数量，PLC模块为1794系列。</w:t>
      </w:r>
    </w:p>
    <w:p>
      <w:pPr>
        <w:numPr>
          <w:ilvl w:val="0"/>
          <w:numId w:val="2"/>
        </w:numPr>
        <w:spacing w:line="360" w:lineRule="auto"/>
        <w:ind w:firstLine="480" w:firstLineChars="200"/>
        <w:rPr>
          <w:rFonts w:hint="eastAsia" w:hAnsi="宋体"/>
          <w:sz w:val="24"/>
          <w:highlight w:val="none"/>
          <w:lang w:val="sq-AL"/>
        </w:rPr>
      </w:pPr>
      <w:r>
        <w:rPr>
          <w:rFonts w:hint="eastAsia" w:hAnsi="宋体"/>
          <w:sz w:val="24"/>
          <w:highlight w:val="none"/>
          <w:lang w:val="en-US" w:eastAsia="zh-CN"/>
        </w:rPr>
        <w:t>为3台装船机司机室各配置1台空气净化器，</w:t>
      </w:r>
      <w:r>
        <w:rPr>
          <w:rFonts w:hint="eastAsia" w:ascii="宋体" w:hAnsi="宋体"/>
          <w:sz w:val="24"/>
          <w:lang w:eastAsia="zh-CN"/>
        </w:rPr>
        <w:t>颗粒物洁净空气量不低于</w:t>
      </w:r>
      <w:r>
        <w:rPr>
          <w:rFonts w:hint="eastAsia" w:ascii="宋体" w:hAnsi="宋体"/>
          <w:sz w:val="24"/>
          <w:lang w:val="en-US" w:eastAsia="zh-CN"/>
        </w:rPr>
        <w:t>300m</w:t>
      </w:r>
      <w:r>
        <w:rPr>
          <w:rFonts w:hint="eastAsia" w:ascii="宋体" w:hAnsi="宋体"/>
          <w:sz w:val="24"/>
          <w:vertAlign w:val="superscript"/>
          <w:lang w:val="en-US" w:eastAsia="zh-CN"/>
        </w:rPr>
        <w:t>3</w:t>
      </w:r>
      <w:r>
        <w:rPr>
          <w:rFonts w:hint="eastAsia" w:ascii="宋体" w:hAnsi="宋体"/>
          <w:sz w:val="24"/>
          <w:lang w:val="en-US" w:eastAsia="zh-CN"/>
        </w:rPr>
        <w:t>/h</w:t>
      </w:r>
      <w:r>
        <w:rPr>
          <w:rFonts w:hint="eastAsia" w:hAnsi="宋体"/>
          <w:sz w:val="24"/>
          <w:highlight w:val="none"/>
          <w:lang w:val="en-US" w:eastAsia="zh-CN"/>
        </w:rPr>
        <w:t>。</w:t>
      </w:r>
    </w:p>
    <w:p>
      <w:pPr>
        <w:pStyle w:val="3"/>
        <w:keepNext/>
        <w:keepLines/>
        <w:pageBreakBefore w:val="0"/>
        <w:widowControl w:val="0"/>
        <w:numPr>
          <w:ilvl w:val="0"/>
          <w:numId w:val="0"/>
        </w:numPr>
        <w:tabs>
          <w:tab w:val="left" w:pos="1103"/>
        </w:tabs>
        <w:kinsoku/>
        <w:wordWrap/>
        <w:overflowPunct/>
        <w:topLinePunct w:val="0"/>
        <w:autoSpaceDE/>
        <w:autoSpaceDN/>
        <w:bidi w:val="0"/>
        <w:adjustRightInd w:val="0"/>
        <w:snapToGrid w:val="0"/>
        <w:spacing w:before="0" w:after="260" w:line="240" w:lineRule="auto"/>
        <w:ind w:left="23" w:leftChars="0" w:right="0" w:rightChars="0" w:firstLine="0" w:firstLineChars="0"/>
        <w:jc w:val="both"/>
        <w:textAlignment w:val="auto"/>
        <w:outlineLvl w:val="1"/>
        <w:rPr>
          <w:rFonts w:hint="eastAsia"/>
          <w:sz w:val="28"/>
          <w:szCs w:val="28"/>
          <w:lang w:val="sq-AL"/>
        </w:rPr>
      </w:pPr>
      <w:bookmarkStart w:id="3" w:name="_Toc2465"/>
      <w:r>
        <w:rPr>
          <w:rFonts w:hint="eastAsia"/>
          <w:sz w:val="28"/>
          <w:szCs w:val="28"/>
          <w:lang w:val="sq-AL"/>
        </w:rPr>
        <w:t xml:space="preserve">1.4 </w:t>
      </w:r>
      <w:r>
        <w:rPr>
          <w:rFonts w:hint="eastAsia" w:ascii="宋体" w:hAnsi="宋体" w:eastAsia="宋体" w:cs="宋体"/>
          <w:sz w:val="28"/>
          <w:szCs w:val="28"/>
          <w:lang w:val="sq-AL"/>
        </w:rPr>
        <w:t>改造目的</w:t>
      </w:r>
      <w:bookmarkEnd w:id="3"/>
    </w:p>
    <w:p>
      <w:pPr>
        <w:spacing w:line="360" w:lineRule="auto"/>
        <w:ind w:firstLine="480" w:firstLineChars="200"/>
        <w:rPr>
          <w:rFonts w:hint="eastAsia" w:hAnsi="宋体"/>
          <w:sz w:val="24"/>
          <w:lang w:val="sq-AL"/>
        </w:rPr>
      </w:pPr>
      <w:r>
        <w:rPr>
          <w:rFonts w:hint="eastAsia" w:hAnsi="宋体"/>
          <w:sz w:val="24"/>
          <w:lang w:val="sq-AL"/>
        </w:rPr>
        <w:t>整体改造完成后，司机室除满足可靠性、安全性、操作功能外，将更整洁美观，同时增加了操作人员的舒适度。</w:t>
      </w:r>
    </w:p>
    <w:p>
      <w:pPr>
        <w:pStyle w:val="2"/>
        <w:numPr>
          <w:ilvl w:val="0"/>
          <w:numId w:val="0"/>
        </w:numPr>
        <w:tabs>
          <w:tab w:val="left" w:pos="1103"/>
        </w:tabs>
        <w:adjustRightInd w:val="0"/>
        <w:snapToGrid w:val="0"/>
        <w:spacing w:before="0" w:after="0" w:line="360" w:lineRule="auto"/>
        <w:ind w:left="23"/>
        <w:jc w:val="both"/>
        <w:rPr>
          <w:rFonts w:hint="eastAsia" w:ascii="宋体" w:hAnsi="宋体" w:eastAsia="宋体" w:cs="宋体"/>
          <w:sz w:val="28"/>
          <w:szCs w:val="28"/>
        </w:rPr>
      </w:pPr>
      <w:bookmarkStart w:id="4" w:name="_Toc26686"/>
      <w:r>
        <w:rPr>
          <w:rFonts w:hint="eastAsia"/>
          <w:sz w:val="28"/>
          <w:szCs w:val="28"/>
        </w:rPr>
        <w:t xml:space="preserve">2. </w:t>
      </w:r>
      <w:r>
        <w:rPr>
          <w:rFonts w:hint="eastAsia" w:ascii="宋体" w:hAnsi="宋体" w:eastAsia="宋体" w:cs="宋体"/>
          <w:sz w:val="28"/>
          <w:szCs w:val="28"/>
        </w:rPr>
        <w:t>供货范围</w:t>
      </w:r>
      <w:bookmarkEnd w:id="4"/>
    </w:p>
    <w:p>
      <w:pPr>
        <w:spacing w:beforeLines="0" w:afterLines="0"/>
        <w:ind w:firstLine="420" w:firstLineChars="200"/>
        <w:rPr>
          <w:rFonts w:hint="eastAsia" w:eastAsia="宋体"/>
          <w:lang w:eastAsia="zh-CN"/>
        </w:rPr>
      </w:pPr>
      <w:r>
        <w:rPr>
          <w:rFonts w:hint="eastAsia"/>
          <w:lang w:eastAsia="zh-CN"/>
        </w:rPr>
        <w:t>本项目涉及</w:t>
      </w:r>
      <w:r>
        <w:rPr>
          <w:rFonts w:hint="eastAsia"/>
          <w:lang w:val="en-US" w:eastAsia="zh-CN"/>
        </w:rPr>
        <w:t>SL456三台装船机的司机室及内部所有设备的更换，同时增加相应配套设施，且包括以下内容：</w:t>
      </w:r>
    </w:p>
    <w:p>
      <w:pPr>
        <w:spacing w:line="360" w:lineRule="auto"/>
        <w:ind w:left="420"/>
        <w:rPr>
          <w:rFonts w:hint="eastAsia" w:hAnsi="宋体"/>
          <w:sz w:val="24"/>
          <w:lang w:val="sq-AL"/>
        </w:rPr>
      </w:pPr>
      <w:r>
        <w:rPr>
          <w:rFonts w:hint="eastAsia" w:hAnsi="宋体"/>
          <w:sz w:val="24"/>
          <w:lang w:val="sq-AL"/>
        </w:rPr>
        <w:t>（</w:t>
      </w:r>
      <w:r>
        <w:rPr>
          <w:rFonts w:hint="eastAsia" w:hAnsi="宋体"/>
          <w:sz w:val="24"/>
        </w:rPr>
        <w:t>1</w:t>
      </w:r>
      <w:r>
        <w:rPr>
          <w:rFonts w:hint="eastAsia" w:hAnsi="宋体"/>
          <w:sz w:val="24"/>
          <w:lang w:val="sq-AL"/>
        </w:rPr>
        <w:t>）</w:t>
      </w:r>
      <w:r>
        <w:rPr>
          <w:rFonts w:hint="eastAsia" w:hAnsi="宋体"/>
          <w:sz w:val="24"/>
        </w:rPr>
        <w:t xml:space="preserve"> </w:t>
      </w:r>
      <w:r>
        <w:rPr>
          <w:rFonts w:hint="eastAsia" w:hAnsi="宋体"/>
          <w:sz w:val="24"/>
          <w:lang w:val="sq-AL"/>
        </w:rPr>
        <w:t>司机室及内部所有设备设施的拆装、运输。</w:t>
      </w:r>
    </w:p>
    <w:p>
      <w:pPr>
        <w:spacing w:line="360" w:lineRule="auto"/>
        <w:ind w:left="420"/>
        <w:rPr>
          <w:rFonts w:hint="eastAsia" w:hAnsi="宋体"/>
          <w:sz w:val="24"/>
          <w:lang w:val="sq-AL"/>
        </w:rPr>
      </w:pPr>
      <w:r>
        <w:rPr>
          <w:rFonts w:hint="eastAsia" w:hAnsi="宋体"/>
          <w:sz w:val="24"/>
          <w:lang w:val="sq-AL"/>
        </w:rPr>
        <w:t>（</w:t>
      </w:r>
      <w:r>
        <w:rPr>
          <w:rFonts w:hint="eastAsia" w:hAnsi="宋体"/>
          <w:sz w:val="24"/>
        </w:rPr>
        <w:t>2</w:t>
      </w:r>
      <w:r>
        <w:rPr>
          <w:rFonts w:hint="eastAsia" w:hAnsi="宋体"/>
          <w:sz w:val="24"/>
          <w:lang w:val="sq-AL"/>
        </w:rPr>
        <w:t>）</w:t>
      </w:r>
      <w:r>
        <w:rPr>
          <w:rFonts w:hint="eastAsia" w:hAnsi="宋体"/>
          <w:sz w:val="24"/>
        </w:rPr>
        <w:t xml:space="preserve"> </w:t>
      </w:r>
      <w:r>
        <w:rPr>
          <w:rFonts w:hint="eastAsia" w:hAnsi="宋体"/>
          <w:sz w:val="24"/>
          <w:lang w:val="sq-AL"/>
        </w:rPr>
        <w:t>合同内全部设备的设计、制造、运输、现场安装调试。</w:t>
      </w:r>
    </w:p>
    <w:p>
      <w:pPr>
        <w:spacing w:line="360" w:lineRule="auto"/>
        <w:ind w:left="420"/>
        <w:rPr>
          <w:rFonts w:hint="eastAsia" w:hAnsi="宋体"/>
          <w:sz w:val="24"/>
          <w:lang w:val="sq-AL"/>
        </w:rPr>
      </w:pPr>
      <w:r>
        <w:rPr>
          <w:rFonts w:hint="eastAsia" w:hAnsi="宋体"/>
          <w:sz w:val="24"/>
          <w:lang w:val="sq-AL"/>
        </w:rPr>
        <w:t>（</w:t>
      </w:r>
      <w:r>
        <w:rPr>
          <w:rFonts w:hint="eastAsia" w:hAnsi="宋体"/>
          <w:sz w:val="24"/>
        </w:rPr>
        <w:t>3</w:t>
      </w:r>
      <w:r>
        <w:rPr>
          <w:rFonts w:hint="eastAsia" w:hAnsi="宋体"/>
          <w:sz w:val="24"/>
          <w:lang w:val="sq-AL"/>
        </w:rPr>
        <w:t>）</w:t>
      </w:r>
      <w:r>
        <w:rPr>
          <w:rFonts w:hint="eastAsia" w:hAnsi="宋体"/>
          <w:sz w:val="24"/>
        </w:rPr>
        <w:t xml:space="preserve"> </w:t>
      </w:r>
      <w:r>
        <w:rPr>
          <w:rFonts w:hint="eastAsia" w:hAnsi="宋体"/>
          <w:sz w:val="24"/>
          <w:lang w:val="sq-AL"/>
        </w:rPr>
        <w:t>合同内全部设备的售后服务。</w:t>
      </w:r>
    </w:p>
    <w:p>
      <w:pPr>
        <w:spacing w:line="360" w:lineRule="auto"/>
        <w:rPr>
          <w:rFonts w:hint="eastAsia" w:hAnsi="宋体"/>
          <w:sz w:val="24"/>
          <w:lang w:val="en-US" w:eastAsia="zh-CN"/>
        </w:rPr>
      </w:pPr>
      <w:r>
        <w:rPr>
          <w:rFonts w:hint="eastAsia" w:hAnsi="宋体"/>
          <w:sz w:val="24"/>
          <w:lang w:val="sq-AL"/>
        </w:rPr>
        <w:t>（4） 司机室安装支架、吊环、底座的加固及设备，现场施工，技术方案提交</w:t>
      </w:r>
      <w:r>
        <w:rPr>
          <w:rFonts w:hint="eastAsia" w:hAnsi="宋体"/>
          <w:sz w:val="24"/>
          <w:lang w:val="sq-AL" w:eastAsia="zh-CN"/>
        </w:rPr>
        <w:t>招标方</w:t>
      </w:r>
      <w:r>
        <w:rPr>
          <w:rFonts w:hint="eastAsia" w:hAnsi="宋体"/>
          <w:sz w:val="24"/>
          <w:lang w:val="sq-AL"/>
        </w:rPr>
        <w:t>审批</w:t>
      </w:r>
      <w:bookmarkStart w:id="5" w:name="_Toc20814"/>
    </w:p>
    <w:p>
      <w:pPr>
        <w:pStyle w:val="2"/>
        <w:numPr>
          <w:ilvl w:val="0"/>
          <w:numId w:val="0"/>
        </w:numPr>
        <w:tabs>
          <w:tab w:val="left" w:pos="1103"/>
        </w:tabs>
        <w:adjustRightInd w:val="0"/>
        <w:snapToGrid w:val="0"/>
        <w:spacing w:before="0" w:after="0" w:line="360" w:lineRule="auto"/>
        <w:ind w:left="23"/>
        <w:jc w:val="both"/>
        <w:rPr>
          <w:rFonts w:hint="eastAsia"/>
          <w:sz w:val="28"/>
          <w:szCs w:val="28"/>
        </w:rPr>
      </w:pPr>
      <w:r>
        <w:rPr>
          <w:rFonts w:hint="eastAsia"/>
          <w:sz w:val="28"/>
          <w:szCs w:val="28"/>
        </w:rPr>
        <w:t>3. 详细供货范围及技术要求</w:t>
      </w:r>
      <w:bookmarkEnd w:id="5"/>
    </w:p>
    <w:p>
      <w:pPr>
        <w:pStyle w:val="2"/>
        <w:numPr>
          <w:ilvl w:val="0"/>
          <w:numId w:val="0"/>
        </w:numPr>
        <w:tabs>
          <w:tab w:val="left" w:pos="1103"/>
        </w:tabs>
        <w:adjustRightInd w:val="0"/>
        <w:snapToGrid w:val="0"/>
        <w:spacing w:before="0" w:after="0" w:line="360" w:lineRule="auto"/>
        <w:ind w:left="23"/>
        <w:jc w:val="both"/>
        <w:rPr>
          <w:rFonts w:hint="eastAsia"/>
          <w:sz w:val="28"/>
          <w:szCs w:val="28"/>
        </w:rPr>
      </w:pPr>
      <w:bookmarkStart w:id="6" w:name="_Toc2068"/>
      <w:r>
        <w:rPr>
          <w:rFonts w:hint="eastAsia"/>
          <w:sz w:val="28"/>
          <w:szCs w:val="28"/>
        </w:rPr>
        <w:t>3.1</w:t>
      </w:r>
      <w:bookmarkStart w:id="7" w:name="_Toc297630200"/>
      <w:bookmarkStart w:id="8" w:name="_Toc298059177"/>
      <w:bookmarkStart w:id="9" w:name="_Toc298059292"/>
      <w:bookmarkStart w:id="10" w:name="_Toc298059915"/>
      <w:bookmarkStart w:id="11" w:name="_Toc298074687"/>
      <w:bookmarkStart w:id="12" w:name="_Toc298167437"/>
      <w:bookmarkStart w:id="13" w:name="_Toc298575698"/>
      <w:bookmarkStart w:id="14" w:name="_Toc298683856"/>
      <w:bookmarkStart w:id="15" w:name="_Toc298408481"/>
      <w:bookmarkStart w:id="16" w:name="_Toc298161958"/>
      <w:bookmarkStart w:id="17" w:name="_Toc298408679"/>
      <w:r>
        <w:rPr>
          <w:rFonts w:hint="eastAsia"/>
          <w:sz w:val="28"/>
          <w:szCs w:val="28"/>
        </w:rPr>
        <w:t xml:space="preserve"> 司机室外壳</w:t>
      </w:r>
      <w:bookmarkEnd w:id="7"/>
      <w:bookmarkEnd w:id="8"/>
      <w:bookmarkEnd w:id="9"/>
      <w:bookmarkEnd w:id="10"/>
      <w:bookmarkEnd w:id="11"/>
      <w:bookmarkEnd w:id="12"/>
      <w:bookmarkEnd w:id="13"/>
      <w:bookmarkEnd w:id="14"/>
      <w:bookmarkEnd w:id="15"/>
      <w:bookmarkEnd w:id="16"/>
      <w:bookmarkEnd w:id="17"/>
      <w:r>
        <w:rPr>
          <w:rFonts w:hint="eastAsia"/>
          <w:sz w:val="28"/>
          <w:szCs w:val="28"/>
        </w:rPr>
        <w:t>，含室内照明及内部装修</w:t>
      </w:r>
      <w:bookmarkEnd w:id="6"/>
    </w:p>
    <w:p>
      <w:pPr>
        <w:pStyle w:val="7"/>
        <w:numPr>
          <w:ilvl w:val="0"/>
          <w:numId w:val="3"/>
        </w:numPr>
        <w:spacing w:line="480" w:lineRule="exact"/>
        <w:ind w:firstLine="504" w:firstLineChars="200"/>
        <w:rPr>
          <w:rFonts w:hint="eastAsia" w:hAnsi="宋体"/>
          <w:spacing w:val="6"/>
          <w:kern w:val="2"/>
          <w:sz w:val="24"/>
          <w:szCs w:val="24"/>
        </w:rPr>
      </w:pPr>
      <w:r>
        <w:rPr>
          <w:rFonts w:hint="eastAsia" w:hAnsi="宋体"/>
          <w:spacing w:val="6"/>
          <w:kern w:val="2"/>
          <w:sz w:val="24"/>
          <w:szCs w:val="24"/>
        </w:rPr>
        <w:t>司机室与单机钢结构连接牢固可靠，保证操作人员的安全。</w:t>
      </w:r>
    </w:p>
    <w:p>
      <w:pPr>
        <w:pStyle w:val="7"/>
        <w:numPr>
          <w:ilvl w:val="0"/>
          <w:numId w:val="3"/>
        </w:numPr>
        <w:spacing w:line="480" w:lineRule="exact"/>
        <w:ind w:firstLine="504" w:firstLineChars="200"/>
        <w:rPr>
          <w:rFonts w:hAnsi="宋体"/>
          <w:spacing w:val="6"/>
          <w:sz w:val="24"/>
        </w:rPr>
      </w:pPr>
      <w:r>
        <w:rPr>
          <w:rFonts w:hint="eastAsia" w:hAnsi="宋体"/>
          <w:spacing w:val="6"/>
          <w:kern w:val="2"/>
          <w:sz w:val="24"/>
          <w:szCs w:val="24"/>
        </w:rPr>
        <w:t>司机室采用人性化设计，符合人机工程学原理。</w:t>
      </w:r>
    </w:p>
    <w:p>
      <w:pPr>
        <w:pStyle w:val="7"/>
        <w:numPr>
          <w:ilvl w:val="0"/>
          <w:numId w:val="3"/>
        </w:numPr>
        <w:spacing w:line="480" w:lineRule="exact"/>
        <w:ind w:firstLine="504" w:firstLineChars="200"/>
        <w:rPr>
          <w:rFonts w:hint="eastAsia" w:hAnsi="宋体" w:cs="Arial"/>
          <w:spacing w:val="6"/>
          <w:sz w:val="24"/>
          <w:lang w:val="sq-AL"/>
        </w:rPr>
      </w:pPr>
      <w:r>
        <w:rPr>
          <w:rFonts w:hint="eastAsia" w:hAnsi="宋体" w:cs="Arial"/>
          <w:spacing w:val="6"/>
          <w:sz w:val="24"/>
          <w:lang w:val="sq-AL"/>
        </w:rPr>
        <w:t>司机室为不锈钢焊接结构，不锈钢板厚度不低于4.0</w:t>
      </w:r>
      <w:r>
        <w:rPr>
          <w:rFonts w:hAnsi="宋体" w:cs="Arial"/>
          <w:spacing w:val="6"/>
          <w:sz w:val="24"/>
          <w:lang w:val="sq-AL"/>
        </w:rPr>
        <w:t>mm</w:t>
      </w:r>
      <w:r>
        <w:rPr>
          <w:rFonts w:hint="eastAsia" w:hAnsi="宋体" w:cs="Arial"/>
          <w:spacing w:val="6"/>
          <w:sz w:val="24"/>
          <w:lang w:val="sq-AL"/>
        </w:rPr>
        <w:t>。司机室门采用不锈钢平开式。</w:t>
      </w:r>
      <w:r>
        <w:rPr>
          <w:rFonts w:hint="eastAsia" w:hAnsi="宋体"/>
          <w:spacing w:val="6"/>
          <w:sz w:val="24"/>
        </w:rPr>
        <w:t>门采用不锈钢材质，门和门轴等相关附件材料采用不锈钢</w:t>
      </w:r>
      <w:r>
        <w:rPr>
          <w:rFonts w:hint="eastAsia" w:hAnsi="宋体" w:cs="Arial"/>
          <w:spacing w:val="6"/>
          <w:sz w:val="24"/>
          <w:lang w:val="en-US" w:eastAsia="zh-CN"/>
        </w:rPr>
        <w:t>316L</w:t>
      </w:r>
      <w:r>
        <w:rPr>
          <w:rFonts w:hint="eastAsia" w:hAnsi="宋体"/>
          <w:spacing w:val="6"/>
          <w:sz w:val="24"/>
        </w:rPr>
        <w:t>。附设简单、可靠、耐用的门锁、关门器、门止挡器。门口上方安装不锈钢挡雨器。</w:t>
      </w:r>
      <w:r>
        <w:rPr>
          <w:rFonts w:hint="eastAsia" w:hAnsi="宋体" w:cs="Arial"/>
          <w:spacing w:val="6"/>
          <w:sz w:val="24"/>
          <w:lang w:val="sq-AL"/>
        </w:rPr>
        <w:t>门必须做好密封，</w:t>
      </w:r>
      <w:r>
        <w:rPr>
          <w:rFonts w:hint="eastAsia" w:hAnsi="宋体" w:cs="Arial"/>
          <w:spacing w:val="6"/>
          <w:sz w:val="24"/>
          <w:lang w:val="sq-AL" w:eastAsia="zh-CN"/>
        </w:rPr>
        <w:t>要求采用双唇密封，</w:t>
      </w:r>
      <w:r>
        <w:rPr>
          <w:rFonts w:hint="eastAsia" w:hAnsi="宋体" w:cs="Arial"/>
          <w:spacing w:val="6"/>
          <w:sz w:val="24"/>
          <w:lang w:val="sq-AL"/>
        </w:rPr>
        <w:t>防止雨水进入以及冬天漏风。</w:t>
      </w:r>
    </w:p>
    <w:p>
      <w:pPr>
        <w:pStyle w:val="7"/>
        <w:numPr>
          <w:ilvl w:val="0"/>
          <w:numId w:val="3"/>
        </w:numPr>
        <w:spacing w:line="480" w:lineRule="exact"/>
        <w:ind w:firstLine="504" w:firstLineChars="200"/>
        <w:rPr>
          <w:rFonts w:hAnsi="宋体" w:cs="Arial"/>
          <w:spacing w:val="6"/>
          <w:sz w:val="24"/>
          <w:lang w:val="sq-AL"/>
        </w:rPr>
      </w:pPr>
      <w:r>
        <w:rPr>
          <w:rFonts w:hint="eastAsia" w:hAnsi="宋体" w:cs="Arial"/>
          <w:spacing w:val="6"/>
          <w:sz w:val="24"/>
          <w:lang w:val="sq-AL"/>
        </w:rPr>
        <w:t>司机室地面采暖采用碳纤维发热板</w:t>
      </w:r>
      <w:r>
        <w:rPr>
          <w:rFonts w:hint="eastAsia" w:hAnsi="宋体" w:cs="Arial"/>
          <w:spacing w:val="6"/>
          <w:sz w:val="24"/>
          <w:lang w:val="sq-AL" w:eastAsia="zh-CN"/>
        </w:rPr>
        <w:t>，要求碳纤维发热板具有温度可调功能，电热转换率在</w:t>
      </w:r>
      <w:r>
        <w:rPr>
          <w:rFonts w:hint="eastAsia" w:hAnsi="宋体" w:cs="Arial"/>
          <w:spacing w:val="6"/>
          <w:sz w:val="24"/>
          <w:lang w:val="en-US" w:eastAsia="zh-CN"/>
        </w:rPr>
        <w:t>98%以上。具有很好的</w:t>
      </w:r>
      <w:r>
        <w:rPr>
          <w:rFonts w:hint="eastAsia" w:hAnsi="宋体" w:cs="Arial"/>
          <w:spacing w:val="6"/>
          <w:sz w:val="24"/>
          <w:lang w:val="sq-AL" w:eastAsia="zh-CN"/>
        </w:rPr>
        <w:t>安全、环保、节能性，碳纤维热线耐热性在</w:t>
      </w:r>
      <w:r>
        <w:rPr>
          <w:rFonts w:hint="eastAsia" w:hAnsi="宋体" w:cs="Arial"/>
          <w:spacing w:val="6"/>
          <w:sz w:val="24"/>
          <w:lang w:val="en-US" w:eastAsia="zh-CN"/>
        </w:rPr>
        <w:t>155℃以上，与碳纤维热线接触的耐高温膜应具有很高的耐燃性能，至少可耐200度高温</w:t>
      </w:r>
      <w:r>
        <w:rPr>
          <w:rFonts w:hint="eastAsia" w:hAnsi="宋体" w:cs="Arial"/>
          <w:spacing w:val="6"/>
          <w:sz w:val="24"/>
          <w:lang w:val="sq-AL"/>
        </w:rPr>
        <w:t>。</w:t>
      </w:r>
    </w:p>
    <w:p>
      <w:pPr>
        <w:pStyle w:val="7"/>
        <w:numPr>
          <w:ilvl w:val="0"/>
          <w:numId w:val="3"/>
        </w:numPr>
        <w:spacing w:line="480" w:lineRule="exact"/>
        <w:ind w:firstLine="504" w:firstLineChars="200"/>
        <w:rPr>
          <w:rFonts w:hint="eastAsia" w:hAnsi="宋体" w:cs="Arial"/>
          <w:spacing w:val="6"/>
          <w:sz w:val="24"/>
          <w:lang w:val="sq-AL"/>
        </w:rPr>
      </w:pPr>
      <w:r>
        <w:rPr>
          <w:rFonts w:hint="eastAsia" w:hAnsi="宋体" w:cs="Arial"/>
          <w:spacing w:val="6"/>
          <w:sz w:val="24"/>
          <w:lang w:val="sq-AL"/>
        </w:rPr>
        <w:t>司机室应有足够的空间，室内净空高度不得小于</w:t>
      </w:r>
      <w:r>
        <w:rPr>
          <w:rFonts w:hAnsi="宋体" w:cs="Arial"/>
          <w:spacing w:val="6"/>
          <w:sz w:val="24"/>
          <w:lang w:val="sq-AL"/>
        </w:rPr>
        <w:t>2.2m</w:t>
      </w:r>
      <w:r>
        <w:rPr>
          <w:rFonts w:hint="eastAsia" w:hAnsi="宋体" w:cs="Arial"/>
          <w:spacing w:val="6"/>
          <w:sz w:val="24"/>
          <w:lang w:val="sq-AL"/>
        </w:rPr>
        <w:t>，司机室的大小应按室内的控制器、操作椅和出入门确定，确保在运行和检修时工作人员的人身安全。</w:t>
      </w:r>
    </w:p>
    <w:p>
      <w:pPr>
        <w:pStyle w:val="7"/>
        <w:numPr>
          <w:ilvl w:val="0"/>
          <w:numId w:val="3"/>
        </w:numPr>
        <w:spacing w:line="480" w:lineRule="exact"/>
        <w:ind w:firstLine="504" w:firstLineChars="200"/>
        <w:rPr>
          <w:rFonts w:hint="eastAsia" w:hAnsi="宋体" w:cs="Arial"/>
          <w:spacing w:val="6"/>
          <w:sz w:val="24"/>
          <w:lang w:val="sq-AL"/>
        </w:rPr>
      </w:pPr>
      <w:r>
        <w:rPr>
          <w:rFonts w:hint="eastAsia" w:hAnsi="宋体" w:cs="Arial"/>
          <w:spacing w:val="6"/>
          <w:sz w:val="24"/>
          <w:lang w:val="sq-AL"/>
        </w:rPr>
        <w:t>当设备处于工作位置时操作人员通过窗户观察工作区域时视野应开阔、清楚。</w:t>
      </w:r>
      <w:r>
        <w:rPr>
          <w:rFonts w:hint="eastAsia" w:hAnsi="宋体"/>
          <w:spacing w:val="6"/>
          <w:sz w:val="24"/>
        </w:rPr>
        <w:t>窗玻璃采用双层中空钢化平面玻璃，玻璃形状规则，便于制作和更换。密封良好，不进水汽影响视线，不漏水、漏风。</w:t>
      </w:r>
      <w:r>
        <w:rPr>
          <w:rFonts w:hint="eastAsia" w:hAnsi="宋体" w:cs="Arial"/>
          <w:spacing w:val="6"/>
          <w:sz w:val="24"/>
          <w:lang w:val="sq-AL"/>
        </w:rPr>
        <w:t>窗户玻璃贴汽车玻璃膜。</w:t>
      </w:r>
    </w:p>
    <w:p>
      <w:pPr>
        <w:pStyle w:val="7"/>
        <w:numPr>
          <w:ilvl w:val="0"/>
          <w:numId w:val="3"/>
        </w:numPr>
        <w:spacing w:line="480" w:lineRule="exact"/>
        <w:ind w:firstLine="504" w:firstLineChars="200"/>
        <w:rPr>
          <w:rFonts w:hAnsi="宋体" w:cs="Arial"/>
          <w:spacing w:val="6"/>
          <w:sz w:val="24"/>
          <w:lang w:val="sq-AL"/>
        </w:rPr>
      </w:pPr>
      <w:r>
        <w:rPr>
          <w:rFonts w:hint="eastAsia" w:hAnsi="宋体"/>
          <w:spacing w:val="6"/>
          <w:sz w:val="24"/>
        </w:rPr>
        <w:t>玻璃上带自动清洗功能的雨刷器。</w:t>
      </w:r>
      <w:r>
        <w:rPr>
          <w:rFonts w:hint="eastAsia" w:hAnsi="宋体" w:cs="Arial"/>
          <w:spacing w:val="6"/>
          <w:sz w:val="24"/>
          <w:lang w:val="sq-AL"/>
        </w:rPr>
        <w:t>优化安装位置，使其便于维修。</w:t>
      </w:r>
    </w:p>
    <w:p>
      <w:pPr>
        <w:pStyle w:val="7"/>
        <w:numPr>
          <w:ilvl w:val="0"/>
          <w:numId w:val="3"/>
        </w:numPr>
        <w:spacing w:line="480" w:lineRule="exact"/>
        <w:ind w:firstLine="504" w:firstLineChars="200"/>
        <w:rPr>
          <w:rFonts w:hint="eastAsia" w:hAnsi="宋体"/>
          <w:sz w:val="24"/>
          <w:lang w:val="sq-AL"/>
        </w:rPr>
      </w:pPr>
      <w:r>
        <w:rPr>
          <w:rFonts w:hint="eastAsia" w:hAnsi="宋体"/>
          <w:spacing w:val="6"/>
          <w:sz w:val="24"/>
        </w:rPr>
        <w:t>带有可拆卸窗帘。</w:t>
      </w:r>
      <w:r>
        <w:rPr>
          <w:rFonts w:hint="eastAsia" w:hAnsi="宋体" w:cs="Arial"/>
          <w:spacing w:val="6"/>
          <w:sz w:val="24"/>
          <w:lang w:val="sq-AL"/>
        </w:rPr>
        <w:t>窗帘采用加厚全遮光防水卷帘，管子不易折，金属配件。合理设计其形状，使其完全遮挡玻璃。</w:t>
      </w:r>
    </w:p>
    <w:p>
      <w:pPr>
        <w:pStyle w:val="7"/>
        <w:numPr>
          <w:ilvl w:val="0"/>
          <w:numId w:val="3"/>
        </w:numPr>
        <w:spacing w:line="480" w:lineRule="exact"/>
        <w:ind w:firstLine="504" w:firstLineChars="200"/>
        <w:rPr>
          <w:rFonts w:hAnsi="宋体"/>
          <w:sz w:val="24"/>
          <w:lang w:val="sq-AL"/>
        </w:rPr>
      </w:pPr>
      <w:r>
        <w:rPr>
          <w:rFonts w:hint="eastAsia" w:hAnsi="宋体"/>
          <w:spacing w:val="6"/>
          <w:sz w:val="24"/>
          <w:lang w:val="sq-AL"/>
        </w:rPr>
        <w:t>司机室</w:t>
      </w:r>
      <w:r>
        <w:rPr>
          <w:rFonts w:hint="eastAsia" w:hAnsi="宋体"/>
          <w:spacing w:val="6"/>
          <w:sz w:val="24"/>
        </w:rPr>
        <w:t>装饰、密封采用阻燃、绝缘、环保材料，其内墙及天花板应隔热，并防止结露。屋顶、侧壁和底座应采用效果良好的防水处理。结构应坚固美观，内部应涂以协调的颜色，</w:t>
      </w:r>
      <w:r>
        <w:rPr>
          <w:rFonts w:hint="eastAsia" w:hAnsi="宋体"/>
          <w:spacing w:val="6"/>
          <w:sz w:val="24"/>
          <w:highlight w:val="none"/>
        </w:rPr>
        <w:t>地板应为双层结构，下层地板除维修预留部分外，与下层钢结构有效固定。上层地板应为活动实木地板，厚度不低于8mm（如加碳纤维是否有特殊要求）</w:t>
      </w:r>
      <w:r>
        <w:rPr>
          <w:rFonts w:hint="eastAsia" w:hAnsi="宋体"/>
          <w:spacing w:val="6"/>
          <w:sz w:val="24"/>
        </w:rPr>
        <w:t>（按照国标</w:t>
      </w:r>
      <w:r>
        <w:rPr>
          <w:rFonts w:hAnsi="宋体"/>
          <w:spacing w:val="6"/>
          <w:sz w:val="24"/>
        </w:rPr>
        <w:t>GB/T15036.1～15036.2—2009《实木地板》</w:t>
      </w:r>
      <w:r>
        <w:rPr>
          <w:rFonts w:hint="eastAsia" w:hAnsi="宋体"/>
          <w:spacing w:val="6"/>
          <w:sz w:val="24"/>
        </w:rPr>
        <w:t>执行）。遇少许水不会产生变形，开裂、褪色等现象。</w:t>
      </w:r>
    </w:p>
    <w:p>
      <w:pPr>
        <w:pStyle w:val="7"/>
        <w:numPr>
          <w:ilvl w:val="0"/>
          <w:numId w:val="3"/>
        </w:numPr>
        <w:spacing w:line="480" w:lineRule="exact"/>
        <w:ind w:firstLine="504" w:firstLineChars="200"/>
        <w:rPr>
          <w:rFonts w:hAnsi="宋体"/>
          <w:sz w:val="24"/>
          <w:lang w:val="sq-AL"/>
        </w:rPr>
      </w:pPr>
      <w:r>
        <w:rPr>
          <w:rFonts w:hint="eastAsia" w:hAnsi="宋体" w:cs="Arial"/>
          <w:spacing w:val="6"/>
          <w:sz w:val="24"/>
          <w:lang w:val="sq-AL"/>
        </w:rPr>
        <w:t>司机室提供两个照明灯，前面的为黄色调光灯，操作台控制。后面为白光灯，采用飞利浦等知名品牌32W以上吸顶灯。</w:t>
      </w:r>
    </w:p>
    <w:p>
      <w:pPr>
        <w:pStyle w:val="3"/>
        <w:keepNext/>
        <w:keepLines/>
        <w:pageBreakBefore w:val="0"/>
        <w:widowControl w:val="0"/>
        <w:numPr>
          <w:ilvl w:val="0"/>
          <w:numId w:val="0"/>
        </w:numPr>
        <w:tabs>
          <w:tab w:val="left" w:pos="1103"/>
        </w:tabs>
        <w:kinsoku/>
        <w:wordWrap/>
        <w:overflowPunct/>
        <w:topLinePunct w:val="0"/>
        <w:autoSpaceDE/>
        <w:autoSpaceDN/>
        <w:bidi w:val="0"/>
        <w:adjustRightInd w:val="0"/>
        <w:snapToGrid w:val="0"/>
        <w:spacing w:before="0" w:after="260" w:line="240" w:lineRule="auto"/>
        <w:ind w:left="23" w:leftChars="0" w:right="0" w:rightChars="0" w:firstLine="0" w:firstLineChars="0"/>
        <w:jc w:val="both"/>
        <w:textAlignment w:val="auto"/>
        <w:outlineLvl w:val="1"/>
        <w:rPr>
          <w:rFonts w:hint="eastAsia"/>
          <w:sz w:val="28"/>
          <w:szCs w:val="28"/>
          <w:lang w:val="sq-AL"/>
        </w:rPr>
      </w:pPr>
      <w:bookmarkStart w:id="18" w:name="_Toc19406"/>
      <w:r>
        <w:rPr>
          <w:rFonts w:hint="eastAsia"/>
          <w:sz w:val="28"/>
          <w:szCs w:val="28"/>
          <w:lang w:val="sq-AL"/>
        </w:rPr>
        <w:t xml:space="preserve">3.2 </w:t>
      </w:r>
      <w:r>
        <w:rPr>
          <w:rFonts w:hint="eastAsia" w:ascii="宋体" w:hAnsi="宋体" w:eastAsia="宋体" w:cs="宋体"/>
          <w:sz w:val="28"/>
          <w:szCs w:val="28"/>
          <w:lang w:val="sq-AL"/>
        </w:rPr>
        <w:t>司机室内部设备</w:t>
      </w:r>
      <w:bookmarkEnd w:id="18"/>
    </w:p>
    <w:p>
      <w:pPr>
        <w:pStyle w:val="39"/>
        <w:numPr>
          <w:ilvl w:val="0"/>
          <w:numId w:val="4"/>
        </w:numPr>
        <w:autoSpaceDE w:val="0"/>
        <w:autoSpaceDN w:val="0"/>
        <w:adjustRightInd w:val="0"/>
        <w:spacing w:line="480" w:lineRule="exact"/>
        <w:ind w:firstLine="504"/>
        <w:rPr>
          <w:rFonts w:ascii="宋体" w:hAnsi="宋体" w:cs="Arial"/>
          <w:spacing w:val="6"/>
          <w:kern w:val="0"/>
          <w:sz w:val="24"/>
          <w:lang w:val="sq-AL"/>
        </w:rPr>
      </w:pPr>
      <w:r>
        <w:rPr>
          <w:rFonts w:hint="eastAsia" w:ascii="宋体" w:hAnsi="宋体" w:cs="Arial"/>
          <w:spacing w:val="6"/>
          <w:kern w:val="0"/>
          <w:sz w:val="24"/>
          <w:lang w:val="sq-AL"/>
        </w:rPr>
        <w:t>所有的操作手柄和控制器应设置在司机能方便操作的位置。操作手柄应将频繁联动的动作分别设置在两个手柄上，更换3台装船机操作手柄。</w:t>
      </w:r>
    </w:p>
    <w:p>
      <w:pPr>
        <w:pStyle w:val="39"/>
        <w:numPr>
          <w:ilvl w:val="0"/>
          <w:numId w:val="4"/>
        </w:numPr>
        <w:autoSpaceDE w:val="0"/>
        <w:autoSpaceDN w:val="0"/>
        <w:adjustRightInd w:val="0"/>
        <w:spacing w:line="480" w:lineRule="exact"/>
        <w:ind w:firstLine="504"/>
        <w:rPr>
          <w:rFonts w:ascii="宋体" w:hAnsi="宋体" w:cs="Arial"/>
          <w:spacing w:val="6"/>
          <w:kern w:val="0"/>
          <w:sz w:val="24"/>
          <w:lang w:val="sq-AL"/>
        </w:rPr>
      </w:pPr>
      <w:r>
        <w:rPr>
          <w:rFonts w:hint="eastAsia" w:ascii="宋体" w:hAnsi="宋体" w:cs="Arial"/>
          <w:spacing w:val="6"/>
          <w:kern w:val="0"/>
          <w:sz w:val="24"/>
          <w:lang w:val="sq-AL"/>
        </w:rPr>
        <w:t>每个操作台预留至少20%的备芯，操作台内设置加热器。</w:t>
      </w:r>
    </w:p>
    <w:p>
      <w:pPr>
        <w:pStyle w:val="39"/>
        <w:numPr>
          <w:ilvl w:val="0"/>
          <w:numId w:val="4"/>
        </w:numPr>
        <w:autoSpaceDE w:val="0"/>
        <w:autoSpaceDN w:val="0"/>
        <w:adjustRightInd w:val="0"/>
        <w:spacing w:line="480" w:lineRule="exact"/>
        <w:ind w:firstLine="504"/>
        <w:rPr>
          <w:rFonts w:hint="eastAsia" w:ascii="宋体" w:hAnsi="宋体" w:cs="Arial"/>
          <w:spacing w:val="6"/>
          <w:kern w:val="0"/>
          <w:sz w:val="24"/>
          <w:lang w:val="sq-AL"/>
        </w:rPr>
      </w:pPr>
      <w:r>
        <w:rPr>
          <w:rFonts w:hint="eastAsia" w:ascii="宋体" w:hAnsi="宋体" w:cs="Arial"/>
          <w:spacing w:val="6"/>
          <w:kern w:val="0"/>
          <w:sz w:val="24"/>
          <w:lang w:val="sq-AL"/>
        </w:rPr>
        <w:t>操作椅有舒适的座垫和靠背</w:t>
      </w:r>
      <w:r>
        <w:rPr>
          <w:rFonts w:ascii="宋体" w:hAnsi="宋体" w:cs="Arial"/>
          <w:spacing w:val="6"/>
          <w:kern w:val="0"/>
          <w:sz w:val="24"/>
          <w:lang w:val="sq-AL"/>
        </w:rPr>
        <w:t>,</w:t>
      </w:r>
      <w:r>
        <w:rPr>
          <w:rFonts w:hint="eastAsia" w:ascii="宋体" w:hAnsi="宋体" w:cs="Arial"/>
          <w:spacing w:val="6"/>
          <w:kern w:val="0"/>
          <w:sz w:val="24"/>
          <w:lang w:val="sq-AL"/>
        </w:rPr>
        <w:t>其前后、高度和靠背角度均能调整，以适应任何工作位置的操作，也不影响司机的作业活动和偶尔站起来操作。座椅宽度应符合国家有关标准尺度。</w:t>
      </w:r>
    </w:p>
    <w:p>
      <w:pPr>
        <w:pStyle w:val="39"/>
        <w:numPr>
          <w:ilvl w:val="0"/>
          <w:numId w:val="4"/>
        </w:numPr>
        <w:autoSpaceDE w:val="0"/>
        <w:autoSpaceDN w:val="0"/>
        <w:adjustRightInd w:val="0"/>
        <w:spacing w:line="480" w:lineRule="exact"/>
        <w:ind w:firstLine="504"/>
        <w:rPr>
          <w:rFonts w:hAnsi="宋体" w:cs="Arial"/>
          <w:spacing w:val="6"/>
          <w:lang w:val="sq-AL"/>
        </w:rPr>
      </w:pPr>
      <w:r>
        <w:rPr>
          <w:rFonts w:hint="eastAsia" w:ascii="宋体" w:hAnsi="宋体" w:cs="Arial"/>
          <w:spacing w:val="6"/>
          <w:kern w:val="0"/>
          <w:sz w:val="24"/>
          <w:lang w:val="sq-AL"/>
        </w:rPr>
        <w:t>设置副驾驶用固定式座椅，座椅应乘坐舒适，坚固耐用，不影响司机操作。座椅为长方体薄钢板箱型结构</w:t>
      </w:r>
      <w:r>
        <w:rPr>
          <w:rFonts w:ascii="宋体" w:hAnsi="宋体" w:cs="Arial"/>
          <w:spacing w:val="6"/>
          <w:kern w:val="0"/>
          <w:sz w:val="24"/>
          <w:lang w:val="sq-AL"/>
        </w:rPr>
        <w:t>(</w:t>
      </w:r>
      <w:r>
        <w:rPr>
          <w:rFonts w:hint="eastAsia" w:ascii="宋体" w:hAnsi="宋体" w:cs="Arial"/>
          <w:spacing w:val="6"/>
          <w:kern w:val="0"/>
          <w:sz w:val="24"/>
          <w:lang w:val="sq-AL"/>
        </w:rPr>
        <w:t>为满足强度和刚度要求，内部适当位置加筋板</w:t>
      </w:r>
      <w:r>
        <w:rPr>
          <w:rFonts w:ascii="宋体" w:hAnsi="宋体" w:cs="Arial"/>
          <w:spacing w:val="6"/>
          <w:kern w:val="0"/>
          <w:sz w:val="24"/>
          <w:lang w:val="sq-AL"/>
        </w:rPr>
        <w:t>)</w:t>
      </w:r>
      <w:r>
        <w:rPr>
          <w:rFonts w:hint="eastAsia" w:ascii="宋体" w:hAnsi="宋体" w:cs="Arial"/>
          <w:spacing w:val="6"/>
          <w:kern w:val="0"/>
          <w:sz w:val="24"/>
          <w:lang w:val="sq-AL"/>
        </w:rPr>
        <w:t>，长</w:t>
      </w:r>
      <w:r>
        <w:rPr>
          <w:rFonts w:ascii="宋体" w:hAnsi="宋体" w:cs="Arial"/>
          <w:spacing w:val="6"/>
          <w:kern w:val="0"/>
          <w:sz w:val="24"/>
          <w:lang w:val="sq-AL"/>
        </w:rPr>
        <w:t>1800mm</w:t>
      </w:r>
      <w:r>
        <w:rPr>
          <w:rFonts w:hint="eastAsia" w:ascii="宋体" w:hAnsi="宋体" w:cs="Arial"/>
          <w:spacing w:val="6"/>
          <w:kern w:val="0"/>
          <w:sz w:val="24"/>
          <w:lang w:val="sq-AL"/>
        </w:rPr>
        <w:t>，宽</w:t>
      </w:r>
      <w:r>
        <w:rPr>
          <w:rFonts w:ascii="宋体" w:hAnsi="宋体" w:cs="Arial"/>
          <w:spacing w:val="6"/>
          <w:kern w:val="0"/>
          <w:sz w:val="24"/>
          <w:lang w:val="sq-AL"/>
        </w:rPr>
        <w:t>500mm</w:t>
      </w:r>
      <w:r>
        <w:rPr>
          <w:rFonts w:hint="eastAsia" w:ascii="宋体" w:hAnsi="宋体" w:cs="Arial"/>
          <w:spacing w:val="6"/>
          <w:kern w:val="0"/>
          <w:sz w:val="24"/>
          <w:lang w:val="sq-AL"/>
        </w:rPr>
        <w:t>，高同一般座椅，与司机室墙壁采用可拆卸式连接，座椅面可向上翻转，内部可作为储物箱使用。</w:t>
      </w:r>
    </w:p>
    <w:p>
      <w:pPr>
        <w:pStyle w:val="39"/>
        <w:numPr>
          <w:ilvl w:val="0"/>
          <w:numId w:val="4"/>
        </w:numPr>
        <w:autoSpaceDE w:val="0"/>
        <w:autoSpaceDN w:val="0"/>
        <w:adjustRightInd w:val="0"/>
        <w:spacing w:line="480" w:lineRule="exact"/>
        <w:ind w:firstLine="504"/>
        <w:rPr>
          <w:rFonts w:hint="eastAsia" w:ascii="宋体" w:hAnsi="宋体"/>
          <w:spacing w:val="6"/>
          <w:sz w:val="24"/>
        </w:rPr>
      </w:pPr>
      <w:r>
        <w:rPr>
          <w:rFonts w:hint="eastAsia" w:hAnsi="宋体"/>
          <w:spacing w:val="6"/>
          <w:sz w:val="24"/>
        </w:rPr>
        <w:t>司机室应配置足够大的输入电源容量，充分考虑外加设备的使用。墙壁上设置足够数量的电源插座（三孔插座和五孔插座各</w:t>
      </w:r>
      <w:r>
        <w:rPr>
          <w:rFonts w:hAnsi="宋体"/>
          <w:spacing w:val="6"/>
          <w:sz w:val="24"/>
        </w:rPr>
        <w:t>6</w:t>
      </w:r>
      <w:r>
        <w:rPr>
          <w:rFonts w:hint="eastAsia" w:hAnsi="宋体"/>
          <w:spacing w:val="6"/>
          <w:sz w:val="24"/>
        </w:rPr>
        <w:t>个、一个八口插线板），插座根据室内电器的摆放位置合理布置。</w:t>
      </w:r>
    </w:p>
    <w:p>
      <w:pPr>
        <w:pStyle w:val="39"/>
        <w:numPr>
          <w:ilvl w:val="0"/>
          <w:numId w:val="4"/>
        </w:numPr>
        <w:autoSpaceDE w:val="0"/>
        <w:autoSpaceDN w:val="0"/>
        <w:adjustRightInd w:val="0"/>
        <w:spacing w:line="480" w:lineRule="exact"/>
        <w:ind w:firstLine="480"/>
        <w:rPr>
          <w:rFonts w:hint="eastAsia" w:ascii="宋体" w:hAnsi="宋体" w:cs="Arial"/>
          <w:spacing w:val="6"/>
          <w:kern w:val="0"/>
          <w:sz w:val="24"/>
          <w:lang w:val="sq-AL"/>
        </w:rPr>
      </w:pPr>
      <w:r>
        <w:rPr>
          <w:rFonts w:hint="eastAsia" w:ascii="宋体" w:hAnsi="宋体"/>
          <w:sz w:val="24"/>
        </w:rPr>
        <w:t>司机室原有物品详细列表如下：空调、饮水机、微波炉、对讲机、车载台及其附属设备、调度电话、消防应急灯、两台电暖气、多功能报警器、空调遥控器、视频监控显示器、监控触摸屏、管控触摸电脑、硬盘录像机、水杯架、配电箱、火灾报警系统、标识牌等，以上物品无需提供，只需要合理布置安装或者存放位置。</w:t>
      </w:r>
    </w:p>
    <w:p>
      <w:pPr>
        <w:pStyle w:val="39"/>
        <w:numPr>
          <w:ilvl w:val="0"/>
          <w:numId w:val="4"/>
        </w:numPr>
        <w:autoSpaceDE w:val="0"/>
        <w:autoSpaceDN w:val="0"/>
        <w:adjustRightInd w:val="0"/>
        <w:spacing w:line="480" w:lineRule="exact"/>
        <w:ind w:firstLine="504"/>
        <w:rPr>
          <w:rFonts w:hint="eastAsia" w:ascii="宋体" w:hAnsi="宋体" w:cs="Arial"/>
          <w:spacing w:val="6"/>
          <w:kern w:val="0"/>
          <w:sz w:val="24"/>
          <w:lang w:val="sq-AL"/>
        </w:rPr>
      </w:pPr>
      <w:r>
        <w:rPr>
          <w:rFonts w:hint="eastAsia" w:ascii="宋体" w:hAnsi="宋体" w:cs="Arial"/>
          <w:spacing w:val="6"/>
          <w:kern w:val="0"/>
          <w:sz w:val="24"/>
          <w:lang w:val="sq-AL"/>
        </w:rPr>
        <w:t>更换原有微波炉架子，使微波炉便于打开，上层放饮水机，使其固定在墙壁上。</w:t>
      </w:r>
    </w:p>
    <w:p>
      <w:pPr>
        <w:pStyle w:val="3"/>
        <w:keepNext/>
        <w:keepLines/>
        <w:pageBreakBefore w:val="0"/>
        <w:widowControl w:val="0"/>
        <w:numPr>
          <w:ilvl w:val="0"/>
          <w:numId w:val="0"/>
        </w:numPr>
        <w:tabs>
          <w:tab w:val="left" w:pos="1103"/>
        </w:tabs>
        <w:kinsoku/>
        <w:wordWrap/>
        <w:overflowPunct/>
        <w:topLinePunct w:val="0"/>
        <w:autoSpaceDE/>
        <w:autoSpaceDN/>
        <w:bidi w:val="0"/>
        <w:adjustRightInd w:val="0"/>
        <w:snapToGrid w:val="0"/>
        <w:spacing w:before="0" w:after="260" w:line="240" w:lineRule="auto"/>
        <w:ind w:left="23" w:leftChars="0" w:right="0" w:rightChars="0" w:firstLine="0" w:firstLineChars="0"/>
        <w:jc w:val="both"/>
        <w:textAlignment w:val="auto"/>
        <w:outlineLvl w:val="1"/>
        <w:rPr>
          <w:rFonts w:hint="eastAsia"/>
          <w:sz w:val="28"/>
          <w:szCs w:val="28"/>
          <w:lang w:val="sq-AL"/>
        </w:rPr>
      </w:pPr>
      <w:bookmarkStart w:id="19" w:name="_Toc20142"/>
      <w:r>
        <w:rPr>
          <w:rFonts w:hint="eastAsia"/>
          <w:sz w:val="28"/>
          <w:szCs w:val="28"/>
          <w:lang w:val="sq-AL"/>
        </w:rPr>
        <w:t>3.3</w:t>
      </w:r>
      <w:r>
        <w:rPr>
          <w:rFonts w:hint="eastAsia"/>
          <w:sz w:val="28"/>
          <w:szCs w:val="28"/>
        </w:rPr>
        <w:t xml:space="preserve"> </w:t>
      </w:r>
      <w:r>
        <w:rPr>
          <w:rFonts w:hint="eastAsia" w:ascii="宋体" w:hAnsi="宋体" w:eastAsia="宋体" w:cs="宋体"/>
          <w:sz w:val="28"/>
          <w:szCs w:val="28"/>
          <w:lang w:val="sq-AL"/>
        </w:rPr>
        <w:t>司机室外部设备</w:t>
      </w:r>
      <w:bookmarkEnd w:id="19"/>
    </w:p>
    <w:p>
      <w:pPr>
        <w:pStyle w:val="39"/>
        <w:numPr>
          <w:ilvl w:val="0"/>
          <w:numId w:val="5"/>
        </w:numPr>
        <w:adjustRightInd w:val="0"/>
        <w:snapToGrid w:val="0"/>
        <w:spacing w:line="480" w:lineRule="exact"/>
        <w:ind w:firstLine="504"/>
        <w:rPr>
          <w:rFonts w:hint="eastAsia" w:ascii="宋体" w:hAnsi="宋体"/>
          <w:spacing w:val="6"/>
          <w:sz w:val="24"/>
        </w:rPr>
      </w:pPr>
      <w:r>
        <w:rPr>
          <w:rFonts w:hint="eastAsia" w:ascii="宋体" w:hAnsi="宋体"/>
          <w:spacing w:val="6"/>
          <w:sz w:val="24"/>
        </w:rPr>
        <w:t>空调需更换，根据新司机室位置重新布置新空调，外机安装在易于维护、更换的位置。</w:t>
      </w:r>
    </w:p>
    <w:p>
      <w:pPr>
        <w:numPr>
          <w:ilvl w:val="0"/>
          <w:numId w:val="5"/>
        </w:numPr>
        <w:adjustRightInd w:val="0"/>
        <w:snapToGrid w:val="0"/>
        <w:spacing w:line="480" w:lineRule="exact"/>
        <w:ind w:firstLine="480" w:firstLineChars="200"/>
        <w:rPr>
          <w:rFonts w:hint="eastAsia" w:ascii="宋体"/>
          <w:sz w:val="24"/>
        </w:rPr>
      </w:pPr>
      <w:r>
        <w:rPr>
          <w:rFonts w:hint="eastAsia" w:ascii="宋体"/>
          <w:sz w:val="24"/>
        </w:rPr>
        <w:t>更换</w:t>
      </w:r>
      <w:r>
        <w:rPr>
          <w:rFonts w:hint="eastAsia" w:ascii="宋体"/>
          <w:sz w:val="24"/>
          <w:lang w:val="en-US" w:eastAsia="zh-CN"/>
        </w:rPr>
        <w:t>3</w:t>
      </w:r>
      <w:r>
        <w:rPr>
          <w:rFonts w:hint="eastAsia" w:ascii="宋体"/>
          <w:sz w:val="24"/>
        </w:rPr>
        <w:t>台单机现有司机室旁接线箱，</w:t>
      </w:r>
      <w:r>
        <w:rPr>
          <w:rFonts w:hint="eastAsia" w:ascii="宋体" w:hAnsi="宋体" w:cs="Arial"/>
          <w:spacing w:val="6"/>
          <w:kern w:val="0"/>
          <w:sz w:val="24"/>
          <w:lang w:val="sq-AL"/>
        </w:rPr>
        <w:t>箱子材质选择</w:t>
      </w:r>
      <w:r>
        <w:rPr>
          <w:rFonts w:hint="eastAsia" w:ascii="宋体"/>
          <w:sz w:val="24"/>
        </w:rPr>
        <w:t>玻纤增强型聚酯，颜色为灰白色。进出线采用防水接线端子，防护等级不低于IP65。</w:t>
      </w:r>
    </w:p>
    <w:p>
      <w:pPr>
        <w:numPr>
          <w:ilvl w:val="0"/>
          <w:numId w:val="5"/>
        </w:numPr>
        <w:adjustRightInd w:val="0"/>
        <w:snapToGrid w:val="0"/>
        <w:spacing w:line="480" w:lineRule="exact"/>
        <w:ind w:firstLine="504" w:firstLineChars="200"/>
        <w:rPr>
          <w:rFonts w:hint="eastAsia" w:ascii="宋体" w:hAnsi="宋体"/>
          <w:spacing w:val="6"/>
          <w:sz w:val="24"/>
        </w:rPr>
      </w:pPr>
      <w:r>
        <w:rPr>
          <w:rFonts w:hint="eastAsia" w:ascii="宋体" w:hAnsi="宋体" w:cs="Arial"/>
          <w:spacing w:val="6"/>
          <w:kern w:val="0"/>
          <w:sz w:val="24"/>
          <w:lang w:val="sq-AL"/>
        </w:rPr>
        <w:t>增加3套风速仪安装于装船机司机室顶。信号取进PLC模拟量模块，采用4-20m</w:t>
      </w:r>
      <w:r>
        <w:rPr>
          <w:rFonts w:hint="eastAsia" w:ascii="宋体" w:hAnsi="宋体" w:cs="Arial"/>
          <w:spacing w:val="6"/>
          <w:kern w:val="0"/>
          <w:sz w:val="24"/>
          <w:lang w:val="en-US" w:eastAsia="zh-CN"/>
        </w:rPr>
        <w:t>A</w:t>
      </w:r>
      <w:r>
        <w:rPr>
          <w:rFonts w:hint="eastAsia" w:ascii="宋体" w:hAnsi="宋体" w:cs="Arial"/>
          <w:spacing w:val="6"/>
          <w:kern w:val="0"/>
          <w:sz w:val="24"/>
          <w:lang w:val="sq-AL"/>
        </w:rPr>
        <w:t>或0-10V信号。</w:t>
      </w:r>
    </w:p>
    <w:p>
      <w:pPr>
        <w:numPr>
          <w:ilvl w:val="0"/>
          <w:numId w:val="5"/>
        </w:numPr>
        <w:adjustRightInd w:val="0"/>
        <w:snapToGrid w:val="0"/>
        <w:spacing w:line="480" w:lineRule="exact"/>
        <w:ind w:firstLine="480" w:firstLineChars="200"/>
        <w:rPr>
          <w:rFonts w:hint="eastAsia" w:ascii="宋体" w:hAnsi="宋体"/>
          <w:spacing w:val="6"/>
          <w:sz w:val="24"/>
        </w:rPr>
      </w:pPr>
      <w:r>
        <w:rPr>
          <w:rFonts w:hint="eastAsia" w:ascii="宋体"/>
          <w:sz w:val="24"/>
        </w:rPr>
        <w:t>室外电缆不能裸露，进电缆桥架或者线管。硬管采用镀锌管，软管采用普利卡管，软硬管连接处用连接器连接。</w:t>
      </w:r>
    </w:p>
    <w:p>
      <w:pPr>
        <w:numPr>
          <w:ilvl w:val="0"/>
          <w:numId w:val="5"/>
        </w:numPr>
        <w:adjustRightInd w:val="0"/>
        <w:snapToGrid w:val="0"/>
        <w:spacing w:line="480" w:lineRule="exact"/>
        <w:ind w:firstLine="504" w:firstLineChars="200"/>
        <w:rPr>
          <w:rFonts w:hint="eastAsia" w:ascii="宋体" w:hAnsi="宋体"/>
          <w:spacing w:val="6"/>
          <w:sz w:val="24"/>
        </w:rPr>
      </w:pPr>
      <w:r>
        <w:rPr>
          <w:rFonts w:hint="eastAsia" w:ascii="宋体" w:hAnsi="宋体" w:cs="Arial"/>
          <w:spacing w:val="6"/>
          <w:kern w:val="0"/>
          <w:sz w:val="24"/>
          <w:lang w:val="sq-AL"/>
        </w:rPr>
        <w:t>修改、增加线路全部分配线号，线号要求格式与原有设计一致。</w:t>
      </w:r>
    </w:p>
    <w:p>
      <w:pPr>
        <w:pStyle w:val="3"/>
        <w:keepNext/>
        <w:keepLines/>
        <w:pageBreakBefore w:val="0"/>
        <w:widowControl w:val="0"/>
        <w:numPr>
          <w:ilvl w:val="0"/>
          <w:numId w:val="0"/>
        </w:numPr>
        <w:tabs>
          <w:tab w:val="left" w:pos="1103"/>
        </w:tabs>
        <w:kinsoku/>
        <w:wordWrap/>
        <w:overflowPunct/>
        <w:topLinePunct w:val="0"/>
        <w:autoSpaceDE/>
        <w:autoSpaceDN/>
        <w:bidi w:val="0"/>
        <w:adjustRightInd w:val="0"/>
        <w:snapToGrid w:val="0"/>
        <w:spacing w:before="0" w:after="260" w:line="240" w:lineRule="auto"/>
        <w:ind w:left="23" w:leftChars="0" w:right="0" w:rightChars="0" w:firstLine="0" w:firstLineChars="0"/>
        <w:jc w:val="both"/>
        <w:textAlignment w:val="auto"/>
        <w:outlineLvl w:val="1"/>
        <w:rPr>
          <w:rFonts w:hint="eastAsia"/>
          <w:sz w:val="28"/>
          <w:szCs w:val="28"/>
        </w:rPr>
      </w:pPr>
      <w:bookmarkStart w:id="20" w:name="_Toc2392"/>
      <w:r>
        <w:rPr>
          <w:rFonts w:hint="eastAsia"/>
          <w:sz w:val="28"/>
          <w:szCs w:val="28"/>
        </w:rPr>
        <w:t xml:space="preserve">3.4 </w:t>
      </w:r>
      <w:r>
        <w:rPr>
          <w:rFonts w:hint="eastAsia" w:ascii="宋体" w:hAnsi="宋体" w:eastAsia="宋体" w:cs="宋体"/>
          <w:sz w:val="28"/>
          <w:szCs w:val="28"/>
        </w:rPr>
        <w:t>技术资料</w:t>
      </w:r>
      <w:bookmarkEnd w:id="20"/>
    </w:p>
    <w:p>
      <w:pPr>
        <w:pStyle w:val="7"/>
        <w:numPr>
          <w:ilvl w:val="0"/>
          <w:numId w:val="6"/>
        </w:numPr>
        <w:spacing w:line="480" w:lineRule="exact"/>
        <w:ind w:firstLine="480" w:firstLineChars="200"/>
        <w:rPr>
          <w:rFonts w:hint="eastAsia" w:hAnsi="Times New Roman"/>
          <w:kern w:val="2"/>
          <w:sz w:val="24"/>
          <w:szCs w:val="24"/>
        </w:rPr>
      </w:pPr>
      <w:r>
        <w:rPr>
          <w:rFonts w:hint="eastAsia" w:hAnsi="Times New Roman"/>
          <w:kern w:val="2"/>
          <w:sz w:val="24"/>
          <w:szCs w:val="24"/>
        </w:rPr>
        <w:t>由于需要改造的司机室所处位置，需要</w:t>
      </w:r>
      <w:r>
        <w:rPr>
          <w:rFonts w:hint="eastAsia" w:hAnsi="Times New Roman"/>
          <w:kern w:val="2"/>
          <w:sz w:val="24"/>
          <w:szCs w:val="24"/>
          <w:lang w:eastAsia="zh-CN"/>
        </w:rPr>
        <w:t>投标方</w:t>
      </w:r>
      <w:r>
        <w:rPr>
          <w:rFonts w:hint="eastAsia" w:hAnsi="Times New Roman"/>
          <w:kern w:val="2"/>
          <w:sz w:val="24"/>
          <w:szCs w:val="24"/>
        </w:rPr>
        <w:t>负责各个司机室改造全部的测量工作，由于测绘等原因造成的误差由</w:t>
      </w:r>
      <w:r>
        <w:rPr>
          <w:rFonts w:hint="eastAsia" w:hAnsi="Times New Roman"/>
          <w:kern w:val="2"/>
          <w:sz w:val="24"/>
          <w:szCs w:val="24"/>
          <w:lang w:eastAsia="zh-CN"/>
        </w:rPr>
        <w:t>投标方</w:t>
      </w:r>
      <w:r>
        <w:rPr>
          <w:rFonts w:hint="eastAsia" w:hAnsi="Times New Roman"/>
          <w:kern w:val="2"/>
          <w:sz w:val="24"/>
          <w:szCs w:val="24"/>
        </w:rPr>
        <w:t>独立负责。</w:t>
      </w:r>
      <w:r>
        <w:rPr>
          <w:rFonts w:hint="eastAsia" w:hAnsi="Times New Roman"/>
          <w:kern w:val="2"/>
          <w:sz w:val="24"/>
          <w:szCs w:val="24"/>
          <w:lang w:eastAsia="zh-CN"/>
        </w:rPr>
        <w:t>招标方</w:t>
      </w:r>
      <w:r>
        <w:rPr>
          <w:rFonts w:hint="eastAsia" w:hAnsi="Times New Roman"/>
          <w:kern w:val="2"/>
          <w:sz w:val="24"/>
          <w:szCs w:val="24"/>
        </w:rPr>
        <w:t>只是提供一般技术支持，不参与具体的设计等工作。</w:t>
      </w:r>
    </w:p>
    <w:p>
      <w:pPr>
        <w:pStyle w:val="7"/>
        <w:numPr>
          <w:ilvl w:val="0"/>
          <w:numId w:val="6"/>
        </w:numPr>
        <w:spacing w:line="480" w:lineRule="exact"/>
        <w:ind w:firstLine="480" w:firstLineChars="200"/>
        <w:rPr>
          <w:rFonts w:hAnsi="Times New Roman"/>
          <w:kern w:val="2"/>
          <w:sz w:val="24"/>
          <w:szCs w:val="24"/>
        </w:rPr>
      </w:pPr>
      <w:r>
        <w:rPr>
          <w:rFonts w:hint="eastAsia" w:hAnsi="Times New Roman"/>
          <w:kern w:val="2"/>
          <w:sz w:val="24"/>
          <w:szCs w:val="24"/>
        </w:rPr>
        <w:t>由于改造司机室大小重量不同，需要</w:t>
      </w:r>
      <w:r>
        <w:rPr>
          <w:rFonts w:hint="eastAsia" w:hAnsi="Times New Roman"/>
          <w:kern w:val="2"/>
          <w:sz w:val="24"/>
          <w:szCs w:val="24"/>
          <w:lang w:eastAsia="zh-CN"/>
        </w:rPr>
        <w:t>投标方</w:t>
      </w:r>
      <w:r>
        <w:rPr>
          <w:rFonts w:hint="eastAsia" w:hAnsi="Times New Roman"/>
          <w:kern w:val="2"/>
          <w:sz w:val="24"/>
          <w:szCs w:val="24"/>
        </w:rPr>
        <w:t>负责对各个新改造司机室承重钢结构做校核，保证其不变形、断裂。</w:t>
      </w:r>
      <w:r>
        <w:rPr>
          <w:rFonts w:hint="eastAsia" w:hAnsi="Times New Roman"/>
          <w:kern w:val="2"/>
          <w:sz w:val="24"/>
          <w:szCs w:val="24"/>
          <w:lang w:eastAsia="zh-CN"/>
        </w:rPr>
        <w:t>投标方</w:t>
      </w:r>
      <w:r>
        <w:rPr>
          <w:rFonts w:hint="eastAsia" w:hAnsi="Times New Roman"/>
          <w:kern w:val="2"/>
          <w:sz w:val="24"/>
          <w:szCs w:val="24"/>
        </w:rPr>
        <w:t>提供完整的校核数据、公式等资料。</w:t>
      </w:r>
    </w:p>
    <w:p>
      <w:pPr>
        <w:pStyle w:val="7"/>
        <w:numPr>
          <w:ilvl w:val="0"/>
          <w:numId w:val="6"/>
        </w:numPr>
        <w:spacing w:line="480" w:lineRule="exact"/>
        <w:ind w:firstLine="480" w:firstLineChars="200"/>
        <w:rPr>
          <w:rFonts w:hint="eastAsia" w:hAnsi="Times New Roman"/>
          <w:kern w:val="2"/>
          <w:sz w:val="24"/>
          <w:szCs w:val="24"/>
        </w:rPr>
      </w:pPr>
      <w:r>
        <w:rPr>
          <w:rFonts w:hint="eastAsia" w:hAnsi="Times New Roman"/>
          <w:kern w:val="2"/>
          <w:sz w:val="24"/>
          <w:szCs w:val="24"/>
          <w:lang w:eastAsia="zh-CN"/>
        </w:rPr>
        <w:t>投标方</w:t>
      </w:r>
      <w:r>
        <w:rPr>
          <w:rFonts w:hint="eastAsia" w:hAnsi="Times New Roman"/>
          <w:kern w:val="2"/>
          <w:sz w:val="24"/>
          <w:szCs w:val="24"/>
        </w:rPr>
        <w:t>必须提供所有改造取料机司机室的整体安装效果图，由</w:t>
      </w:r>
      <w:r>
        <w:rPr>
          <w:rFonts w:hint="eastAsia" w:hAnsi="Times New Roman"/>
          <w:kern w:val="2"/>
          <w:sz w:val="24"/>
          <w:szCs w:val="24"/>
          <w:lang w:eastAsia="zh-CN"/>
        </w:rPr>
        <w:t>招标方</w:t>
      </w:r>
      <w:r>
        <w:rPr>
          <w:rFonts w:hint="eastAsia" w:hAnsi="Times New Roman"/>
          <w:kern w:val="2"/>
          <w:sz w:val="24"/>
          <w:szCs w:val="24"/>
        </w:rPr>
        <w:t>进行确认。</w:t>
      </w:r>
    </w:p>
    <w:p>
      <w:pPr>
        <w:pStyle w:val="7"/>
        <w:numPr>
          <w:ilvl w:val="0"/>
          <w:numId w:val="6"/>
        </w:numPr>
        <w:spacing w:line="480" w:lineRule="exact"/>
        <w:ind w:firstLine="480" w:firstLineChars="200"/>
        <w:rPr>
          <w:rFonts w:hAnsi="Times New Roman"/>
          <w:kern w:val="2"/>
          <w:sz w:val="24"/>
          <w:szCs w:val="24"/>
        </w:rPr>
      </w:pPr>
      <w:r>
        <w:rPr>
          <w:rFonts w:hint="eastAsia" w:hAnsi="Times New Roman"/>
          <w:kern w:val="2"/>
          <w:sz w:val="24"/>
          <w:szCs w:val="24"/>
          <w:lang w:eastAsia="zh-CN"/>
        </w:rPr>
        <w:t>投标方</w:t>
      </w:r>
      <w:r>
        <w:rPr>
          <w:rFonts w:hint="eastAsia" w:hAnsi="Times New Roman"/>
          <w:kern w:val="2"/>
          <w:sz w:val="24"/>
          <w:szCs w:val="24"/>
        </w:rPr>
        <w:t>提供插座、配电盘示意图，由</w:t>
      </w:r>
      <w:r>
        <w:rPr>
          <w:rFonts w:hint="eastAsia" w:hAnsi="Times New Roman"/>
          <w:kern w:val="2"/>
          <w:sz w:val="24"/>
          <w:szCs w:val="24"/>
          <w:lang w:eastAsia="zh-CN"/>
        </w:rPr>
        <w:t>招标方</w:t>
      </w:r>
      <w:r>
        <w:rPr>
          <w:rFonts w:hint="eastAsia" w:hAnsi="Times New Roman"/>
          <w:kern w:val="2"/>
          <w:sz w:val="24"/>
          <w:szCs w:val="24"/>
        </w:rPr>
        <w:t>进行确认。</w:t>
      </w:r>
    </w:p>
    <w:p>
      <w:pPr>
        <w:pStyle w:val="7"/>
        <w:numPr>
          <w:ilvl w:val="0"/>
          <w:numId w:val="6"/>
        </w:numPr>
        <w:spacing w:line="480" w:lineRule="exact"/>
        <w:ind w:firstLine="480" w:firstLineChars="200"/>
        <w:rPr>
          <w:rFonts w:hAnsi="Times New Roman"/>
          <w:kern w:val="2"/>
          <w:sz w:val="24"/>
          <w:szCs w:val="24"/>
        </w:rPr>
      </w:pPr>
      <w:r>
        <w:rPr>
          <w:rFonts w:hint="eastAsia" w:hAnsi="Times New Roman"/>
          <w:kern w:val="2"/>
          <w:sz w:val="24"/>
          <w:szCs w:val="24"/>
          <w:lang w:eastAsia="zh-CN"/>
        </w:rPr>
        <w:t>投标方</w:t>
      </w:r>
      <w:r>
        <w:rPr>
          <w:rFonts w:hint="eastAsia" w:hAnsi="Times New Roman"/>
          <w:kern w:val="2"/>
          <w:sz w:val="24"/>
          <w:szCs w:val="24"/>
        </w:rPr>
        <w:t>提供详细的司机室电气设备拆装方案，由</w:t>
      </w:r>
      <w:r>
        <w:rPr>
          <w:rFonts w:hint="eastAsia" w:hAnsi="Times New Roman"/>
          <w:kern w:val="2"/>
          <w:sz w:val="24"/>
          <w:szCs w:val="24"/>
          <w:lang w:eastAsia="zh-CN"/>
        </w:rPr>
        <w:t>招标方</w:t>
      </w:r>
      <w:r>
        <w:rPr>
          <w:rFonts w:hint="eastAsia" w:hAnsi="Times New Roman"/>
          <w:kern w:val="2"/>
          <w:sz w:val="24"/>
          <w:szCs w:val="24"/>
        </w:rPr>
        <w:t>进行确认。</w:t>
      </w:r>
    </w:p>
    <w:p>
      <w:pPr>
        <w:pStyle w:val="7"/>
        <w:numPr>
          <w:ilvl w:val="0"/>
          <w:numId w:val="6"/>
        </w:numPr>
        <w:spacing w:line="480" w:lineRule="exact"/>
        <w:ind w:firstLine="480" w:firstLineChars="200"/>
        <w:rPr>
          <w:rFonts w:hAnsi="Times New Roman"/>
          <w:kern w:val="2"/>
          <w:sz w:val="24"/>
          <w:szCs w:val="24"/>
        </w:rPr>
      </w:pPr>
      <w:r>
        <w:rPr>
          <w:rFonts w:hint="eastAsia" w:hAnsi="Times New Roman"/>
          <w:kern w:val="2"/>
          <w:sz w:val="24"/>
          <w:szCs w:val="24"/>
          <w:lang w:eastAsia="zh-CN"/>
        </w:rPr>
        <w:t>投标方</w:t>
      </w:r>
      <w:r>
        <w:rPr>
          <w:rFonts w:hint="eastAsia" w:hAnsi="Times New Roman"/>
          <w:kern w:val="2"/>
          <w:sz w:val="24"/>
          <w:szCs w:val="24"/>
        </w:rPr>
        <w:t>提供详细的司机室操作台布置图，由</w:t>
      </w:r>
      <w:r>
        <w:rPr>
          <w:rFonts w:hint="eastAsia" w:hAnsi="Times New Roman"/>
          <w:kern w:val="2"/>
          <w:sz w:val="24"/>
          <w:szCs w:val="24"/>
          <w:lang w:eastAsia="zh-CN"/>
        </w:rPr>
        <w:t>招标方</w:t>
      </w:r>
      <w:r>
        <w:rPr>
          <w:rFonts w:hint="eastAsia" w:hAnsi="Times New Roman"/>
          <w:kern w:val="2"/>
          <w:sz w:val="24"/>
          <w:szCs w:val="24"/>
        </w:rPr>
        <w:t>进行确认。</w:t>
      </w:r>
    </w:p>
    <w:p>
      <w:pPr>
        <w:pStyle w:val="7"/>
        <w:numPr>
          <w:ilvl w:val="0"/>
          <w:numId w:val="6"/>
        </w:numPr>
        <w:spacing w:line="480" w:lineRule="exact"/>
        <w:ind w:firstLine="480" w:firstLineChars="200"/>
        <w:rPr>
          <w:rFonts w:hAnsi="Times New Roman"/>
          <w:kern w:val="2"/>
          <w:sz w:val="24"/>
          <w:szCs w:val="24"/>
        </w:rPr>
      </w:pPr>
      <w:r>
        <w:rPr>
          <w:rFonts w:hint="eastAsia" w:hAnsi="Times New Roman"/>
          <w:kern w:val="2"/>
          <w:sz w:val="24"/>
          <w:szCs w:val="24"/>
          <w:lang w:eastAsia="zh-CN"/>
        </w:rPr>
        <w:t>投标方</w:t>
      </w:r>
      <w:r>
        <w:rPr>
          <w:rFonts w:hint="eastAsia" w:hAnsi="Times New Roman"/>
          <w:kern w:val="2"/>
          <w:sz w:val="24"/>
          <w:szCs w:val="24"/>
        </w:rPr>
        <w:t>随产品提供</w:t>
      </w:r>
      <w:r>
        <w:rPr>
          <w:rFonts w:hint="eastAsia" w:hAnsi="Times New Roman"/>
          <w:kern w:val="2"/>
          <w:sz w:val="24"/>
          <w:szCs w:val="24"/>
          <w:lang w:val="en-US" w:eastAsia="zh-CN"/>
        </w:rPr>
        <w:t>3</w:t>
      </w:r>
      <w:r>
        <w:rPr>
          <w:rFonts w:hint="eastAsia" w:hAnsi="Times New Roman"/>
          <w:kern w:val="2"/>
          <w:sz w:val="24"/>
          <w:szCs w:val="24"/>
        </w:rPr>
        <w:t>套竣工资料。资料形式为书面式和电子式两种，电子板资料中机械图纸为</w:t>
      </w:r>
      <w:r>
        <w:rPr>
          <w:rFonts w:hAnsi="Times New Roman"/>
          <w:kern w:val="2"/>
          <w:sz w:val="24"/>
          <w:szCs w:val="24"/>
        </w:rPr>
        <w:t>CAD2004</w:t>
      </w:r>
      <w:r>
        <w:rPr>
          <w:rFonts w:hint="eastAsia" w:hAnsi="Times New Roman"/>
          <w:kern w:val="2"/>
          <w:sz w:val="24"/>
          <w:szCs w:val="24"/>
        </w:rPr>
        <w:t>格式，电气设计图纸为EPLAN格式，其他文字资料为</w:t>
      </w:r>
      <w:r>
        <w:rPr>
          <w:rFonts w:hAnsi="Times New Roman"/>
          <w:kern w:val="2"/>
          <w:sz w:val="24"/>
          <w:szCs w:val="24"/>
        </w:rPr>
        <w:t>Word 200</w:t>
      </w:r>
      <w:r>
        <w:rPr>
          <w:rFonts w:hint="eastAsia" w:hAnsi="Times New Roman"/>
          <w:kern w:val="2"/>
          <w:sz w:val="24"/>
          <w:szCs w:val="24"/>
        </w:rPr>
        <w:t>3格式。竣工资料至少包括改造后的司机室机构总图、司机室载荷计算图，电气系统布置图、接线图、端子接线图，配电盘接线图，电气设备照明装置、电缆和其他材料的明细表，电气设备安装、调试、试运转、操作、维修说明书等。具体的备品备件清单应于设备安装前</w:t>
      </w:r>
      <w:r>
        <w:rPr>
          <w:rFonts w:hAnsi="Times New Roman"/>
          <w:kern w:val="2"/>
          <w:sz w:val="24"/>
          <w:szCs w:val="24"/>
        </w:rPr>
        <w:t>1</w:t>
      </w:r>
      <w:r>
        <w:rPr>
          <w:rFonts w:hint="eastAsia" w:hAnsi="Times New Roman"/>
          <w:kern w:val="2"/>
          <w:sz w:val="24"/>
          <w:szCs w:val="24"/>
        </w:rPr>
        <w:t>个月提交至</w:t>
      </w:r>
      <w:r>
        <w:rPr>
          <w:rFonts w:hint="eastAsia" w:hAnsi="Times New Roman"/>
          <w:kern w:val="2"/>
          <w:sz w:val="24"/>
          <w:szCs w:val="24"/>
          <w:lang w:eastAsia="zh-CN"/>
        </w:rPr>
        <w:t>招标方</w:t>
      </w:r>
      <w:r>
        <w:rPr>
          <w:rFonts w:hint="eastAsia" w:hAnsi="Times New Roman"/>
          <w:kern w:val="2"/>
          <w:sz w:val="24"/>
          <w:szCs w:val="24"/>
        </w:rPr>
        <w:t>，并附带相关图纸，以便</w:t>
      </w:r>
      <w:r>
        <w:rPr>
          <w:rFonts w:hint="eastAsia" w:hAnsi="Times New Roman"/>
          <w:kern w:val="2"/>
          <w:sz w:val="24"/>
          <w:szCs w:val="24"/>
          <w:lang w:eastAsia="zh-CN"/>
        </w:rPr>
        <w:t>招标方</w:t>
      </w:r>
      <w:r>
        <w:rPr>
          <w:rFonts w:hint="eastAsia" w:hAnsi="Times New Roman"/>
          <w:kern w:val="2"/>
          <w:sz w:val="24"/>
          <w:szCs w:val="24"/>
        </w:rPr>
        <w:t>购买备件。</w:t>
      </w:r>
    </w:p>
    <w:p>
      <w:pPr>
        <w:pStyle w:val="7"/>
        <w:numPr>
          <w:ilvl w:val="0"/>
          <w:numId w:val="6"/>
        </w:numPr>
        <w:spacing w:line="480" w:lineRule="exact"/>
        <w:ind w:firstLine="480" w:firstLineChars="200"/>
        <w:rPr>
          <w:rFonts w:hAnsi="宋体"/>
          <w:szCs w:val="24"/>
        </w:rPr>
      </w:pPr>
      <w:r>
        <w:rPr>
          <w:rFonts w:hint="eastAsia" w:hAnsi="Times New Roman"/>
          <w:kern w:val="2"/>
          <w:sz w:val="24"/>
          <w:szCs w:val="24"/>
          <w:lang w:eastAsia="zh-CN"/>
        </w:rPr>
        <w:t>投标方</w:t>
      </w:r>
      <w:r>
        <w:rPr>
          <w:rFonts w:hint="eastAsia" w:hAnsi="Times New Roman"/>
          <w:kern w:val="2"/>
          <w:sz w:val="24"/>
          <w:szCs w:val="24"/>
        </w:rPr>
        <w:t>应提供所用材料及主要零部件的材质报告和检测报告，外购配套产品的合格证和使用说明书。</w:t>
      </w:r>
    </w:p>
    <w:p>
      <w:pPr>
        <w:pStyle w:val="7"/>
        <w:numPr>
          <w:ilvl w:val="0"/>
          <w:numId w:val="6"/>
        </w:numPr>
        <w:spacing w:line="480" w:lineRule="exact"/>
        <w:ind w:firstLine="480" w:firstLineChars="200"/>
        <w:rPr>
          <w:rFonts w:hAnsi="宋体"/>
          <w:szCs w:val="24"/>
        </w:rPr>
      </w:pPr>
      <w:r>
        <w:rPr>
          <w:rFonts w:hint="eastAsia" w:hAnsi="Times New Roman"/>
          <w:kern w:val="2"/>
          <w:sz w:val="24"/>
          <w:szCs w:val="24"/>
          <w:lang w:eastAsia="zh-CN"/>
        </w:rPr>
        <w:t>招标方</w:t>
      </w:r>
      <w:r>
        <w:rPr>
          <w:rFonts w:hint="eastAsia" w:hAnsi="Times New Roman"/>
          <w:kern w:val="2"/>
          <w:sz w:val="24"/>
          <w:szCs w:val="24"/>
        </w:rPr>
        <w:t>对</w:t>
      </w:r>
      <w:r>
        <w:rPr>
          <w:rFonts w:hint="eastAsia" w:hAnsi="Times New Roman"/>
          <w:kern w:val="2"/>
          <w:sz w:val="24"/>
          <w:szCs w:val="24"/>
          <w:lang w:eastAsia="zh-CN"/>
        </w:rPr>
        <w:t>投标方</w:t>
      </w:r>
      <w:r>
        <w:rPr>
          <w:rFonts w:hint="eastAsia" w:hAnsi="Times New Roman"/>
          <w:kern w:val="2"/>
          <w:sz w:val="24"/>
          <w:szCs w:val="24"/>
        </w:rPr>
        <w:t>资料负有保密责任，未经</w:t>
      </w:r>
      <w:r>
        <w:rPr>
          <w:rFonts w:hint="eastAsia" w:hAnsi="Times New Roman"/>
          <w:kern w:val="2"/>
          <w:sz w:val="24"/>
          <w:szCs w:val="24"/>
          <w:lang w:eastAsia="zh-CN"/>
        </w:rPr>
        <w:t>投标方</w:t>
      </w:r>
      <w:r>
        <w:rPr>
          <w:rFonts w:hint="eastAsia" w:hAnsi="Times New Roman"/>
          <w:kern w:val="2"/>
          <w:sz w:val="24"/>
          <w:szCs w:val="24"/>
        </w:rPr>
        <w:t>允许不得转借和交于第三人。</w:t>
      </w:r>
    </w:p>
    <w:p>
      <w:pPr>
        <w:pStyle w:val="3"/>
        <w:keepNext/>
        <w:keepLines/>
        <w:pageBreakBefore w:val="0"/>
        <w:widowControl w:val="0"/>
        <w:numPr>
          <w:ilvl w:val="0"/>
          <w:numId w:val="0"/>
        </w:numPr>
        <w:tabs>
          <w:tab w:val="left" w:pos="1103"/>
        </w:tabs>
        <w:kinsoku/>
        <w:wordWrap/>
        <w:overflowPunct/>
        <w:topLinePunct w:val="0"/>
        <w:autoSpaceDE/>
        <w:autoSpaceDN/>
        <w:bidi w:val="0"/>
        <w:adjustRightInd w:val="0"/>
        <w:snapToGrid w:val="0"/>
        <w:spacing w:before="0" w:after="260" w:line="240" w:lineRule="auto"/>
        <w:ind w:left="23" w:leftChars="0" w:right="0" w:rightChars="0" w:firstLine="0" w:firstLineChars="0"/>
        <w:jc w:val="both"/>
        <w:textAlignment w:val="auto"/>
        <w:outlineLvl w:val="1"/>
        <w:rPr>
          <w:rFonts w:hint="eastAsia"/>
          <w:sz w:val="28"/>
          <w:szCs w:val="28"/>
        </w:rPr>
      </w:pPr>
      <w:bookmarkStart w:id="21" w:name="_Toc18220"/>
      <w:r>
        <w:rPr>
          <w:rFonts w:hint="eastAsia"/>
          <w:sz w:val="28"/>
          <w:szCs w:val="28"/>
        </w:rPr>
        <w:t xml:space="preserve">3.5 </w:t>
      </w:r>
      <w:r>
        <w:rPr>
          <w:rFonts w:hint="eastAsia" w:ascii="宋体" w:hAnsi="宋体" w:eastAsia="宋体" w:cs="宋体"/>
          <w:sz w:val="28"/>
          <w:szCs w:val="28"/>
        </w:rPr>
        <w:t>现场安装调试</w:t>
      </w:r>
      <w:bookmarkEnd w:id="21"/>
    </w:p>
    <w:p>
      <w:pPr>
        <w:pStyle w:val="7"/>
        <w:numPr>
          <w:ilvl w:val="0"/>
          <w:numId w:val="7"/>
        </w:numPr>
        <w:spacing w:line="480" w:lineRule="exact"/>
        <w:ind w:firstLine="480" w:firstLineChars="200"/>
        <w:rPr>
          <w:rFonts w:hint="eastAsia" w:hAnsi="Times New Roman"/>
          <w:kern w:val="2"/>
          <w:sz w:val="24"/>
          <w:szCs w:val="24"/>
        </w:rPr>
      </w:pPr>
      <w:r>
        <w:rPr>
          <w:rFonts w:hint="eastAsia" w:hAnsi="Times New Roman"/>
          <w:kern w:val="2"/>
          <w:sz w:val="24"/>
          <w:szCs w:val="24"/>
          <w:lang w:eastAsia="zh-CN"/>
        </w:rPr>
        <w:t>投标方</w:t>
      </w:r>
      <w:r>
        <w:rPr>
          <w:rFonts w:hint="eastAsia" w:hAnsi="Times New Roman"/>
          <w:kern w:val="2"/>
          <w:sz w:val="24"/>
          <w:szCs w:val="24"/>
        </w:rPr>
        <w:t>负责合同范围内现场设备的拆卸，拆卸过程中应保证主要设备和部件的完好，不得进行破坏性拆除。</w:t>
      </w:r>
    </w:p>
    <w:p>
      <w:pPr>
        <w:pStyle w:val="7"/>
        <w:numPr>
          <w:ilvl w:val="0"/>
          <w:numId w:val="7"/>
        </w:numPr>
        <w:spacing w:line="480" w:lineRule="exact"/>
        <w:ind w:firstLine="480" w:firstLineChars="200"/>
        <w:rPr>
          <w:rFonts w:hAnsi="Times New Roman"/>
          <w:kern w:val="2"/>
          <w:sz w:val="24"/>
          <w:szCs w:val="24"/>
        </w:rPr>
      </w:pPr>
      <w:r>
        <w:rPr>
          <w:rFonts w:hint="eastAsia" w:hAnsi="Times New Roman"/>
          <w:kern w:val="2"/>
          <w:sz w:val="24"/>
          <w:szCs w:val="24"/>
          <w:lang w:eastAsia="zh-CN"/>
        </w:rPr>
        <w:t>投标方</w:t>
      </w:r>
      <w:r>
        <w:rPr>
          <w:rFonts w:hint="eastAsia" w:hAnsi="Times New Roman"/>
          <w:kern w:val="2"/>
          <w:sz w:val="24"/>
          <w:szCs w:val="24"/>
        </w:rPr>
        <w:t>负责合同范围内设备的现场安装调试。</w:t>
      </w:r>
      <w:r>
        <w:rPr>
          <w:rFonts w:hint="eastAsia" w:hAnsi="Times New Roman"/>
          <w:kern w:val="2"/>
          <w:sz w:val="24"/>
          <w:szCs w:val="24"/>
          <w:lang w:eastAsia="zh-CN"/>
        </w:rPr>
        <w:t>招标方</w:t>
      </w:r>
      <w:r>
        <w:rPr>
          <w:rFonts w:hint="eastAsia" w:hAnsi="Times New Roman"/>
          <w:kern w:val="2"/>
          <w:sz w:val="24"/>
          <w:szCs w:val="24"/>
        </w:rPr>
        <w:t>在其现有条件下对</w:t>
      </w:r>
      <w:r>
        <w:rPr>
          <w:rFonts w:hint="eastAsia" w:hAnsi="Times New Roman"/>
          <w:kern w:val="2"/>
          <w:sz w:val="24"/>
          <w:szCs w:val="24"/>
          <w:lang w:eastAsia="zh-CN"/>
        </w:rPr>
        <w:t>投标方</w:t>
      </w:r>
      <w:r>
        <w:rPr>
          <w:rFonts w:hint="eastAsia" w:hAnsi="Times New Roman"/>
          <w:kern w:val="2"/>
          <w:sz w:val="24"/>
          <w:szCs w:val="24"/>
        </w:rPr>
        <w:t>的安装调试进行协助。</w:t>
      </w:r>
    </w:p>
    <w:p>
      <w:pPr>
        <w:pStyle w:val="7"/>
        <w:numPr>
          <w:ilvl w:val="0"/>
          <w:numId w:val="7"/>
        </w:numPr>
        <w:spacing w:line="480" w:lineRule="exact"/>
        <w:ind w:firstLine="480" w:firstLineChars="200"/>
        <w:rPr>
          <w:rFonts w:hAnsi="Times New Roman"/>
          <w:kern w:val="2"/>
          <w:sz w:val="24"/>
          <w:szCs w:val="24"/>
        </w:rPr>
      </w:pPr>
      <w:r>
        <w:rPr>
          <w:rFonts w:hint="eastAsia" w:hAnsi="Times New Roman"/>
          <w:kern w:val="2"/>
          <w:sz w:val="24"/>
          <w:szCs w:val="24"/>
          <w:lang w:eastAsia="zh-CN"/>
        </w:rPr>
        <w:t>投标方</w:t>
      </w:r>
      <w:r>
        <w:rPr>
          <w:rFonts w:hint="eastAsia" w:hAnsi="Times New Roman"/>
          <w:kern w:val="2"/>
          <w:sz w:val="24"/>
          <w:szCs w:val="24"/>
        </w:rPr>
        <w:t>改造设备系统的调试工作，</w:t>
      </w:r>
      <w:r>
        <w:rPr>
          <w:rFonts w:hint="eastAsia" w:hAnsi="Times New Roman"/>
          <w:kern w:val="2"/>
          <w:sz w:val="24"/>
          <w:szCs w:val="24"/>
          <w:lang w:eastAsia="zh-CN"/>
        </w:rPr>
        <w:t>招标方</w:t>
      </w:r>
      <w:r>
        <w:rPr>
          <w:rFonts w:hint="eastAsia" w:hAnsi="Times New Roman"/>
          <w:kern w:val="2"/>
          <w:sz w:val="24"/>
          <w:szCs w:val="24"/>
        </w:rPr>
        <w:t>对于系统调试予以协助。</w:t>
      </w:r>
    </w:p>
    <w:p>
      <w:pPr>
        <w:pStyle w:val="7"/>
        <w:numPr>
          <w:ilvl w:val="0"/>
          <w:numId w:val="7"/>
        </w:numPr>
        <w:spacing w:line="480" w:lineRule="exact"/>
        <w:ind w:firstLine="480" w:firstLineChars="200"/>
        <w:rPr>
          <w:rFonts w:hAnsi="Times New Roman"/>
          <w:kern w:val="2"/>
          <w:sz w:val="24"/>
          <w:szCs w:val="24"/>
        </w:rPr>
      </w:pPr>
      <w:r>
        <w:rPr>
          <w:rFonts w:hint="eastAsia" w:hAnsi="Times New Roman"/>
          <w:kern w:val="2"/>
          <w:sz w:val="24"/>
          <w:szCs w:val="24"/>
          <w:lang w:eastAsia="zh-CN"/>
        </w:rPr>
        <w:t>投标方</w:t>
      </w:r>
      <w:r>
        <w:rPr>
          <w:rFonts w:hint="eastAsia" w:hAnsi="Times New Roman"/>
          <w:kern w:val="2"/>
          <w:sz w:val="24"/>
          <w:szCs w:val="24"/>
        </w:rPr>
        <w:t>现场设备拆卸、安装、调试的时间应尽量缩短，并不得影响</w:t>
      </w:r>
      <w:r>
        <w:rPr>
          <w:rFonts w:hint="eastAsia" w:hAnsi="Times New Roman"/>
          <w:kern w:val="2"/>
          <w:sz w:val="24"/>
          <w:szCs w:val="24"/>
          <w:lang w:eastAsia="zh-CN"/>
        </w:rPr>
        <w:t>招标方</w:t>
      </w:r>
      <w:r>
        <w:rPr>
          <w:rFonts w:hint="eastAsia" w:hAnsi="Times New Roman"/>
          <w:kern w:val="2"/>
          <w:sz w:val="24"/>
          <w:szCs w:val="24"/>
        </w:rPr>
        <w:t>其它设备的正常作业。单台拆装调试期控制在</w:t>
      </w:r>
      <w:r>
        <w:rPr>
          <w:rFonts w:hAnsi="Times New Roman"/>
          <w:kern w:val="2"/>
          <w:sz w:val="24"/>
          <w:szCs w:val="24"/>
        </w:rPr>
        <w:t>7</w:t>
      </w:r>
      <w:r>
        <w:rPr>
          <w:rFonts w:hint="eastAsia" w:hAnsi="Times New Roman"/>
          <w:kern w:val="2"/>
          <w:sz w:val="24"/>
          <w:szCs w:val="24"/>
        </w:rPr>
        <w:t>天以内。</w:t>
      </w:r>
    </w:p>
    <w:p>
      <w:pPr>
        <w:pStyle w:val="3"/>
        <w:keepNext/>
        <w:keepLines/>
        <w:pageBreakBefore w:val="0"/>
        <w:widowControl w:val="0"/>
        <w:numPr>
          <w:ilvl w:val="0"/>
          <w:numId w:val="0"/>
        </w:numPr>
        <w:tabs>
          <w:tab w:val="left" w:pos="1103"/>
        </w:tabs>
        <w:kinsoku/>
        <w:wordWrap/>
        <w:overflowPunct/>
        <w:topLinePunct w:val="0"/>
        <w:autoSpaceDE/>
        <w:autoSpaceDN/>
        <w:bidi w:val="0"/>
        <w:adjustRightInd w:val="0"/>
        <w:snapToGrid w:val="0"/>
        <w:spacing w:before="0" w:after="260" w:line="240" w:lineRule="auto"/>
        <w:ind w:left="23" w:leftChars="0" w:right="0" w:rightChars="0" w:firstLine="0" w:firstLineChars="0"/>
        <w:jc w:val="both"/>
        <w:textAlignment w:val="auto"/>
        <w:outlineLvl w:val="1"/>
        <w:rPr>
          <w:rFonts w:hint="eastAsia"/>
          <w:sz w:val="28"/>
          <w:szCs w:val="28"/>
        </w:rPr>
      </w:pPr>
      <w:bookmarkStart w:id="22" w:name="_Toc23852"/>
      <w:r>
        <w:rPr>
          <w:rFonts w:hint="eastAsia"/>
          <w:sz w:val="28"/>
          <w:szCs w:val="28"/>
        </w:rPr>
        <w:t xml:space="preserve">3.6 </w:t>
      </w:r>
      <w:r>
        <w:rPr>
          <w:rFonts w:hint="eastAsia" w:ascii="宋体" w:hAnsi="宋体" w:eastAsia="宋体" w:cs="宋体"/>
          <w:sz w:val="28"/>
          <w:szCs w:val="28"/>
        </w:rPr>
        <w:t>服务承诺</w:t>
      </w:r>
      <w:bookmarkEnd w:id="22"/>
    </w:p>
    <w:p>
      <w:pPr>
        <w:pStyle w:val="7"/>
        <w:numPr>
          <w:ilvl w:val="0"/>
          <w:numId w:val="8"/>
        </w:numPr>
        <w:spacing w:line="480" w:lineRule="exact"/>
        <w:ind w:firstLine="480" w:firstLineChars="200"/>
        <w:rPr>
          <w:rFonts w:hint="eastAsia" w:hAnsi="Times New Roman"/>
          <w:kern w:val="2"/>
          <w:sz w:val="24"/>
          <w:szCs w:val="24"/>
        </w:rPr>
      </w:pPr>
      <w:r>
        <w:rPr>
          <w:rFonts w:hint="eastAsia" w:hAnsi="Times New Roman"/>
          <w:kern w:val="2"/>
          <w:sz w:val="24"/>
          <w:szCs w:val="24"/>
        </w:rPr>
        <w:t>凡在开箱检验、安装调试、设备试运转过程中发现的设备质量问题，由</w:t>
      </w:r>
      <w:r>
        <w:rPr>
          <w:rFonts w:hint="eastAsia" w:hAnsi="Times New Roman"/>
          <w:kern w:val="2"/>
          <w:sz w:val="24"/>
          <w:szCs w:val="24"/>
          <w:lang w:eastAsia="zh-CN"/>
        </w:rPr>
        <w:t>投标方</w:t>
      </w:r>
      <w:r>
        <w:rPr>
          <w:rFonts w:hint="eastAsia" w:hAnsi="Times New Roman"/>
          <w:kern w:val="2"/>
          <w:sz w:val="24"/>
          <w:szCs w:val="24"/>
        </w:rPr>
        <w:t>负责处理，实行包修、包换、包退直至产品符合质量要求，</w:t>
      </w:r>
      <w:r>
        <w:rPr>
          <w:rFonts w:hint="eastAsia" w:hAnsi="Times New Roman"/>
          <w:kern w:val="2"/>
          <w:sz w:val="24"/>
          <w:szCs w:val="24"/>
          <w:lang w:eastAsia="zh-CN"/>
        </w:rPr>
        <w:t>投标方</w:t>
      </w:r>
      <w:r>
        <w:rPr>
          <w:rFonts w:hint="eastAsia" w:hAnsi="Times New Roman"/>
          <w:kern w:val="2"/>
          <w:sz w:val="24"/>
          <w:szCs w:val="24"/>
        </w:rPr>
        <w:t>承担修理、调换、退货发生的一切费用和</w:t>
      </w:r>
      <w:r>
        <w:rPr>
          <w:rFonts w:hint="eastAsia" w:hAnsi="Times New Roman"/>
          <w:kern w:val="2"/>
          <w:sz w:val="24"/>
          <w:szCs w:val="24"/>
          <w:lang w:eastAsia="zh-CN"/>
        </w:rPr>
        <w:t>招标方</w:t>
      </w:r>
      <w:r>
        <w:rPr>
          <w:rFonts w:hint="eastAsia" w:hAnsi="Times New Roman"/>
          <w:kern w:val="2"/>
          <w:sz w:val="24"/>
          <w:szCs w:val="24"/>
        </w:rPr>
        <w:t>的直接经济损失。</w:t>
      </w:r>
    </w:p>
    <w:p>
      <w:pPr>
        <w:pStyle w:val="7"/>
        <w:numPr>
          <w:ilvl w:val="0"/>
          <w:numId w:val="8"/>
        </w:numPr>
        <w:spacing w:line="480" w:lineRule="exact"/>
        <w:ind w:firstLine="480" w:firstLineChars="200"/>
        <w:rPr>
          <w:rFonts w:hAnsi="Times New Roman"/>
          <w:kern w:val="2"/>
          <w:sz w:val="24"/>
          <w:szCs w:val="24"/>
        </w:rPr>
      </w:pPr>
      <w:r>
        <w:rPr>
          <w:rFonts w:hint="eastAsia" w:hAnsi="Times New Roman"/>
          <w:kern w:val="2"/>
          <w:sz w:val="24"/>
          <w:szCs w:val="24"/>
          <w:lang w:eastAsia="zh-CN"/>
        </w:rPr>
        <w:t>投标方</w:t>
      </w:r>
      <w:r>
        <w:rPr>
          <w:rFonts w:hint="eastAsia" w:hAnsi="Times New Roman"/>
          <w:kern w:val="2"/>
          <w:sz w:val="24"/>
          <w:szCs w:val="24"/>
        </w:rPr>
        <w:t>对改造后的</w:t>
      </w:r>
      <w:r>
        <w:rPr>
          <w:rFonts w:hint="eastAsia" w:hAnsi="Times New Roman"/>
          <w:kern w:val="2"/>
          <w:sz w:val="24"/>
          <w:szCs w:val="24"/>
          <w:lang w:eastAsia="zh-CN"/>
        </w:rPr>
        <w:t>招标方</w:t>
      </w:r>
      <w:r>
        <w:rPr>
          <w:rFonts w:hint="eastAsia" w:hAnsi="Times New Roman"/>
          <w:kern w:val="2"/>
          <w:sz w:val="24"/>
          <w:szCs w:val="24"/>
        </w:rPr>
        <w:t>设备系统免费保修18个月，以电话、传真、邮件、现场服务等方式为</w:t>
      </w:r>
      <w:r>
        <w:rPr>
          <w:rFonts w:hint="eastAsia" w:hAnsi="Times New Roman"/>
          <w:kern w:val="2"/>
          <w:sz w:val="24"/>
          <w:szCs w:val="24"/>
          <w:lang w:eastAsia="zh-CN"/>
        </w:rPr>
        <w:t>招标方</w:t>
      </w:r>
      <w:r>
        <w:rPr>
          <w:rFonts w:hint="eastAsia" w:hAnsi="Times New Roman"/>
          <w:kern w:val="2"/>
          <w:sz w:val="24"/>
          <w:szCs w:val="24"/>
        </w:rPr>
        <w:t>提供技术保障，在设备出现故障并接到</w:t>
      </w:r>
      <w:r>
        <w:rPr>
          <w:rFonts w:hint="eastAsia" w:hAnsi="Times New Roman"/>
          <w:kern w:val="2"/>
          <w:sz w:val="24"/>
          <w:szCs w:val="24"/>
          <w:lang w:eastAsia="zh-CN"/>
        </w:rPr>
        <w:t>招标方</w:t>
      </w:r>
      <w:r>
        <w:rPr>
          <w:rFonts w:hint="eastAsia" w:hAnsi="Times New Roman"/>
          <w:kern w:val="2"/>
          <w:sz w:val="24"/>
          <w:szCs w:val="24"/>
        </w:rPr>
        <w:t>现场服务要求时，应在</w:t>
      </w:r>
      <w:r>
        <w:rPr>
          <w:rFonts w:hAnsi="Times New Roman"/>
          <w:kern w:val="2"/>
          <w:sz w:val="24"/>
          <w:szCs w:val="24"/>
        </w:rPr>
        <w:t>24</w:t>
      </w:r>
      <w:r>
        <w:rPr>
          <w:rFonts w:hint="eastAsia" w:hAnsi="Times New Roman"/>
          <w:kern w:val="2"/>
          <w:sz w:val="24"/>
          <w:szCs w:val="24"/>
        </w:rPr>
        <w:t>小时内赶到黄骅港现场，并在</w:t>
      </w:r>
      <w:r>
        <w:rPr>
          <w:rFonts w:hAnsi="Times New Roman"/>
          <w:kern w:val="2"/>
          <w:sz w:val="24"/>
          <w:szCs w:val="24"/>
        </w:rPr>
        <w:t>36</w:t>
      </w:r>
      <w:r>
        <w:rPr>
          <w:rFonts w:hint="eastAsia" w:hAnsi="Times New Roman"/>
          <w:kern w:val="2"/>
          <w:sz w:val="24"/>
          <w:szCs w:val="24"/>
        </w:rPr>
        <w:t>小时内解决问题或提出可行性解决方案。</w:t>
      </w:r>
    </w:p>
    <w:p>
      <w:pPr>
        <w:pStyle w:val="7"/>
        <w:numPr>
          <w:ilvl w:val="0"/>
          <w:numId w:val="8"/>
        </w:numPr>
        <w:spacing w:line="480" w:lineRule="exact"/>
        <w:ind w:firstLine="480" w:firstLineChars="200"/>
        <w:rPr>
          <w:rFonts w:hAnsi="Times New Roman"/>
          <w:kern w:val="2"/>
          <w:sz w:val="24"/>
          <w:szCs w:val="24"/>
        </w:rPr>
      </w:pPr>
      <w:r>
        <w:rPr>
          <w:rFonts w:hint="eastAsia" w:hAnsi="Times New Roman"/>
          <w:kern w:val="2"/>
          <w:sz w:val="24"/>
          <w:szCs w:val="24"/>
          <w:lang w:eastAsia="zh-CN"/>
        </w:rPr>
        <w:t>投标方</w:t>
      </w:r>
      <w:r>
        <w:rPr>
          <w:rFonts w:hint="eastAsia" w:hAnsi="Times New Roman"/>
          <w:kern w:val="2"/>
          <w:sz w:val="24"/>
          <w:szCs w:val="24"/>
        </w:rPr>
        <w:t>对所提供设备的主要部件及所有外购配套件</w:t>
      </w:r>
      <w:r>
        <w:rPr>
          <w:rFonts w:hAnsi="Times New Roman"/>
          <w:kern w:val="2"/>
          <w:sz w:val="24"/>
          <w:szCs w:val="24"/>
        </w:rPr>
        <w:t>18</w:t>
      </w:r>
      <w:r>
        <w:rPr>
          <w:rFonts w:hint="eastAsia" w:hAnsi="Times New Roman"/>
          <w:kern w:val="2"/>
          <w:sz w:val="24"/>
          <w:szCs w:val="24"/>
        </w:rPr>
        <w:t>个月内免费维修或更换。</w:t>
      </w:r>
    </w:p>
    <w:p>
      <w:pPr>
        <w:pStyle w:val="3"/>
        <w:keepNext/>
        <w:keepLines/>
        <w:pageBreakBefore w:val="0"/>
        <w:widowControl w:val="0"/>
        <w:numPr>
          <w:ilvl w:val="0"/>
          <w:numId w:val="0"/>
        </w:numPr>
        <w:tabs>
          <w:tab w:val="left" w:pos="1103"/>
        </w:tabs>
        <w:kinsoku/>
        <w:wordWrap/>
        <w:overflowPunct/>
        <w:topLinePunct w:val="0"/>
        <w:autoSpaceDE/>
        <w:autoSpaceDN/>
        <w:bidi w:val="0"/>
        <w:adjustRightInd w:val="0"/>
        <w:snapToGrid w:val="0"/>
        <w:spacing w:before="0" w:after="260" w:line="240" w:lineRule="auto"/>
        <w:ind w:left="23" w:leftChars="0" w:right="0" w:rightChars="0" w:firstLine="0" w:firstLineChars="0"/>
        <w:jc w:val="both"/>
        <w:textAlignment w:val="auto"/>
        <w:outlineLvl w:val="1"/>
        <w:rPr>
          <w:rFonts w:hint="eastAsia"/>
          <w:sz w:val="28"/>
          <w:szCs w:val="28"/>
        </w:rPr>
      </w:pPr>
      <w:bookmarkStart w:id="23" w:name="_Toc8680"/>
      <w:r>
        <w:rPr>
          <w:rFonts w:hint="eastAsia"/>
          <w:sz w:val="28"/>
          <w:szCs w:val="28"/>
        </w:rPr>
        <w:t xml:space="preserve">3.7 </w:t>
      </w:r>
      <w:r>
        <w:rPr>
          <w:rFonts w:hint="eastAsia" w:ascii="宋体" w:hAnsi="宋体" w:eastAsia="宋体" w:cs="宋体"/>
          <w:sz w:val="28"/>
          <w:szCs w:val="28"/>
        </w:rPr>
        <w:t>其他</w:t>
      </w:r>
      <w:bookmarkEnd w:id="23"/>
    </w:p>
    <w:p>
      <w:pPr>
        <w:pStyle w:val="7"/>
        <w:numPr>
          <w:ilvl w:val="0"/>
          <w:numId w:val="9"/>
        </w:numPr>
        <w:spacing w:line="480" w:lineRule="exact"/>
        <w:ind w:firstLine="480" w:firstLineChars="200"/>
        <w:rPr>
          <w:rFonts w:hint="eastAsia" w:hAnsi="Times New Roman"/>
          <w:kern w:val="2"/>
          <w:sz w:val="24"/>
          <w:szCs w:val="24"/>
        </w:rPr>
      </w:pPr>
      <w:r>
        <w:rPr>
          <w:rFonts w:hint="eastAsia" w:hAnsi="Times New Roman"/>
          <w:kern w:val="2"/>
          <w:sz w:val="24"/>
          <w:szCs w:val="24"/>
          <w:lang w:eastAsia="zh-CN"/>
        </w:rPr>
        <w:t>投标方</w:t>
      </w:r>
      <w:r>
        <w:rPr>
          <w:rFonts w:hint="eastAsia" w:hAnsi="Times New Roman"/>
          <w:kern w:val="2"/>
          <w:sz w:val="24"/>
          <w:szCs w:val="24"/>
        </w:rPr>
        <w:t>在详细设计资料完成应交</w:t>
      </w:r>
      <w:r>
        <w:rPr>
          <w:rFonts w:hint="eastAsia" w:hAnsi="Times New Roman"/>
          <w:kern w:val="2"/>
          <w:sz w:val="24"/>
          <w:szCs w:val="24"/>
          <w:lang w:eastAsia="zh-CN"/>
        </w:rPr>
        <w:t>招标方</w:t>
      </w:r>
      <w:r>
        <w:rPr>
          <w:rFonts w:hint="eastAsia" w:hAnsi="Times New Roman"/>
          <w:kern w:val="2"/>
          <w:sz w:val="24"/>
          <w:szCs w:val="24"/>
        </w:rPr>
        <w:t>进行审查，并根据</w:t>
      </w:r>
      <w:r>
        <w:rPr>
          <w:rFonts w:hint="eastAsia" w:hAnsi="Times New Roman"/>
          <w:kern w:val="2"/>
          <w:sz w:val="24"/>
          <w:szCs w:val="24"/>
          <w:lang w:eastAsia="zh-CN"/>
        </w:rPr>
        <w:t>招标方</w:t>
      </w:r>
      <w:r>
        <w:rPr>
          <w:rFonts w:hint="eastAsia" w:hAnsi="Times New Roman"/>
          <w:kern w:val="2"/>
          <w:sz w:val="24"/>
          <w:szCs w:val="24"/>
        </w:rPr>
        <w:t>意见进行相应修改。</w:t>
      </w:r>
    </w:p>
    <w:p>
      <w:pPr>
        <w:pStyle w:val="7"/>
        <w:numPr>
          <w:ilvl w:val="0"/>
          <w:numId w:val="9"/>
        </w:numPr>
        <w:spacing w:line="480" w:lineRule="exact"/>
        <w:ind w:firstLine="480" w:firstLineChars="200"/>
        <w:rPr>
          <w:rFonts w:hAnsi="Times New Roman"/>
          <w:kern w:val="2"/>
          <w:sz w:val="24"/>
          <w:szCs w:val="24"/>
        </w:rPr>
      </w:pPr>
      <w:r>
        <w:rPr>
          <w:rFonts w:hint="eastAsia" w:hAnsi="Times New Roman"/>
          <w:kern w:val="2"/>
          <w:sz w:val="24"/>
          <w:szCs w:val="24"/>
          <w:lang w:eastAsia="zh-CN"/>
        </w:rPr>
        <w:t>投标方</w:t>
      </w:r>
      <w:r>
        <w:rPr>
          <w:rFonts w:hint="eastAsia" w:hAnsi="Times New Roman"/>
          <w:kern w:val="2"/>
          <w:sz w:val="24"/>
          <w:szCs w:val="24"/>
        </w:rPr>
        <w:t>设备主要部件下料加工、司机室组装、厂内调试等阶段前应及时通知</w:t>
      </w:r>
      <w:r>
        <w:rPr>
          <w:rFonts w:hint="eastAsia" w:hAnsi="Times New Roman"/>
          <w:kern w:val="2"/>
          <w:sz w:val="24"/>
          <w:szCs w:val="24"/>
          <w:lang w:eastAsia="zh-CN"/>
        </w:rPr>
        <w:t>招标方</w:t>
      </w:r>
      <w:r>
        <w:rPr>
          <w:rFonts w:hint="eastAsia" w:hAnsi="Times New Roman"/>
          <w:kern w:val="2"/>
          <w:sz w:val="24"/>
          <w:szCs w:val="24"/>
        </w:rPr>
        <w:t>，并接受</w:t>
      </w:r>
      <w:r>
        <w:rPr>
          <w:rFonts w:hint="eastAsia" w:hAnsi="Times New Roman"/>
          <w:kern w:val="2"/>
          <w:sz w:val="24"/>
          <w:szCs w:val="24"/>
          <w:lang w:eastAsia="zh-CN"/>
        </w:rPr>
        <w:t>招标方</w:t>
      </w:r>
      <w:r>
        <w:rPr>
          <w:rFonts w:hint="eastAsia" w:hAnsi="Times New Roman"/>
          <w:kern w:val="2"/>
          <w:sz w:val="24"/>
          <w:szCs w:val="24"/>
        </w:rPr>
        <w:t>审查。</w:t>
      </w:r>
    </w:p>
    <w:p>
      <w:pPr>
        <w:pStyle w:val="2"/>
        <w:numPr>
          <w:ilvl w:val="0"/>
          <w:numId w:val="0"/>
        </w:numPr>
        <w:tabs>
          <w:tab w:val="left" w:pos="1103"/>
        </w:tabs>
        <w:adjustRightInd w:val="0"/>
        <w:snapToGrid w:val="0"/>
        <w:spacing w:before="0" w:after="0" w:line="360" w:lineRule="auto"/>
        <w:ind w:left="23"/>
        <w:jc w:val="both"/>
        <w:rPr>
          <w:rFonts w:hint="eastAsia"/>
          <w:sz w:val="28"/>
          <w:szCs w:val="28"/>
        </w:rPr>
      </w:pPr>
      <w:bookmarkStart w:id="24" w:name="_Toc8172"/>
      <w:r>
        <w:rPr>
          <w:rFonts w:hint="eastAsia"/>
          <w:sz w:val="28"/>
          <w:szCs w:val="28"/>
        </w:rPr>
        <w:t xml:space="preserve">4. </w:t>
      </w:r>
      <w:r>
        <w:rPr>
          <w:rFonts w:hint="eastAsia" w:ascii="宋体" w:hAnsi="宋体" w:eastAsia="宋体" w:cs="宋体"/>
          <w:sz w:val="28"/>
          <w:szCs w:val="28"/>
        </w:rPr>
        <w:t>其它</w:t>
      </w:r>
      <w:bookmarkEnd w:id="24"/>
    </w:p>
    <w:p>
      <w:pPr>
        <w:pStyle w:val="7"/>
        <w:spacing w:line="480" w:lineRule="exact"/>
        <w:ind w:firstLine="480" w:firstLineChars="200"/>
        <w:rPr>
          <w:rFonts w:hint="eastAsia" w:hAnsi="Times New Roman"/>
          <w:kern w:val="2"/>
          <w:sz w:val="24"/>
          <w:szCs w:val="24"/>
        </w:rPr>
      </w:pPr>
      <w:r>
        <w:rPr>
          <w:rFonts w:hint="eastAsia" w:hAnsi="Times New Roman"/>
          <w:kern w:val="2"/>
          <w:sz w:val="24"/>
          <w:szCs w:val="24"/>
        </w:rPr>
        <w:t>（1） 本协议作为合同附件，与合同具有同等法律效力。</w:t>
      </w:r>
    </w:p>
    <w:p>
      <w:pPr>
        <w:pStyle w:val="7"/>
        <w:spacing w:line="480" w:lineRule="exact"/>
        <w:ind w:firstLine="480" w:firstLineChars="200"/>
        <w:rPr>
          <w:rFonts w:hint="eastAsia" w:hAnsi="Times New Roman"/>
          <w:kern w:val="2"/>
          <w:sz w:val="24"/>
          <w:szCs w:val="24"/>
        </w:rPr>
      </w:pPr>
      <w:r>
        <w:rPr>
          <w:rFonts w:hint="eastAsia" w:hAnsi="Times New Roman"/>
          <w:kern w:val="2"/>
          <w:sz w:val="24"/>
          <w:szCs w:val="24"/>
        </w:rPr>
        <w:t xml:space="preserve">（2） </w:t>
      </w:r>
      <w:r>
        <w:rPr>
          <w:rFonts w:hint="eastAsia" w:hAnsi="Times New Roman"/>
          <w:kern w:val="2"/>
          <w:sz w:val="24"/>
          <w:szCs w:val="24"/>
          <w:lang w:eastAsia="zh-CN"/>
        </w:rPr>
        <w:t>投标方</w:t>
      </w:r>
      <w:r>
        <w:rPr>
          <w:rFonts w:hint="eastAsia" w:hAnsi="Times New Roman"/>
          <w:kern w:val="2"/>
          <w:sz w:val="24"/>
          <w:szCs w:val="24"/>
        </w:rPr>
        <w:t>在设备安装前一个月提供现场施工组织设计方案及现场调试方案，并接受</w:t>
      </w:r>
      <w:r>
        <w:rPr>
          <w:rFonts w:hint="eastAsia" w:hAnsi="Times New Roman"/>
          <w:kern w:val="2"/>
          <w:sz w:val="24"/>
          <w:szCs w:val="24"/>
          <w:lang w:eastAsia="zh-CN"/>
        </w:rPr>
        <w:t>招标方</w:t>
      </w:r>
      <w:r>
        <w:rPr>
          <w:rFonts w:hint="eastAsia" w:hAnsi="Times New Roman"/>
          <w:kern w:val="2"/>
          <w:sz w:val="24"/>
          <w:szCs w:val="24"/>
        </w:rPr>
        <w:t>审查。</w:t>
      </w:r>
    </w:p>
    <w:p>
      <w:pPr>
        <w:pStyle w:val="7"/>
        <w:spacing w:line="480" w:lineRule="exact"/>
        <w:ind w:firstLine="480" w:firstLineChars="200"/>
        <w:rPr>
          <w:rFonts w:hAnsi="Times New Roman"/>
          <w:kern w:val="2"/>
          <w:sz w:val="24"/>
          <w:szCs w:val="24"/>
        </w:rPr>
      </w:pPr>
      <w:r>
        <w:rPr>
          <w:rFonts w:hint="eastAsia" w:hAnsi="Times New Roman"/>
          <w:kern w:val="2"/>
          <w:sz w:val="24"/>
          <w:szCs w:val="24"/>
        </w:rPr>
        <w:t>（3） 未尽事宜，协商解决。</w:t>
      </w:r>
      <w:r>
        <w:rPr>
          <w:rFonts w:hAnsi="Times New Roman"/>
          <w:kern w:val="2"/>
          <w:sz w:val="24"/>
          <w:szCs w:val="24"/>
        </w:rPr>
        <w:t xml:space="preserve"> </w:t>
      </w:r>
    </w:p>
    <w:p>
      <w:pPr>
        <w:pStyle w:val="2"/>
        <w:numPr>
          <w:ilvl w:val="0"/>
          <w:numId w:val="0"/>
        </w:numPr>
        <w:tabs>
          <w:tab w:val="left" w:pos="1103"/>
        </w:tabs>
        <w:adjustRightInd w:val="0"/>
        <w:snapToGrid w:val="0"/>
        <w:spacing w:before="0" w:after="0" w:line="360" w:lineRule="auto"/>
        <w:ind w:left="23"/>
        <w:jc w:val="both"/>
        <w:rPr>
          <w:rFonts w:hint="eastAsia"/>
          <w:sz w:val="28"/>
          <w:szCs w:val="28"/>
        </w:rPr>
      </w:pPr>
      <w:bookmarkStart w:id="25" w:name="_Toc24552"/>
      <w:r>
        <w:rPr>
          <w:rFonts w:hint="eastAsia"/>
          <w:sz w:val="28"/>
          <w:szCs w:val="28"/>
        </w:rPr>
        <w:t xml:space="preserve">5. </w:t>
      </w:r>
      <w:r>
        <w:rPr>
          <w:rFonts w:hint="eastAsia" w:ascii="宋体" w:hAnsi="宋体" w:eastAsia="宋体" w:cs="宋体"/>
          <w:sz w:val="28"/>
          <w:szCs w:val="28"/>
        </w:rPr>
        <w:t>工程改造范围及供货清单</w:t>
      </w:r>
      <w:bookmarkEnd w:id="25"/>
    </w:p>
    <w:p>
      <w:pPr>
        <w:pStyle w:val="7"/>
        <w:spacing w:line="480" w:lineRule="exact"/>
        <w:ind w:firstLine="480" w:firstLineChars="200"/>
        <w:rPr>
          <w:rFonts w:hint="eastAsia" w:hAnsi="Times New Roman"/>
          <w:kern w:val="2"/>
          <w:sz w:val="24"/>
          <w:szCs w:val="24"/>
        </w:rPr>
      </w:pPr>
      <w:r>
        <w:rPr>
          <w:rFonts w:hint="eastAsia" w:hAnsi="Times New Roman"/>
          <w:kern w:val="2"/>
          <w:sz w:val="24"/>
          <w:szCs w:val="24"/>
        </w:rPr>
        <w:t>本项目二期装船机SL4、SL5、SL6司机室改造工程，此项目为交钥匙工程。</w:t>
      </w:r>
      <w:r>
        <w:rPr>
          <w:rFonts w:hint="eastAsia" w:hAnsi="Times New Roman"/>
          <w:kern w:val="2"/>
          <w:sz w:val="24"/>
          <w:szCs w:val="24"/>
          <w:lang w:eastAsia="zh-CN"/>
        </w:rPr>
        <w:t>投标方</w:t>
      </w:r>
      <w:r>
        <w:rPr>
          <w:rFonts w:hint="eastAsia" w:hAnsi="Times New Roman"/>
          <w:kern w:val="2"/>
          <w:sz w:val="24"/>
          <w:szCs w:val="24"/>
        </w:rPr>
        <w:t>的基本供货范围是提供一套功能完整的系统改造设备、材料、现场安装施工及电气控制系统调整等。其具体项目如下，但不限于此：（见下表）</w:t>
      </w:r>
    </w:p>
    <w:p>
      <w:pPr>
        <w:pStyle w:val="7"/>
        <w:spacing w:line="480" w:lineRule="exact"/>
        <w:rPr>
          <w:rFonts w:hint="eastAsia" w:hAnsi="Times New Roman"/>
          <w:kern w:val="2"/>
          <w:sz w:val="24"/>
          <w:szCs w:val="24"/>
        </w:rPr>
      </w:pPr>
    </w:p>
    <w:tbl>
      <w:tblPr>
        <w:tblStyle w:val="17"/>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0"/>
        <w:gridCol w:w="2121"/>
        <w:gridCol w:w="880"/>
        <w:gridCol w:w="973"/>
        <w:gridCol w:w="34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820" w:type="dxa"/>
            <w:vAlign w:val="center"/>
          </w:tcPr>
          <w:p>
            <w:pPr>
              <w:spacing w:line="480" w:lineRule="exact"/>
              <w:jc w:val="center"/>
              <w:rPr>
                <w:rFonts w:ascii="宋体" w:hAnsi="宋体"/>
                <w:sz w:val="24"/>
              </w:rPr>
            </w:pPr>
            <w:bookmarkStart w:id="26" w:name="_Toc298059169"/>
            <w:bookmarkStart w:id="27" w:name="_Toc297630192"/>
            <w:bookmarkStart w:id="28" w:name="_Toc298059284"/>
            <w:bookmarkStart w:id="29" w:name="_Toc298059907"/>
            <w:bookmarkStart w:id="30" w:name="_Toc298074679"/>
            <w:bookmarkStart w:id="31" w:name="_Toc298161949"/>
            <w:bookmarkStart w:id="32" w:name="_Toc298408472"/>
            <w:bookmarkStart w:id="33" w:name="_Toc298408670"/>
            <w:bookmarkStart w:id="34" w:name="_Toc298167428"/>
            <w:bookmarkStart w:id="35" w:name="_Toc298683847"/>
            <w:bookmarkStart w:id="36" w:name="_Toc298575689"/>
            <w:r>
              <w:rPr>
                <w:rFonts w:hint="eastAsia" w:ascii="宋体" w:hAnsi="宋体"/>
                <w:sz w:val="24"/>
              </w:rPr>
              <w:t>序号</w:t>
            </w:r>
            <w:bookmarkEnd w:id="26"/>
            <w:bookmarkEnd w:id="27"/>
            <w:bookmarkEnd w:id="28"/>
            <w:bookmarkEnd w:id="29"/>
            <w:bookmarkEnd w:id="30"/>
            <w:bookmarkEnd w:id="31"/>
            <w:bookmarkEnd w:id="32"/>
            <w:bookmarkEnd w:id="33"/>
            <w:bookmarkEnd w:id="34"/>
            <w:bookmarkEnd w:id="35"/>
            <w:bookmarkEnd w:id="36"/>
          </w:p>
        </w:tc>
        <w:tc>
          <w:tcPr>
            <w:tcW w:w="2121" w:type="dxa"/>
            <w:vAlign w:val="center"/>
          </w:tcPr>
          <w:p>
            <w:pPr>
              <w:spacing w:line="480" w:lineRule="exact"/>
              <w:jc w:val="center"/>
              <w:rPr>
                <w:rFonts w:ascii="宋体" w:hAnsi="宋体"/>
                <w:sz w:val="24"/>
              </w:rPr>
            </w:pPr>
            <w:bookmarkStart w:id="37" w:name="_Toc298167429"/>
            <w:bookmarkStart w:id="38" w:name="_Toc298059170"/>
            <w:bookmarkStart w:id="39" w:name="_Toc298575690"/>
            <w:bookmarkStart w:id="40" w:name="_Toc298059908"/>
            <w:bookmarkStart w:id="41" w:name="_Toc298408473"/>
            <w:bookmarkStart w:id="42" w:name="_Toc298074680"/>
            <w:bookmarkStart w:id="43" w:name="_Toc298059285"/>
            <w:bookmarkStart w:id="44" w:name="_Toc298408671"/>
            <w:bookmarkStart w:id="45" w:name="_Toc298161950"/>
            <w:bookmarkStart w:id="46" w:name="_Toc298683848"/>
            <w:bookmarkStart w:id="47" w:name="_Toc297630193"/>
            <w:r>
              <w:rPr>
                <w:rFonts w:hint="eastAsia" w:ascii="宋体" w:hAnsi="宋体"/>
                <w:sz w:val="24"/>
              </w:rPr>
              <w:t>工程项目</w:t>
            </w:r>
            <w:bookmarkEnd w:id="37"/>
            <w:bookmarkEnd w:id="38"/>
            <w:bookmarkEnd w:id="39"/>
            <w:bookmarkEnd w:id="40"/>
            <w:bookmarkEnd w:id="41"/>
            <w:bookmarkEnd w:id="42"/>
            <w:bookmarkEnd w:id="43"/>
            <w:bookmarkEnd w:id="44"/>
            <w:bookmarkEnd w:id="45"/>
            <w:bookmarkEnd w:id="46"/>
            <w:bookmarkEnd w:id="47"/>
          </w:p>
        </w:tc>
        <w:tc>
          <w:tcPr>
            <w:tcW w:w="880" w:type="dxa"/>
            <w:vAlign w:val="center"/>
          </w:tcPr>
          <w:p>
            <w:pPr>
              <w:spacing w:line="480" w:lineRule="exact"/>
              <w:jc w:val="center"/>
              <w:rPr>
                <w:rFonts w:ascii="宋体" w:hAnsi="宋体"/>
                <w:sz w:val="24"/>
              </w:rPr>
            </w:pPr>
            <w:bookmarkStart w:id="48" w:name="_Toc297630194"/>
            <w:bookmarkStart w:id="49" w:name="_Toc298683849"/>
            <w:bookmarkStart w:id="50" w:name="_Toc298408672"/>
            <w:bookmarkStart w:id="51" w:name="_Toc298408474"/>
            <w:bookmarkStart w:id="52" w:name="_Toc298059171"/>
            <w:bookmarkStart w:id="53" w:name="_Toc298575691"/>
            <w:bookmarkStart w:id="54" w:name="_Toc298059286"/>
            <w:bookmarkStart w:id="55" w:name="_Toc298059909"/>
            <w:bookmarkStart w:id="56" w:name="_Toc298167430"/>
            <w:bookmarkStart w:id="57" w:name="_Toc298074681"/>
            <w:bookmarkStart w:id="58" w:name="_Toc298161951"/>
            <w:r>
              <w:rPr>
                <w:rFonts w:hint="eastAsia" w:ascii="宋体" w:hAnsi="宋体"/>
                <w:sz w:val="24"/>
              </w:rPr>
              <w:t>单位</w:t>
            </w:r>
            <w:bookmarkEnd w:id="48"/>
            <w:bookmarkEnd w:id="49"/>
            <w:bookmarkEnd w:id="50"/>
            <w:bookmarkEnd w:id="51"/>
            <w:bookmarkEnd w:id="52"/>
            <w:bookmarkEnd w:id="53"/>
            <w:bookmarkEnd w:id="54"/>
            <w:bookmarkEnd w:id="55"/>
            <w:bookmarkEnd w:id="56"/>
            <w:bookmarkEnd w:id="57"/>
            <w:bookmarkEnd w:id="58"/>
          </w:p>
        </w:tc>
        <w:tc>
          <w:tcPr>
            <w:tcW w:w="973" w:type="dxa"/>
            <w:vAlign w:val="center"/>
          </w:tcPr>
          <w:p>
            <w:pPr>
              <w:spacing w:line="480" w:lineRule="exact"/>
              <w:jc w:val="center"/>
              <w:rPr>
                <w:rFonts w:ascii="宋体" w:hAnsi="宋体"/>
                <w:sz w:val="24"/>
              </w:rPr>
            </w:pPr>
            <w:bookmarkStart w:id="59" w:name="_Toc297630195"/>
            <w:bookmarkStart w:id="60" w:name="_Toc298059172"/>
            <w:bookmarkStart w:id="61" w:name="_Toc298059287"/>
            <w:bookmarkStart w:id="62" w:name="_Toc298408673"/>
            <w:bookmarkStart w:id="63" w:name="_Toc298575692"/>
            <w:bookmarkStart w:id="64" w:name="_Toc298161952"/>
            <w:bookmarkStart w:id="65" w:name="_Toc298059910"/>
            <w:bookmarkStart w:id="66" w:name="_Toc298408475"/>
            <w:bookmarkStart w:id="67" w:name="_Toc298683850"/>
            <w:bookmarkStart w:id="68" w:name="_Toc298074682"/>
            <w:bookmarkStart w:id="69" w:name="_Toc298167431"/>
            <w:r>
              <w:rPr>
                <w:rFonts w:hint="eastAsia" w:ascii="宋体" w:hAnsi="宋体"/>
                <w:sz w:val="24"/>
              </w:rPr>
              <w:t>数量</w:t>
            </w:r>
            <w:bookmarkEnd w:id="59"/>
            <w:bookmarkEnd w:id="60"/>
            <w:bookmarkEnd w:id="61"/>
            <w:bookmarkEnd w:id="62"/>
            <w:bookmarkEnd w:id="63"/>
            <w:bookmarkEnd w:id="64"/>
            <w:bookmarkEnd w:id="65"/>
            <w:bookmarkEnd w:id="66"/>
            <w:bookmarkEnd w:id="67"/>
            <w:bookmarkEnd w:id="68"/>
            <w:bookmarkEnd w:id="69"/>
          </w:p>
        </w:tc>
        <w:tc>
          <w:tcPr>
            <w:tcW w:w="3492" w:type="dxa"/>
            <w:vAlign w:val="center"/>
          </w:tcPr>
          <w:p>
            <w:pPr>
              <w:spacing w:line="480" w:lineRule="exact"/>
              <w:jc w:val="center"/>
              <w:rPr>
                <w:rFonts w:ascii="宋体" w:hAnsi="宋体"/>
                <w:sz w:val="24"/>
              </w:rPr>
            </w:pPr>
            <w:bookmarkStart w:id="70" w:name="_Toc298167434"/>
            <w:bookmarkStart w:id="71" w:name="_Toc297630198"/>
            <w:bookmarkStart w:id="72" w:name="_Toc298059290"/>
            <w:bookmarkStart w:id="73" w:name="_Toc298408478"/>
            <w:bookmarkStart w:id="74" w:name="_Toc298408676"/>
            <w:bookmarkStart w:id="75" w:name="_Toc298575695"/>
            <w:bookmarkStart w:id="76" w:name="_Toc298161955"/>
            <w:bookmarkStart w:id="77" w:name="_Toc298683853"/>
            <w:bookmarkStart w:id="78" w:name="_Toc298059175"/>
            <w:bookmarkStart w:id="79" w:name="_Toc298059913"/>
            <w:bookmarkStart w:id="80" w:name="_Toc298074685"/>
            <w:r>
              <w:rPr>
                <w:rFonts w:hint="eastAsia" w:ascii="宋体" w:hAnsi="宋体"/>
                <w:sz w:val="24"/>
              </w:rPr>
              <w:t>备注</w:t>
            </w:r>
            <w:bookmarkEnd w:id="70"/>
            <w:bookmarkEnd w:id="71"/>
            <w:bookmarkEnd w:id="72"/>
            <w:bookmarkEnd w:id="73"/>
            <w:bookmarkEnd w:id="74"/>
            <w:bookmarkEnd w:id="75"/>
            <w:bookmarkEnd w:id="76"/>
            <w:bookmarkEnd w:id="77"/>
            <w:bookmarkEnd w:id="78"/>
            <w:bookmarkEnd w:id="79"/>
            <w:bookmarkEnd w:id="8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5" w:hRule="atLeast"/>
          <w:jc w:val="center"/>
        </w:trPr>
        <w:tc>
          <w:tcPr>
            <w:tcW w:w="1820" w:type="dxa"/>
            <w:vAlign w:val="center"/>
          </w:tcPr>
          <w:p>
            <w:pPr>
              <w:spacing w:line="480" w:lineRule="exact"/>
              <w:jc w:val="center"/>
              <w:rPr>
                <w:rFonts w:ascii="宋体" w:hAnsi="宋体"/>
                <w:sz w:val="24"/>
              </w:rPr>
            </w:pPr>
            <w:r>
              <w:rPr>
                <w:rFonts w:hint="eastAsia" w:ascii="宋体" w:hAnsi="宋体"/>
                <w:sz w:val="24"/>
              </w:rPr>
              <w:t>一</w:t>
            </w:r>
          </w:p>
        </w:tc>
        <w:tc>
          <w:tcPr>
            <w:tcW w:w="2121" w:type="dxa"/>
            <w:vAlign w:val="center"/>
          </w:tcPr>
          <w:p>
            <w:pPr>
              <w:spacing w:line="480" w:lineRule="exact"/>
              <w:jc w:val="center"/>
              <w:rPr>
                <w:rFonts w:ascii="宋体" w:hAnsi="宋体"/>
                <w:sz w:val="24"/>
              </w:rPr>
            </w:pPr>
            <w:r>
              <w:rPr>
                <w:rFonts w:hint="eastAsia" w:ascii="宋体" w:hAnsi="宋体"/>
                <w:sz w:val="24"/>
              </w:rPr>
              <w:t>设备清单</w:t>
            </w:r>
          </w:p>
        </w:tc>
        <w:tc>
          <w:tcPr>
            <w:tcW w:w="880" w:type="dxa"/>
            <w:vAlign w:val="center"/>
          </w:tcPr>
          <w:p>
            <w:pPr>
              <w:spacing w:line="480" w:lineRule="exact"/>
              <w:jc w:val="center"/>
              <w:rPr>
                <w:rFonts w:ascii="宋体" w:hAnsi="宋体"/>
                <w:sz w:val="24"/>
              </w:rPr>
            </w:pPr>
          </w:p>
        </w:tc>
        <w:tc>
          <w:tcPr>
            <w:tcW w:w="973" w:type="dxa"/>
            <w:vAlign w:val="center"/>
          </w:tcPr>
          <w:p>
            <w:pPr>
              <w:spacing w:line="480" w:lineRule="exact"/>
              <w:jc w:val="center"/>
              <w:rPr>
                <w:rFonts w:ascii="宋体" w:hAnsi="宋体"/>
                <w:sz w:val="24"/>
              </w:rPr>
            </w:pPr>
          </w:p>
        </w:tc>
        <w:tc>
          <w:tcPr>
            <w:tcW w:w="3492" w:type="dxa"/>
            <w:vAlign w:val="center"/>
          </w:tcPr>
          <w:p>
            <w:pPr>
              <w:spacing w:line="48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20" w:type="dxa"/>
            <w:vAlign w:val="center"/>
          </w:tcPr>
          <w:p>
            <w:pPr>
              <w:spacing w:line="480" w:lineRule="exact"/>
              <w:jc w:val="center"/>
              <w:rPr>
                <w:rFonts w:ascii="宋体" w:hAnsi="宋体"/>
                <w:sz w:val="24"/>
              </w:rPr>
            </w:pPr>
            <w:bookmarkStart w:id="81" w:name="_Toc297630199"/>
            <w:bookmarkStart w:id="82" w:name="_Toc298059176"/>
            <w:bookmarkStart w:id="83" w:name="_Toc298059291"/>
            <w:bookmarkStart w:id="84" w:name="_Toc298059914"/>
            <w:bookmarkStart w:id="85" w:name="_Toc298408480"/>
            <w:bookmarkStart w:id="86" w:name="_Toc298408678"/>
            <w:bookmarkStart w:id="87" w:name="_Toc298167436"/>
            <w:bookmarkStart w:id="88" w:name="_Toc298575697"/>
            <w:bookmarkStart w:id="89" w:name="_Toc298683855"/>
            <w:bookmarkStart w:id="90" w:name="_Toc298161957"/>
            <w:bookmarkStart w:id="91" w:name="_Toc298074686"/>
            <w:r>
              <w:rPr>
                <w:rFonts w:ascii="宋体" w:hAnsi="宋体"/>
                <w:sz w:val="24"/>
              </w:rPr>
              <w:t>1</w:t>
            </w:r>
            <w:bookmarkEnd w:id="81"/>
            <w:bookmarkEnd w:id="82"/>
            <w:bookmarkEnd w:id="83"/>
            <w:bookmarkEnd w:id="84"/>
            <w:bookmarkEnd w:id="85"/>
            <w:bookmarkEnd w:id="86"/>
            <w:bookmarkEnd w:id="87"/>
            <w:bookmarkEnd w:id="88"/>
            <w:bookmarkEnd w:id="89"/>
            <w:bookmarkEnd w:id="90"/>
            <w:bookmarkEnd w:id="91"/>
          </w:p>
        </w:tc>
        <w:tc>
          <w:tcPr>
            <w:tcW w:w="2121" w:type="dxa"/>
            <w:vAlign w:val="center"/>
          </w:tcPr>
          <w:p>
            <w:pPr>
              <w:spacing w:line="480" w:lineRule="exact"/>
              <w:jc w:val="center"/>
              <w:rPr>
                <w:rFonts w:ascii="宋体" w:hAnsi="宋体"/>
                <w:sz w:val="24"/>
              </w:rPr>
            </w:pPr>
            <w:r>
              <w:rPr>
                <w:rFonts w:hint="eastAsia" w:ascii="宋体" w:hAnsi="宋体"/>
                <w:sz w:val="24"/>
              </w:rPr>
              <w:t>司机室外壳</w:t>
            </w:r>
          </w:p>
        </w:tc>
        <w:tc>
          <w:tcPr>
            <w:tcW w:w="880" w:type="dxa"/>
            <w:vAlign w:val="center"/>
          </w:tcPr>
          <w:p>
            <w:pPr>
              <w:spacing w:line="480" w:lineRule="exact"/>
              <w:jc w:val="center"/>
              <w:rPr>
                <w:rFonts w:ascii="宋体" w:hAnsi="宋体"/>
                <w:sz w:val="24"/>
              </w:rPr>
            </w:pPr>
            <w:bookmarkStart w:id="92" w:name="_Toc297630201"/>
            <w:bookmarkStart w:id="93" w:name="_Toc298059178"/>
            <w:bookmarkStart w:id="94" w:name="_Toc298059293"/>
            <w:bookmarkStart w:id="95" w:name="_Toc298408680"/>
            <w:bookmarkStart w:id="96" w:name="_Toc298161959"/>
            <w:bookmarkStart w:id="97" w:name="_Toc298683857"/>
            <w:bookmarkStart w:id="98" w:name="_Toc298074688"/>
            <w:bookmarkStart w:id="99" w:name="_Toc298167438"/>
            <w:bookmarkStart w:id="100" w:name="_Toc298059916"/>
            <w:bookmarkStart w:id="101" w:name="_Toc298408482"/>
            <w:bookmarkStart w:id="102" w:name="_Toc298575699"/>
            <w:r>
              <w:rPr>
                <w:rFonts w:hint="eastAsia" w:ascii="宋体" w:hAnsi="宋体"/>
                <w:sz w:val="24"/>
              </w:rPr>
              <w:t>套</w:t>
            </w:r>
            <w:bookmarkEnd w:id="92"/>
            <w:bookmarkEnd w:id="93"/>
            <w:bookmarkEnd w:id="94"/>
            <w:bookmarkEnd w:id="95"/>
            <w:bookmarkEnd w:id="96"/>
            <w:bookmarkEnd w:id="97"/>
            <w:bookmarkEnd w:id="98"/>
            <w:bookmarkEnd w:id="99"/>
            <w:bookmarkEnd w:id="100"/>
            <w:bookmarkEnd w:id="101"/>
            <w:bookmarkEnd w:id="102"/>
          </w:p>
        </w:tc>
        <w:tc>
          <w:tcPr>
            <w:tcW w:w="973" w:type="dxa"/>
            <w:vAlign w:val="center"/>
          </w:tcPr>
          <w:p>
            <w:pPr>
              <w:spacing w:line="480" w:lineRule="exact"/>
              <w:jc w:val="center"/>
              <w:rPr>
                <w:rFonts w:hint="eastAsia" w:ascii="宋体" w:hAnsi="宋体" w:eastAsia="宋体"/>
                <w:sz w:val="24"/>
                <w:lang w:eastAsia="zh-CN"/>
              </w:rPr>
            </w:pPr>
            <w:r>
              <w:rPr>
                <w:rFonts w:hint="eastAsia" w:ascii="宋体" w:hAnsi="宋体"/>
                <w:sz w:val="24"/>
                <w:lang w:val="en-US" w:eastAsia="zh-CN"/>
              </w:rPr>
              <w:t>3</w:t>
            </w:r>
          </w:p>
        </w:tc>
        <w:tc>
          <w:tcPr>
            <w:tcW w:w="3492" w:type="dxa"/>
            <w:vAlign w:val="center"/>
          </w:tcPr>
          <w:p>
            <w:pPr>
              <w:spacing w:line="480" w:lineRule="exact"/>
              <w:jc w:val="center"/>
              <w:rPr>
                <w:rFonts w:ascii="宋体" w:hAnsi="宋体"/>
                <w:sz w:val="24"/>
              </w:rPr>
            </w:pPr>
            <w:bookmarkStart w:id="103" w:name="_Toc297630205"/>
            <w:bookmarkStart w:id="104" w:name="_Toc298059182"/>
            <w:bookmarkStart w:id="105" w:name="_Toc298059297"/>
            <w:bookmarkStart w:id="106" w:name="_Toc298683861"/>
            <w:bookmarkStart w:id="107" w:name="_Toc298408486"/>
            <w:bookmarkStart w:id="108" w:name="_Toc298074692"/>
            <w:bookmarkStart w:id="109" w:name="_Toc298059920"/>
            <w:bookmarkStart w:id="110" w:name="_Toc298167442"/>
            <w:bookmarkStart w:id="111" w:name="_Toc298161963"/>
            <w:bookmarkStart w:id="112" w:name="_Toc298408684"/>
            <w:bookmarkStart w:id="113" w:name="_Toc298575703"/>
            <w:r>
              <w:rPr>
                <w:rFonts w:hint="eastAsia" w:ascii="宋体" w:hAnsi="宋体"/>
                <w:sz w:val="24"/>
              </w:rPr>
              <w:t>含室内照明、内部装修</w:t>
            </w:r>
            <w:bookmarkEnd w:id="103"/>
            <w:bookmarkEnd w:id="104"/>
            <w:bookmarkEnd w:id="105"/>
            <w:bookmarkEnd w:id="106"/>
            <w:bookmarkEnd w:id="107"/>
            <w:bookmarkEnd w:id="108"/>
            <w:bookmarkEnd w:id="109"/>
            <w:bookmarkEnd w:id="110"/>
            <w:bookmarkEnd w:id="111"/>
            <w:bookmarkEnd w:id="112"/>
            <w:bookmarkEnd w:id="11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5" w:hRule="atLeast"/>
          <w:jc w:val="center"/>
        </w:trPr>
        <w:tc>
          <w:tcPr>
            <w:tcW w:w="1820" w:type="dxa"/>
            <w:vAlign w:val="center"/>
          </w:tcPr>
          <w:p>
            <w:pPr>
              <w:spacing w:line="480" w:lineRule="exact"/>
              <w:jc w:val="center"/>
              <w:rPr>
                <w:rFonts w:ascii="宋体" w:hAnsi="宋体"/>
                <w:sz w:val="24"/>
              </w:rPr>
            </w:pPr>
            <w:bookmarkStart w:id="114" w:name="_Toc298074693"/>
            <w:bookmarkStart w:id="115" w:name="_Toc298161964"/>
            <w:bookmarkStart w:id="116" w:name="_Toc298167443"/>
            <w:bookmarkStart w:id="117" w:name="_Toc298408487"/>
            <w:bookmarkStart w:id="118" w:name="_Toc298408685"/>
            <w:bookmarkStart w:id="119" w:name="_Toc297630206"/>
            <w:bookmarkStart w:id="120" w:name="_Toc298059183"/>
            <w:bookmarkStart w:id="121" w:name="_Toc298059298"/>
            <w:bookmarkStart w:id="122" w:name="_Toc298059921"/>
            <w:bookmarkStart w:id="123" w:name="_Toc298683862"/>
            <w:bookmarkStart w:id="124" w:name="_Toc298575704"/>
            <w:r>
              <w:rPr>
                <w:rFonts w:ascii="宋体" w:hAnsi="宋体"/>
                <w:sz w:val="24"/>
              </w:rPr>
              <w:t>2</w:t>
            </w:r>
            <w:bookmarkEnd w:id="114"/>
            <w:bookmarkEnd w:id="115"/>
            <w:bookmarkEnd w:id="116"/>
            <w:bookmarkEnd w:id="117"/>
            <w:bookmarkEnd w:id="118"/>
            <w:bookmarkEnd w:id="119"/>
            <w:bookmarkEnd w:id="120"/>
            <w:bookmarkEnd w:id="121"/>
            <w:bookmarkEnd w:id="122"/>
            <w:bookmarkEnd w:id="123"/>
            <w:bookmarkEnd w:id="124"/>
          </w:p>
        </w:tc>
        <w:tc>
          <w:tcPr>
            <w:tcW w:w="2121" w:type="dxa"/>
            <w:vAlign w:val="center"/>
          </w:tcPr>
          <w:p>
            <w:pPr>
              <w:spacing w:line="480" w:lineRule="exact"/>
              <w:jc w:val="center"/>
              <w:rPr>
                <w:rFonts w:ascii="宋体" w:hAnsi="宋体"/>
                <w:sz w:val="24"/>
              </w:rPr>
            </w:pPr>
            <w:bookmarkStart w:id="125" w:name="_Toc298161965"/>
            <w:bookmarkStart w:id="126" w:name="_Toc298408686"/>
            <w:bookmarkStart w:id="127" w:name="_Toc298408488"/>
            <w:bookmarkStart w:id="128" w:name="_Toc298167444"/>
            <w:bookmarkStart w:id="129" w:name="_Toc298059922"/>
            <w:bookmarkStart w:id="130" w:name="_Toc298074694"/>
            <w:bookmarkStart w:id="131" w:name="_Toc298575705"/>
            <w:bookmarkStart w:id="132" w:name="_Toc298683863"/>
            <w:bookmarkStart w:id="133" w:name="_Toc297630207"/>
            <w:bookmarkStart w:id="134" w:name="_Toc298059299"/>
            <w:bookmarkStart w:id="135" w:name="_Toc298059184"/>
            <w:r>
              <w:rPr>
                <w:rFonts w:hint="eastAsia" w:ascii="宋体" w:hAnsi="宋体"/>
                <w:sz w:val="24"/>
              </w:rPr>
              <w:t>操作台</w:t>
            </w:r>
            <w:bookmarkEnd w:id="125"/>
            <w:bookmarkEnd w:id="126"/>
            <w:bookmarkEnd w:id="127"/>
            <w:bookmarkEnd w:id="128"/>
            <w:bookmarkEnd w:id="129"/>
            <w:bookmarkEnd w:id="130"/>
            <w:bookmarkEnd w:id="131"/>
            <w:bookmarkEnd w:id="132"/>
            <w:bookmarkEnd w:id="133"/>
            <w:bookmarkEnd w:id="134"/>
            <w:bookmarkEnd w:id="135"/>
          </w:p>
        </w:tc>
        <w:tc>
          <w:tcPr>
            <w:tcW w:w="880" w:type="dxa"/>
            <w:vAlign w:val="center"/>
          </w:tcPr>
          <w:p>
            <w:pPr>
              <w:spacing w:line="480" w:lineRule="exact"/>
              <w:jc w:val="center"/>
              <w:rPr>
                <w:rFonts w:ascii="宋体" w:hAnsi="宋体"/>
                <w:sz w:val="24"/>
              </w:rPr>
            </w:pPr>
            <w:bookmarkStart w:id="136" w:name="_Toc298683864"/>
            <w:bookmarkStart w:id="137" w:name="_Toc298059300"/>
            <w:bookmarkStart w:id="138" w:name="_Toc298059185"/>
            <w:bookmarkStart w:id="139" w:name="_Toc298408489"/>
            <w:bookmarkStart w:id="140" w:name="_Toc298575706"/>
            <w:bookmarkStart w:id="141" w:name="_Toc298059923"/>
            <w:bookmarkStart w:id="142" w:name="_Toc298408687"/>
            <w:bookmarkStart w:id="143" w:name="_Toc297630208"/>
            <w:bookmarkStart w:id="144" w:name="_Toc298074695"/>
            <w:bookmarkStart w:id="145" w:name="_Toc298167445"/>
            <w:bookmarkStart w:id="146" w:name="_Toc298161966"/>
            <w:r>
              <w:rPr>
                <w:rFonts w:hint="eastAsia" w:ascii="宋体" w:hAnsi="宋体"/>
                <w:sz w:val="24"/>
              </w:rPr>
              <w:t>套</w:t>
            </w:r>
            <w:bookmarkEnd w:id="136"/>
            <w:bookmarkEnd w:id="137"/>
            <w:bookmarkEnd w:id="138"/>
            <w:bookmarkEnd w:id="139"/>
            <w:bookmarkEnd w:id="140"/>
            <w:bookmarkEnd w:id="141"/>
            <w:bookmarkEnd w:id="142"/>
            <w:bookmarkEnd w:id="143"/>
            <w:bookmarkEnd w:id="144"/>
            <w:bookmarkEnd w:id="145"/>
            <w:bookmarkEnd w:id="146"/>
          </w:p>
        </w:tc>
        <w:tc>
          <w:tcPr>
            <w:tcW w:w="973" w:type="dxa"/>
            <w:vAlign w:val="center"/>
          </w:tcPr>
          <w:p>
            <w:pPr>
              <w:spacing w:line="480" w:lineRule="exact"/>
              <w:jc w:val="center"/>
              <w:rPr>
                <w:rFonts w:hint="eastAsia" w:ascii="宋体" w:hAnsi="宋体" w:eastAsia="宋体"/>
                <w:sz w:val="24"/>
                <w:lang w:eastAsia="zh-CN"/>
              </w:rPr>
            </w:pPr>
            <w:r>
              <w:rPr>
                <w:rFonts w:hint="eastAsia" w:ascii="宋体" w:hAnsi="宋体"/>
                <w:sz w:val="24"/>
                <w:lang w:val="en-US" w:eastAsia="zh-CN"/>
              </w:rPr>
              <w:t>3</w:t>
            </w:r>
          </w:p>
        </w:tc>
        <w:tc>
          <w:tcPr>
            <w:tcW w:w="3492" w:type="dxa"/>
            <w:vAlign w:val="center"/>
          </w:tcPr>
          <w:p>
            <w:pPr>
              <w:spacing w:line="480" w:lineRule="exact"/>
              <w:jc w:val="center"/>
              <w:rPr>
                <w:rFonts w:ascii="宋体" w:hAnsi="宋体"/>
                <w:sz w:val="24"/>
              </w:rPr>
            </w:pPr>
            <w:r>
              <w:rPr>
                <w:rFonts w:hint="eastAsia" w:ascii="宋体" w:hAnsi="宋体"/>
                <w:sz w:val="24"/>
              </w:rPr>
              <w:t>包括主令控制器、按钮等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5" w:hRule="atLeast"/>
          <w:jc w:val="center"/>
        </w:trPr>
        <w:tc>
          <w:tcPr>
            <w:tcW w:w="1820" w:type="dxa"/>
            <w:vAlign w:val="center"/>
          </w:tcPr>
          <w:p>
            <w:pPr>
              <w:spacing w:line="480" w:lineRule="exact"/>
              <w:jc w:val="center"/>
              <w:rPr>
                <w:rFonts w:ascii="宋体" w:hAnsi="宋体"/>
                <w:sz w:val="24"/>
              </w:rPr>
            </w:pPr>
            <w:bookmarkStart w:id="147" w:name="_Toc297630213"/>
            <w:bookmarkStart w:id="148" w:name="_Toc298059190"/>
            <w:bookmarkStart w:id="149" w:name="_Toc298683869"/>
            <w:bookmarkStart w:id="150" w:name="_Toc298408494"/>
            <w:bookmarkStart w:id="151" w:name="_Toc298167450"/>
            <w:bookmarkStart w:id="152" w:name="_Toc298161971"/>
            <w:bookmarkStart w:id="153" w:name="_Toc298074700"/>
            <w:bookmarkStart w:id="154" w:name="_Toc298575711"/>
            <w:bookmarkStart w:id="155" w:name="_Toc298059305"/>
            <w:bookmarkStart w:id="156" w:name="_Toc298408692"/>
            <w:bookmarkStart w:id="157" w:name="_Toc298059928"/>
            <w:r>
              <w:rPr>
                <w:rFonts w:ascii="宋体" w:hAnsi="宋体"/>
                <w:sz w:val="24"/>
              </w:rPr>
              <w:t>3</w:t>
            </w:r>
            <w:bookmarkEnd w:id="147"/>
            <w:bookmarkEnd w:id="148"/>
            <w:bookmarkEnd w:id="149"/>
            <w:bookmarkEnd w:id="150"/>
            <w:bookmarkEnd w:id="151"/>
            <w:bookmarkEnd w:id="152"/>
            <w:bookmarkEnd w:id="153"/>
            <w:bookmarkEnd w:id="154"/>
            <w:bookmarkEnd w:id="155"/>
            <w:bookmarkEnd w:id="156"/>
            <w:bookmarkEnd w:id="157"/>
          </w:p>
        </w:tc>
        <w:tc>
          <w:tcPr>
            <w:tcW w:w="2121" w:type="dxa"/>
            <w:vAlign w:val="center"/>
          </w:tcPr>
          <w:p>
            <w:pPr>
              <w:spacing w:line="480" w:lineRule="exact"/>
              <w:jc w:val="center"/>
              <w:rPr>
                <w:rFonts w:ascii="宋体" w:hAnsi="宋体"/>
                <w:sz w:val="24"/>
              </w:rPr>
            </w:pPr>
            <w:bookmarkStart w:id="158" w:name="_Toc298059306"/>
            <w:bookmarkStart w:id="159" w:name="_Toc298161972"/>
            <w:bookmarkStart w:id="160" w:name="_Toc298408495"/>
            <w:bookmarkStart w:id="161" w:name="_Toc298408693"/>
            <w:bookmarkStart w:id="162" w:name="_Toc298683870"/>
            <w:bookmarkStart w:id="163" w:name="_Toc297630214"/>
            <w:bookmarkStart w:id="164" w:name="_Toc298074701"/>
            <w:bookmarkStart w:id="165" w:name="_Toc298167451"/>
            <w:bookmarkStart w:id="166" w:name="_Toc298575712"/>
            <w:bookmarkStart w:id="167" w:name="_Toc298059191"/>
            <w:bookmarkStart w:id="168" w:name="_Toc298059929"/>
            <w:r>
              <w:rPr>
                <w:rFonts w:hint="eastAsia" w:ascii="宋体" w:hAnsi="宋体"/>
                <w:sz w:val="24"/>
              </w:rPr>
              <w:t>储物柜</w:t>
            </w:r>
            <w:bookmarkEnd w:id="158"/>
            <w:bookmarkEnd w:id="159"/>
            <w:bookmarkEnd w:id="160"/>
            <w:bookmarkEnd w:id="161"/>
            <w:bookmarkEnd w:id="162"/>
            <w:bookmarkEnd w:id="163"/>
            <w:bookmarkEnd w:id="164"/>
            <w:bookmarkEnd w:id="165"/>
            <w:bookmarkEnd w:id="166"/>
            <w:bookmarkEnd w:id="167"/>
            <w:bookmarkEnd w:id="168"/>
          </w:p>
        </w:tc>
        <w:tc>
          <w:tcPr>
            <w:tcW w:w="880" w:type="dxa"/>
            <w:vAlign w:val="center"/>
          </w:tcPr>
          <w:p>
            <w:pPr>
              <w:spacing w:line="480" w:lineRule="exact"/>
              <w:jc w:val="center"/>
              <w:rPr>
                <w:rFonts w:ascii="宋体" w:hAnsi="宋体"/>
                <w:sz w:val="24"/>
              </w:rPr>
            </w:pPr>
            <w:bookmarkStart w:id="169" w:name="_Toc298059930"/>
            <w:bookmarkStart w:id="170" w:name="_Toc298059192"/>
            <w:bookmarkStart w:id="171" w:name="_Toc298575713"/>
            <w:bookmarkStart w:id="172" w:name="_Toc298408694"/>
            <w:bookmarkStart w:id="173" w:name="_Toc298408496"/>
            <w:bookmarkStart w:id="174" w:name="_Toc298167452"/>
            <w:bookmarkStart w:id="175" w:name="_Toc297630215"/>
            <w:bookmarkStart w:id="176" w:name="_Toc298074702"/>
            <w:bookmarkStart w:id="177" w:name="_Toc298683871"/>
            <w:bookmarkStart w:id="178" w:name="_Toc298059307"/>
            <w:bookmarkStart w:id="179" w:name="_Toc298161973"/>
            <w:r>
              <w:rPr>
                <w:rFonts w:hint="eastAsia" w:ascii="宋体" w:hAnsi="宋体"/>
                <w:sz w:val="24"/>
              </w:rPr>
              <w:t>套</w:t>
            </w:r>
            <w:bookmarkEnd w:id="169"/>
            <w:bookmarkEnd w:id="170"/>
            <w:bookmarkEnd w:id="171"/>
            <w:bookmarkEnd w:id="172"/>
            <w:bookmarkEnd w:id="173"/>
            <w:bookmarkEnd w:id="174"/>
            <w:bookmarkEnd w:id="175"/>
            <w:bookmarkEnd w:id="176"/>
            <w:bookmarkEnd w:id="177"/>
            <w:bookmarkEnd w:id="178"/>
            <w:bookmarkEnd w:id="179"/>
          </w:p>
        </w:tc>
        <w:tc>
          <w:tcPr>
            <w:tcW w:w="973" w:type="dxa"/>
            <w:vAlign w:val="center"/>
          </w:tcPr>
          <w:p>
            <w:pPr>
              <w:spacing w:line="480" w:lineRule="exact"/>
              <w:jc w:val="center"/>
              <w:rPr>
                <w:rFonts w:hint="eastAsia" w:ascii="宋体" w:hAnsi="宋体" w:eastAsia="宋体"/>
                <w:sz w:val="24"/>
                <w:lang w:eastAsia="zh-CN"/>
              </w:rPr>
            </w:pPr>
            <w:r>
              <w:rPr>
                <w:rFonts w:hint="eastAsia" w:ascii="宋体" w:hAnsi="宋体"/>
                <w:sz w:val="24"/>
                <w:lang w:val="en-US" w:eastAsia="zh-CN"/>
              </w:rPr>
              <w:t>3</w:t>
            </w:r>
          </w:p>
        </w:tc>
        <w:tc>
          <w:tcPr>
            <w:tcW w:w="3492" w:type="dxa"/>
            <w:vAlign w:val="center"/>
          </w:tcPr>
          <w:p>
            <w:pPr>
              <w:spacing w:line="480" w:lineRule="exact"/>
              <w:jc w:val="center"/>
              <w:rPr>
                <w:rFonts w:ascii="宋体" w:hAnsi="宋体"/>
                <w:sz w:val="24"/>
              </w:rPr>
            </w:pPr>
            <w:bookmarkStart w:id="180" w:name="_Toc297630212"/>
            <w:bookmarkStart w:id="181" w:name="_Toc298059927"/>
            <w:bookmarkStart w:id="182" w:name="_Toc298408493"/>
            <w:bookmarkStart w:id="183" w:name="_Toc298575710"/>
            <w:bookmarkStart w:id="184" w:name="_Toc298059189"/>
            <w:bookmarkStart w:id="185" w:name="_Toc298161970"/>
            <w:bookmarkStart w:id="186" w:name="_Toc298059304"/>
            <w:bookmarkStart w:id="187" w:name="_Toc298074699"/>
            <w:bookmarkStart w:id="188" w:name="_Toc298683868"/>
            <w:bookmarkStart w:id="189" w:name="_Toc298167449"/>
            <w:bookmarkStart w:id="190" w:name="_Toc298408691"/>
            <w:r>
              <w:rPr>
                <w:rFonts w:hint="eastAsia" w:ascii="宋体" w:hAnsi="宋体"/>
                <w:sz w:val="24"/>
              </w:rPr>
              <w:t>含监控支架、司机座椅</w:t>
            </w:r>
            <w:bookmarkEnd w:id="180"/>
            <w:bookmarkEnd w:id="181"/>
            <w:bookmarkEnd w:id="182"/>
            <w:bookmarkEnd w:id="183"/>
            <w:bookmarkEnd w:id="184"/>
            <w:bookmarkEnd w:id="185"/>
            <w:bookmarkEnd w:id="186"/>
            <w:bookmarkEnd w:id="187"/>
            <w:bookmarkEnd w:id="188"/>
            <w:bookmarkEnd w:id="189"/>
            <w:bookmarkEnd w:id="19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2" w:hRule="atLeast"/>
          <w:jc w:val="center"/>
        </w:trPr>
        <w:tc>
          <w:tcPr>
            <w:tcW w:w="1820" w:type="dxa"/>
            <w:vAlign w:val="center"/>
          </w:tcPr>
          <w:p>
            <w:pPr>
              <w:spacing w:line="480" w:lineRule="exact"/>
              <w:jc w:val="center"/>
              <w:rPr>
                <w:rFonts w:ascii="宋体" w:hAnsi="宋体"/>
                <w:sz w:val="24"/>
              </w:rPr>
            </w:pPr>
            <w:bookmarkStart w:id="191" w:name="_Toc298059935"/>
            <w:bookmarkStart w:id="192" w:name="_Toc297630220"/>
            <w:bookmarkStart w:id="193" w:name="_Toc298059312"/>
            <w:bookmarkStart w:id="194" w:name="_Toc298074707"/>
            <w:bookmarkStart w:id="195" w:name="_Toc298059197"/>
            <w:bookmarkStart w:id="196" w:name="_Toc298575718"/>
            <w:bookmarkStart w:id="197" w:name="_Toc298167457"/>
            <w:bookmarkStart w:id="198" w:name="_Toc298408501"/>
            <w:bookmarkStart w:id="199" w:name="_Toc298408699"/>
            <w:bookmarkStart w:id="200" w:name="_Toc298161978"/>
            <w:bookmarkStart w:id="201" w:name="_Toc298683876"/>
            <w:r>
              <w:rPr>
                <w:rFonts w:ascii="宋体" w:hAnsi="宋体"/>
                <w:sz w:val="24"/>
              </w:rPr>
              <w:t>4</w:t>
            </w:r>
            <w:bookmarkEnd w:id="191"/>
            <w:bookmarkEnd w:id="192"/>
            <w:bookmarkEnd w:id="193"/>
            <w:bookmarkEnd w:id="194"/>
            <w:bookmarkEnd w:id="195"/>
            <w:bookmarkEnd w:id="196"/>
            <w:bookmarkEnd w:id="197"/>
            <w:bookmarkEnd w:id="198"/>
            <w:bookmarkEnd w:id="199"/>
            <w:bookmarkEnd w:id="200"/>
            <w:bookmarkEnd w:id="201"/>
          </w:p>
        </w:tc>
        <w:tc>
          <w:tcPr>
            <w:tcW w:w="2121" w:type="dxa"/>
            <w:vAlign w:val="center"/>
          </w:tcPr>
          <w:p>
            <w:pPr>
              <w:spacing w:line="480" w:lineRule="exact"/>
              <w:jc w:val="center"/>
              <w:rPr>
                <w:rFonts w:ascii="宋体" w:hAnsi="宋体"/>
                <w:sz w:val="24"/>
              </w:rPr>
            </w:pPr>
            <w:bookmarkStart w:id="202" w:name="_Toc298167458"/>
            <w:bookmarkStart w:id="203" w:name="_Toc298408502"/>
            <w:bookmarkStart w:id="204" w:name="_Toc298059313"/>
            <w:bookmarkStart w:id="205" w:name="_Toc298074708"/>
            <w:bookmarkStart w:id="206" w:name="_Toc297630221"/>
            <w:bookmarkStart w:id="207" w:name="_Toc298161979"/>
            <w:bookmarkStart w:id="208" w:name="_Toc298408700"/>
            <w:bookmarkStart w:id="209" w:name="_Toc298575719"/>
            <w:bookmarkStart w:id="210" w:name="_Toc298683877"/>
            <w:bookmarkStart w:id="211" w:name="_Toc298059198"/>
            <w:bookmarkStart w:id="212" w:name="_Toc298059936"/>
            <w:r>
              <w:rPr>
                <w:rFonts w:hint="eastAsia" w:ascii="宋体" w:hAnsi="宋体"/>
                <w:sz w:val="24"/>
              </w:rPr>
              <w:t>安装支架</w:t>
            </w:r>
            <w:bookmarkEnd w:id="202"/>
            <w:bookmarkEnd w:id="203"/>
            <w:bookmarkEnd w:id="204"/>
            <w:bookmarkEnd w:id="205"/>
            <w:bookmarkEnd w:id="206"/>
            <w:bookmarkEnd w:id="207"/>
            <w:bookmarkEnd w:id="208"/>
            <w:bookmarkEnd w:id="209"/>
            <w:bookmarkEnd w:id="210"/>
            <w:bookmarkEnd w:id="211"/>
            <w:bookmarkEnd w:id="212"/>
          </w:p>
        </w:tc>
        <w:tc>
          <w:tcPr>
            <w:tcW w:w="880" w:type="dxa"/>
            <w:vAlign w:val="center"/>
          </w:tcPr>
          <w:p>
            <w:pPr>
              <w:spacing w:line="480" w:lineRule="exact"/>
              <w:jc w:val="center"/>
              <w:rPr>
                <w:rFonts w:ascii="宋体" w:hAnsi="宋体"/>
                <w:sz w:val="24"/>
              </w:rPr>
            </w:pPr>
            <w:r>
              <w:rPr>
                <w:rFonts w:hint="eastAsia" w:ascii="宋体" w:hAnsi="宋体"/>
                <w:sz w:val="24"/>
              </w:rPr>
              <w:t>套</w:t>
            </w:r>
          </w:p>
        </w:tc>
        <w:tc>
          <w:tcPr>
            <w:tcW w:w="973" w:type="dxa"/>
            <w:vAlign w:val="center"/>
          </w:tcPr>
          <w:p>
            <w:pPr>
              <w:spacing w:line="480" w:lineRule="exact"/>
              <w:jc w:val="center"/>
              <w:rPr>
                <w:rFonts w:hint="eastAsia" w:ascii="宋体" w:hAnsi="宋体" w:eastAsia="宋体"/>
                <w:sz w:val="24"/>
                <w:lang w:eastAsia="zh-CN"/>
              </w:rPr>
            </w:pPr>
            <w:r>
              <w:rPr>
                <w:rFonts w:hint="eastAsia" w:ascii="宋体" w:hAnsi="宋体"/>
                <w:sz w:val="24"/>
                <w:lang w:val="en-US" w:eastAsia="zh-CN"/>
              </w:rPr>
              <w:t>3</w:t>
            </w:r>
          </w:p>
        </w:tc>
        <w:tc>
          <w:tcPr>
            <w:tcW w:w="3492" w:type="dxa"/>
            <w:vAlign w:val="center"/>
          </w:tcPr>
          <w:p>
            <w:pPr>
              <w:spacing w:line="480" w:lineRule="exact"/>
              <w:jc w:val="center"/>
              <w:rPr>
                <w:rFonts w:ascii="宋体" w:hAnsi="宋体"/>
                <w:sz w:val="24"/>
              </w:rPr>
            </w:pPr>
            <w:bookmarkStart w:id="213" w:name="_Toc298167463"/>
            <w:bookmarkStart w:id="214" w:name="_Toc298059318"/>
            <w:bookmarkStart w:id="215" w:name="_Toc298074713"/>
            <w:bookmarkStart w:id="216" w:name="_Toc298408507"/>
            <w:bookmarkStart w:id="217" w:name="_Toc297630226"/>
            <w:bookmarkStart w:id="218" w:name="_Toc298161984"/>
            <w:bookmarkStart w:id="219" w:name="_Toc298059941"/>
            <w:bookmarkStart w:id="220" w:name="_Toc298683882"/>
            <w:bookmarkStart w:id="221" w:name="_Toc298408705"/>
            <w:bookmarkStart w:id="222" w:name="_Toc298575724"/>
            <w:bookmarkStart w:id="223" w:name="_Toc298059203"/>
            <w:r>
              <w:rPr>
                <w:rFonts w:hint="eastAsia" w:ascii="宋体" w:hAnsi="宋体"/>
                <w:sz w:val="24"/>
              </w:rPr>
              <w:t>用于安放饮水机、微波炉等</w:t>
            </w:r>
            <w:bookmarkEnd w:id="213"/>
            <w:bookmarkEnd w:id="214"/>
            <w:bookmarkEnd w:id="215"/>
            <w:bookmarkEnd w:id="216"/>
            <w:bookmarkEnd w:id="217"/>
            <w:bookmarkEnd w:id="218"/>
            <w:bookmarkEnd w:id="219"/>
            <w:bookmarkEnd w:id="220"/>
            <w:bookmarkEnd w:id="221"/>
            <w:bookmarkEnd w:id="222"/>
            <w:bookmarkEnd w:id="22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2" w:hRule="atLeast"/>
          <w:jc w:val="center"/>
        </w:trPr>
        <w:tc>
          <w:tcPr>
            <w:tcW w:w="1820" w:type="dxa"/>
            <w:vAlign w:val="center"/>
          </w:tcPr>
          <w:p>
            <w:pPr>
              <w:spacing w:line="480" w:lineRule="exact"/>
              <w:jc w:val="center"/>
              <w:rPr>
                <w:rFonts w:ascii="宋体" w:hAnsi="宋体"/>
                <w:sz w:val="24"/>
              </w:rPr>
            </w:pPr>
            <w:r>
              <w:rPr>
                <w:rFonts w:hint="eastAsia" w:ascii="宋体" w:hAnsi="宋体"/>
                <w:sz w:val="24"/>
              </w:rPr>
              <w:t>5</w:t>
            </w:r>
          </w:p>
        </w:tc>
        <w:tc>
          <w:tcPr>
            <w:tcW w:w="2121" w:type="dxa"/>
            <w:vAlign w:val="center"/>
          </w:tcPr>
          <w:p>
            <w:pPr>
              <w:spacing w:line="480" w:lineRule="exact"/>
              <w:jc w:val="center"/>
              <w:rPr>
                <w:rFonts w:hint="eastAsia" w:ascii="宋体" w:hAnsi="宋体"/>
                <w:sz w:val="24"/>
              </w:rPr>
            </w:pPr>
            <w:r>
              <w:rPr>
                <w:rFonts w:hint="eastAsia" w:ascii="宋体" w:hAnsi="宋体"/>
                <w:sz w:val="24"/>
              </w:rPr>
              <w:t>触摸屏</w:t>
            </w:r>
          </w:p>
        </w:tc>
        <w:tc>
          <w:tcPr>
            <w:tcW w:w="880" w:type="dxa"/>
            <w:vAlign w:val="center"/>
          </w:tcPr>
          <w:p>
            <w:pPr>
              <w:spacing w:line="480" w:lineRule="exact"/>
              <w:jc w:val="center"/>
              <w:rPr>
                <w:rFonts w:hint="eastAsia" w:ascii="宋体" w:hAnsi="宋体"/>
                <w:sz w:val="24"/>
              </w:rPr>
            </w:pPr>
            <w:r>
              <w:rPr>
                <w:rFonts w:hint="eastAsia" w:ascii="宋体" w:hAnsi="宋体"/>
                <w:sz w:val="24"/>
              </w:rPr>
              <w:t>台</w:t>
            </w:r>
          </w:p>
        </w:tc>
        <w:tc>
          <w:tcPr>
            <w:tcW w:w="973" w:type="dxa"/>
            <w:vAlign w:val="center"/>
          </w:tcPr>
          <w:p>
            <w:pPr>
              <w:spacing w:line="480" w:lineRule="exact"/>
              <w:jc w:val="center"/>
              <w:rPr>
                <w:rFonts w:hint="eastAsia" w:ascii="宋体" w:hAnsi="宋体" w:eastAsia="宋体"/>
                <w:sz w:val="24"/>
                <w:lang w:eastAsia="zh-CN"/>
              </w:rPr>
            </w:pPr>
            <w:r>
              <w:rPr>
                <w:rFonts w:hint="eastAsia" w:ascii="宋体" w:hAnsi="宋体"/>
                <w:sz w:val="24"/>
                <w:lang w:val="en-US" w:eastAsia="zh-CN"/>
              </w:rPr>
              <w:t>3</w:t>
            </w:r>
          </w:p>
        </w:tc>
        <w:tc>
          <w:tcPr>
            <w:tcW w:w="3492" w:type="dxa"/>
            <w:vAlign w:val="center"/>
          </w:tcPr>
          <w:p>
            <w:pPr>
              <w:spacing w:line="480" w:lineRule="exact"/>
              <w:jc w:val="center"/>
              <w:rPr>
                <w:rFonts w:hint="eastAsia" w:ascii="宋体" w:hAnsi="宋体"/>
                <w:sz w:val="24"/>
              </w:rPr>
            </w:pPr>
            <w:r>
              <w:rPr>
                <w:rFonts w:hint="eastAsia" w:ascii="宋体" w:hAnsi="宋体"/>
                <w:sz w:val="24"/>
              </w:rPr>
              <w:t>不小于21寸，主要用于故障显示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2" w:hRule="atLeast"/>
          <w:jc w:val="center"/>
        </w:trPr>
        <w:tc>
          <w:tcPr>
            <w:tcW w:w="1820" w:type="dxa"/>
            <w:vAlign w:val="center"/>
          </w:tcPr>
          <w:p>
            <w:pPr>
              <w:spacing w:line="480" w:lineRule="exact"/>
              <w:jc w:val="center"/>
              <w:rPr>
                <w:rFonts w:hint="eastAsia" w:ascii="宋体" w:hAnsi="宋体"/>
                <w:sz w:val="24"/>
              </w:rPr>
            </w:pPr>
            <w:r>
              <w:rPr>
                <w:rFonts w:hint="eastAsia" w:ascii="宋体" w:hAnsi="宋体"/>
                <w:sz w:val="24"/>
              </w:rPr>
              <w:t>6</w:t>
            </w:r>
          </w:p>
        </w:tc>
        <w:tc>
          <w:tcPr>
            <w:tcW w:w="2121" w:type="dxa"/>
            <w:vAlign w:val="center"/>
          </w:tcPr>
          <w:p>
            <w:pPr>
              <w:spacing w:line="480" w:lineRule="exact"/>
              <w:jc w:val="center"/>
              <w:rPr>
                <w:rFonts w:hint="eastAsia" w:ascii="宋体" w:hAnsi="宋体"/>
                <w:sz w:val="24"/>
              </w:rPr>
            </w:pPr>
            <w:r>
              <w:rPr>
                <w:rFonts w:hint="eastAsia" w:ascii="宋体" w:hAnsi="宋体"/>
                <w:sz w:val="24"/>
              </w:rPr>
              <w:t>风速仪</w:t>
            </w:r>
          </w:p>
        </w:tc>
        <w:tc>
          <w:tcPr>
            <w:tcW w:w="880" w:type="dxa"/>
            <w:vAlign w:val="center"/>
          </w:tcPr>
          <w:p>
            <w:pPr>
              <w:spacing w:line="480" w:lineRule="exact"/>
              <w:jc w:val="center"/>
              <w:rPr>
                <w:rFonts w:hint="eastAsia" w:ascii="宋体" w:hAnsi="宋体"/>
                <w:sz w:val="24"/>
              </w:rPr>
            </w:pPr>
            <w:r>
              <w:rPr>
                <w:rFonts w:hint="eastAsia" w:ascii="宋体" w:hAnsi="宋体"/>
                <w:sz w:val="24"/>
              </w:rPr>
              <w:t>套</w:t>
            </w:r>
          </w:p>
        </w:tc>
        <w:tc>
          <w:tcPr>
            <w:tcW w:w="973" w:type="dxa"/>
            <w:vAlign w:val="center"/>
          </w:tcPr>
          <w:p>
            <w:pPr>
              <w:spacing w:line="480" w:lineRule="exact"/>
              <w:jc w:val="center"/>
              <w:rPr>
                <w:rFonts w:hint="eastAsia" w:ascii="宋体" w:hAnsi="宋体" w:eastAsia="宋体"/>
                <w:sz w:val="24"/>
                <w:lang w:eastAsia="zh-CN"/>
              </w:rPr>
            </w:pPr>
            <w:r>
              <w:rPr>
                <w:rFonts w:hint="eastAsia" w:ascii="宋体" w:hAnsi="宋体"/>
                <w:sz w:val="24"/>
                <w:lang w:val="en-US" w:eastAsia="zh-CN"/>
              </w:rPr>
              <w:t>3</w:t>
            </w:r>
          </w:p>
        </w:tc>
        <w:tc>
          <w:tcPr>
            <w:tcW w:w="3492" w:type="dxa"/>
            <w:vAlign w:val="center"/>
          </w:tcPr>
          <w:p>
            <w:pPr>
              <w:spacing w:line="480" w:lineRule="exact"/>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jc w:val="center"/>
        </w:trPr>
        <w:tc>
          <w:tcPr>
            <w:tcW w:w="1820" w:type="dxa"/>
            <w:vAlign w:val="center"/>
          </w:tcPr>
          <w:p>
            <w:pPr>
              <w:spacing w:line="480" w:lineRule="exact"/>
              <w:jc w:val="center"/>
              <w:rPr>
                <w:rFonts w:hint="eastAsia" w:ascii="宋体" w:hAnsi="宋体" w:eastAsia="宋体"/>
                <w:sz w:val="24"/>
                <w:lang w:val="en-US" w:eastAsia="zh-CN"/>
              </w:rPr>
            </w:pPr>
            <w:r>
              <w:rPr>
                <w:rFonts w:hint="eastAsia" w:ascii="宋体" w:hAnsi="宋体"/>
                <w:sz w:val="24"/>
                <w:lang w:val="en-US" w:eastAsia="zh-CN"/>
              </w:rPr>
              <w:t>7</w:t>
            </w:r>
          </w:p>
        </w:tc>
        <w:tc>
          <w:tcPr>
            <w:tcW w:w="2121" w:type="dxa"/>
            <w:vAlign w:val="center"/>
          </w:tcPr>
          <w:p>
            <w:pPr>
              <w:spacing w:line="480" w:lineRule="exact"/>
              <w:jc w:val="center"/>
              <w:rPr>
                <w:rFonts w:hint="eastAsia" w:ascii="宋体" w:hAnsi="宋体" w:eastAsia="宋体"/>
                <w:sz w:val="24"/>
                <w:lang w:eastAsia="zh-CN"/>
              </w:rPr>
            </w:pPr>
            <w:r>
              <w:rPr>
                <w:rFonts w:hint="eastAsia" w:ascii="宋体" w:hAnsi="宋体"/>
                <w:sz w:val="24"/>
                <w:lang w:eastAsia="zh-CN"/>
              </w:rPr>
              <w:t>编程器</w:t>
            </w:r>
          </w:p>
        </w:tc>
        <w:tc>
          <w:tcPr>
            <w:tcW w:w="880" w:type="dxa"/>
            <w:vAlign w:val="center"/>
          </w:tcPr>
          <w:p>
            <w:pPr>
              <w:spacing w:line="480" w:lineRule="exact"/>
              <w:jc w:val="center"/>
              <w:rPr>
                <w:rFonts w:hint="eastAsia" w:ascii="宋体" w:hAnsi="宋体" w:eastAsia="宋体"/>
                <w:sz w:val="24"/>
                <w:lang w:eastAsia="zh-CN"/>
              </w:rPr>
            </w:pPr>
            <w:r>
              <w:rPr>
                <w:rFonts w:hint="eastAsia" w:ascii="宋体" w:hAnsi="宋体"/>
                <w:sz w:val="24"/>
                <w:lang w:eastAsia="zh-CN"/>
              </w:rPr>
              <w:t>台</w:t>
            </w:r>
          </w:p>
        </w:tc>
        <w:tc>
          <w:tcPr>
            <w:tcW w:w="973" w:type="dxa"/>
            <w:vAlign w:val="center"/>
          </w:tcPr>
          <w:p>
            <w:pPr>
              <w:spacing w:line="480" w:lineRule="exact"/>
              <w:jc w:val="center"/>
              <w:rPr>
                <w:rFonts w:hint="eastAsia" w:ascii="宋体" w:hAnsi="宋体" w:eastAsia="宋体"/>
                <w:sz w:val="24"/>
                <w:lang w:val="en-US" w:eastAsia="zh-CN"/>
              </w:rPr>
            </w:pPr>
            <w:r>
              <w:rPr>
                <w:rFonts w:hint="eastAsia" w:ascii="宋体" w:hAnsi="宋体"/>
                <w:sz w:val="24"/>
                <w:lang w:val="en-US" w:eastAsia="zh-CN"/>
              </w:rPr>
              <w:t>2</w:t>
            </w:r>
          </w:p>
        </w:tc>
        <w:tc>
          <w:tcPr>
            <w:tcW w:w="3492" w:type="dxa"/>
            <w:vAlign w:val="center"/>
          </w:tcPr>
          <w:p>
            <w:pPr>
              <w:spacing w:line="480" w:lineRule="exact"/>
              <w:jc w:val="center"/>
              <w:rPr>
                <w:rFonts w:hint="eastAsia" w:ascii="宋体" w:hAnsi="宋体"/>
                <w:sz w:val="24"/>
              </w:rPr>
            </w:pPr>
            <w:r>
              <w:rPr>
                <w:rFonts w:hint="eastAsia" w:hAnsi="宋体"/>
                <w:sz w:val="24"/>
                <w:highlight w:val="none"/>
                <w:lang w:val="sq-AL" w:eastAsia="zh-CN"/>
              </w:rPr>
              <w:t>处理器为第六代酷睿</w:t>
            </w:r>
            <w:r>
              <w:rPr>
                <w:rFonts w:hint="eastAsia" w:hAnsi="宋体"/>
                <w:sz w:val="24"/>
                <w:highlight w:val="none"/>
                <w:lang w:val="en-US" w:eastAsia="zh-CN"/>
              </w:rPr>
              <w:t>i7-6700HQ四核处理器，主频不低于2.3GHZ，内存不低于4GB,硬盘不低于1TB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jc w:val="center"/>
        </w:trPr>
        <w:tc>
          <w:tcPr>
            <w:tcW w:w="1820" w:type="dxa"/>
            <w:vAlign w:val="center"/>
          </w:tcPr>
          <w:p>
            <w:pPr>
              <w:spacing w:line="480" w:lineRule="exact"/>
              <w:jc w:val="center"/>
              <w:rPr>
                <w:rFonts w:hint="eastAsia" w:ascii="宋体" w:hAnsi="宋体" w:eastAsia="宋体"/>
                <w:sz w:val="24"/>
                <w:lang w:val="en-US" w:eastAsia="zh-CN"/>
              </w:rPr>
            </w:pPr>
            <w:r>
              <w:rPr>
                <w:rFonts w:hint="eastAsia" w:ascii="宋体" w:hAnsi="宋体"/>
                <w:sz w:val="24"/>
                <w:lang w:val="en-US" w:eastAsia="zh-CN"/>
              </w:rPr>
              <w:t>8</w:t>
            </w:r>
          </w:p>
        </w:tc>
        <w:tc>
          <w:tcPr>
            <w:tcW w:w="2121" w:type="dxa"/>
            <w:vAlign w:val="center"/>
          </w:tcPr>
          <w:p>
            <w:pPr>
              <w:spacing w:line="480" w:lineRule="exact"/>
              <w:jc w:val="center"/>
              <w:rPr>
                <w:rFonts w:hint="eastAsia" w:ascii="宋体" w:hAnsi="宋体" w:eastAsia="宋体"/>
                <w:sz w:val="24"/>
                <w:lang w:eastAsia="zh-CN"/>
              </w:rPr>
            </w:pPr>
            <w:r>
              <w:rPr>
                <w:rFonts w:hint="eastAsia" w:ascii="宋体" w:hAnsi="宋体"/>
                <w:sz w:val="24"/>
                <w:lang w:eastAsia="zh-CN"/>
              </w:rPr>
              <w:t>手柄</w:t>
            </w:r>
          </w:p>
        </w:tc>
        <w:tc>
          <w:tcPr>
            <w:tcW w:w="880" w:type="dxa"/>
            <w:vAlign w:val="center"/>
          </w:tcPr>
          <w:p>
            <w:pPr>
              <w:spacing w:line="480" w:lineRule="exact"/>
              <w:jc w:val="center"/>
              <w:rPr>
                <w:rFonts w:hint="eastAsia" w:ascii="宋体" w:hAnsi="宋体" w:eastAsia="宋体"/>
                <w:sz w:val="24"/>
                <w:lang w:eastAsia="zh-CN"/>
              </w:rPr>
            </w:pPr>
            <w:r>
              <w:rPr>
                <w:rFonts w:hint="eastAsia" w:ascii="宋体" w:hAnsi="宋体"/>
                <w:sz w:val="24"/>
                <w:lang w:eastAsia="zh-CN"/>
              </w:rPr>
              <w:t>套</w:t>
            </w:r>
          </w:p>
        </w:tc>
        <w:tc>
          <w:tcPr>
            <w:tcW w:w="973" w:type="dxa"/>
            <w:vAlign w:val="center"/>
          </w:tcPr>
          <w:p>
            <w:pPr>
              <w:spacing w:line="480" w:lineRule="exact"/>
              <w:jc w:val="center"/>
              <w:rPr>
                <w:rFonts w:hint="eastAsia" w:ascii="宋体" w:hAnsi="宋体" w:eastAsia="宋体"/>
                <w:sz w:val="24"/>
                <w:lang w:val="en-US" w:eastAsia="zh-CN"/>
              </w:rPr>
            </w:pPr>
            <w:r>
              <w:rPr>
                <w:rFonts w:hint="eastAsia" w:ascii="宋体" w:hAnsi="宋体"/>
                <w:sz w:val="24"/>
                <w:lang w:val="en-US" w:eastAsia="zh-CN"/>
              </w:rPr>
              <w:t>6</w:t>
            </w:r>
          </w:p>
        </w:tc>
        <w:tc>
          <w:tcPr>
            <w:tcW w:w="3492" w:type="dxa"/>
            <w:vAlign w:val="center"/>
          </w:tcPr>
          <w:p>
            <w:pPr>
              <w:spacing w:line="480" w:lineRule="exact"/>
              <w:jc w:val="center"/>
              <w:rPr>
                <w:rFonts w:hint="eastAsia" w:ascii="宋体" w:hAnsi="宋体" w:eastAsia="宋体"/>
                <w:sz w:val="24"/>
                <w:lang w:eastAsia="zh-CN"/>
              </w:rPr>
            </w:pPr>
            <w:r>
              <w:rPr>
                <w:rFonts w:hint="eastAsia" w:ascii="宋体" w:hAnsi="宋体"/>
                <w:sz w:val="24"/>
                <w:lang w:eastAsia="zh-CN"/>
              </w:rPr>
              <w:t>同原装船机司机室手柄型号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jc w:val="center"/>
        </w:trPr>
        <w:tc>
          <w:tcPr>
            <w:tcW w:w="1820" w:type="dxa"/>
            <w:vAlign w:val="center"/>
          </w:tcPr>
          <w:p>
            <w:pPr>
              <w:spacing w:line="480" w:lineRule="exact"/>
              <w:jc w:val="center"/>
              <w:rPr>
                <w:rFonts w:hint="eastAsia" w:ascii="宋体" w:hAnsi="宋体"/>
                <w:sz w:val="24"/>
                <w:lang w:val="en-US" w:eastAsia="zh-CN"/>
              </w:rPr>
            </w:pPr>
            <w:r>
              <w:rPr>
                <w:rFonts w:hint="eastAsia" w:ascii="宋体" w:hAnsi="宋体"/>
                <w:sz w:val="24"/>
                <w:lang w:val="en-US" w:eastAsia="zh-CN"/>
              </w:rPr>
              <w:t>9</w:t>
            </w:r>
          </w:p>
        </w:tc>
        <w:tc>
          <w:tcPr>
            <w:tcW w:w="2121" w:type="dxa"/>
            <w:vAlign w:val="center"/>
          </w:tcPr>
          <w:p>
            <w:pPr>
              <w:spacing w:line="480" w:lineRule="exact"/>
              <w:jc w:val="center"/>
              <w:rPr>
                <w:rFonts w:hint="eastAsia" w:ascii="宋体" w:hAnsi="宋体"/>
                <w:sz w:val="24"/>
                <w:lang w:eastAsia="zh-CN"/>
              </w:rPr>
            </w:pPr>
            <w:r>
              <w:rPr>
                <w:rFonts w:hint="eastAsia" w:ascii="宋体" w:hAnsi="宋体"/>
                <w:sz w:val="24"/>
                <w:lang w:eastAsia="zh-CN"/>
              </w:rPr>
              <w:t>碳纤维加热板</w:t>
            </w:r>
          </w:p>
        </w:tc>
        <w:tc>
          <w:tcPr>
            <w:tcW w:w="880" w:type="dxa"/>
            <w:vAlign w:val="center"/>
          </w:tcPr>
          <w:p>
            <w:pPr>
              <w:spacing w:line="480" w:lineRule="exact"/>
              <w:jc w:val="center"/>
              <w:rPr>
                <w:rFonts w:hint="eastAsia" w:ascii="宋体" w:hAnsi="宋体"/>
                <w:sz w:val="24"/>
                <w:lang w:eastAsia="zh-CN"/>
              </w:rPr>
            </w:pPr>
            <w:r>
              <w:rPr>
                <w:rFonts w:hint="eastAsia" w:ascii="宋体" w:hAnsi="宋体"/>
                <w:sz w:val="24"/>
                <w:lang w:eastAsia="zh-CN"/>
              </w:rPr>
              <w:t>套</w:t>
            </w:r>
          </w:p>
        </w:tc>
        <w:tc>
          <w:tcPr>
            <w:tcW w:w="973" w:type="dxa"/>
            <w:vAlign w:val="center"/>
          </w:tcPr>
          <w:p>
            <w:pPr>
              <w:spacing w:line="480" w:lineRule="exact"/>
              <w:jc w:val="center"/>
              <w:rPr>
                <w:rFonts w:hint="eastAsia" w:ascii="宋体" w:hAnsi="宋体"/>
                <w:sz w:val="24"/>
                <w:lang w:val="en-US" w:eastAsia="zh-CN"/>
              </w:rPr>
            </w:pPr>
            <w:r>
              <w:rPr>
                <w:rFonts w:hint="eastAsia" w:ascii="宋体" w:hAnsi="宋体"/>
                <w:sz w:val="24"/>
                <w:lang w:val="en-US" w:eastAsia="zh-CN"/>
              </w:rPr>
              <w:t>3</w:t>
            </w:r>
          </w:p>
        </w:tc>
        <w:tc>
          <w:tcPr>
            <w:tcW w:w="3492" w:type="dxa"/>
            <w:vAlign w:val="center"/>
          </w:tcPr>
          <w:p>
            <w:pPr>
              <w:spacing w:line="480" w:lineRule="exact"/>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jc w:val="center"/>
        </w:trPr>
        <w:tc>
          <w:tcPr>
            <w:tcW w:w="1820" w:type="dxa"/>
            <w:vAlign w:val="center"/>
          </w:tcPr>
          <w:p>
            <w:pPr>
              <w:spacing w:line="480" w:lineRule="exact"/>
              <w:jc w:val="center"/>
              <w:rPr>
                <w:rFonts w:hint="eastAsia" w:ascii="宋体" w:hAnsi="宋体"/>
                <w:sz w:val="24"/>
                <w:lang w:val="en-US" w:eastAsia="zh-CN"/>
              </w:rPr>
            </w:pPr>
            <w:r>
              <w:rPr>
                <w:rFonts w:hint="eastAsia" w:ascii="宋体" w:hAnsi="宋体"/>
                <w:sz w:val="24"/>
                <w:lang w:val="en-US" w:eastAsia="zh-CN"/>
              </w:rPr>
              <w:t>10</w:t>
            </w:r>
          </w:p>
        </w:tc>
        <w:tc>
          <w:tcPr>
            <w:tcW w:w="2121" w:type="dxa"/>
            <w:vAlign w:val="center"/>
          </w:tcPr>
          <w:p>
            <w:pPr>
              <w:spacing w:line="480" w:lineRule="exact"/>
              <w:jc w:val="center"/>
              <w:rPr>
                <w:rFonts w:hint="eastAsia" w:ascii="宋体" w:hAnsi="宋体"/>
                <w:sz w:val="24"/>
                <w:lang w:eastAsia="zh-CN"/>
              </w:rPr>
            </w:pPr>
            <w:r>
              <w:rPr>
                <w:rFonts w:hint="eastAsia" w:ascii="宋体" w:hAnsi="宋体"/>
                <w:sz w:val="24"/>
                <w:lang w:eastAsia="zh-CN"/>
              </w:rPr>
              <w:t>冷暖空调</w:t>
            </w:r>
          </w:p>
        </w:tc>
        <w:tc>
          <w:tcPr>
            <w:tcW w:w="880" w:type="dxa"/>
            <w:vAlign w:val="center"/>
          </w:tcPr>
          <w:p>
            <w:pPr>
              <w:spacing w:line="480" w:lineRule="exact"/>
              <w:jc w:val="center"/>
              <w:rPr>
                <w:rFonts w:hint="eastAsia" w:ascii="宋体" w:hAnsi="宋体"/>
                <w:sz w:val="24"/>
                <w:lang w:eastAsia="zh-CN"/>
              </w:rPr>
            </w:pPr>
            <w:r>
              <w:rPr>
                <w:rFonts w:hint="eastAsia" w:ascii="宋体" w:hAnsi="宋体"/>
                <w:sz w:val="24"/>
                <w:lang w:eastAsia="zh-CN"/>
              </w:rPr>
              <w:t>套</w:t>
            </w:r>
          </w:p>
        </w:tc>
        <w:tc>
          <w:tcPr>
            <w:tcW w:w="973" w:type="dxa"/>
            <w:vAlign w:val="center"/>
          </w:tcPr>
          <w:p>
            <w:pPr>
              <w:spacing w:line="480" w:lineRule="exact"/>
              <w:jc w:val="center"/>
              <w:rPr>
                <w:rFonts w:hint="eastAsia" w:ascii="宋体" w:hAnsi="宋体"/>
                <w:sz w:val="24"/>
                <w:lang w:val="en-US" w:eastAsia="zh-CN"/>
              </w:rPr>
            </w:pPr>
            <w:r>
              <w:rPr>
                <w:rFonts w:hint="eastAsia" w:ascii="宋体" w:hAnsi="宋体"/>
                <w:sz w:val="24"/>
                <w:lang w:val="en-US" w:eastAsia="zh-CN"/>
              </w:rPr>
              <w:t>3</w:t>
            </w:r>
          </w:p>
        </w:tc>
        <w:tc>
          <w:tcPr>
            <w:tcW w:w="3492" w:type="dxa"/>
            <w:vAlign w:val="center"/>
          </w:tcPr>
          <w:p>
            <w:pPr>
              <w:spacing w:line="480" w:lineRule="exact"/>
              <w:jc w:val="center"/>
              <w:rPr>
                <w:rFonts w:hint="eastAsia" w:hAnsi="宋体" w:eastAsia="宋体"/>
                <w:sz w:val="24"/>
                <w:lang w:val="sq-AL" w:eastAsia="zh-CN"/>
              </w:rPr>
            </w:pPr>
            <w:r>
              <w:rPr>
                <w:rFonts w:hint="eastAsia" w:hAnsi="宋体"/>
                <w:sz w:val="24"/>
                <w:lang w:val="sq-AL" w:eastAsia="zh-CN"/>
              </w:rPr>
              <w:t>格力</w:t>
            </w:r>
            <w:r>
              <w:rPr>
                <w:rFonts w:hint="eastAsia" w:hAnsi="宋体"/>
                <w:sz w:val="24"/>
                <w:lang w:val="en-US" w:eastAsia="zh-CN"/>
              </w:rPr>
              <w:t>1.5匹</w:t>
            </w:r>
            <w:r>
              <w:rPr>
                <w:rFonts w:hint="eastAsia" w:hAnsi="宋体"/>
                <w:sz w:val="24"/>
                <w:lang w:val="sq-AL" w:eastAsia="zh-CN"/>
              </w:rPr>
              <w:t>空调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jc w:val="center"/>
        </w:trPr>
        <w:tc>
          <w:tcPr>
            <w:tcW w:w="1820" w:type="dxa"/>
            <w:vAlign w:val="center"/>
          </w:tcPr>
          <w:p>
            <w:pPr>
              <w:spacing w:line="480" w:lineRule="exact"/>
              <w:jc w:val="center"/>
              <w:rPr>
                <w:rFonts w:hint="eastAsia" w:ascii="宋体" w:hAnsi="宋体" w:eastAsia="宋体"/>
                <w:sz w:val="24"/>
                <w:lang w:val="en-US" w:eastAsia="zh-CN"/>
              </w:rPr>
            </w:pPr>
            <w:r>
              <w:rPr>
                <w:rFonts w:hint="eastAsia" w:ascii="宋体" w:hAnsi="宋体"/>
                <w:sz w:val="24"/>
                <w:lang w:val="en-US" w:eastAsia="zh-CN"/>
              </w:rPr>
              <w:t>10</w:t>
            </w:r>
          </w:p>
        </w:tc>
        <w:tc>
          <w:tcPr>
            <w:tcW w:w="2121" w:type="dxa"/>
            <w:vAlign w:val="center"/>
          </w:tcPr>
          <w:p>
            <w:pPr>
              <w:spacing w:line="480" w:lineRule="exact"/>
              <w:jc w:val="center"/>
              <w:rPr>
                <w:rFonts w:hint="eastAsia" w:ascii="宋体" w:hAnsi="宋体" w:eastAsia="宋体"/>
                <w:sz w:val="24"/>
                <w:lang w:eastAsia="zh-CN"/>
              </w:rPr>
            </w:pPr>
            <w:r>
              <w:rPr>
                <w:rFonts w:hint="eastAsia" w:ascii="宋体" w:hAnsi="宋体"/>
                <w:sz w:val="24"/>
                <w:lang w:eastAsia="zh-CN"/>
              </w:rPr>
              <w:t>电控箱</w:t>
            </w:r>
          </w:p>
        </w:tc>
        <w:tc>
          <w:tcPr>
            <w:tcW w:w="880" w:type="dxa"/>
            <w:vAlign w:val="center"/>
          </w:tcPr>
          <w:p>
            <w:pPr>
              <w:spacing w:line="480" w:lineRule="exact"/>
              <w:jc w:val="center"/>
              <w:rPr>
                <w:rFonts w:hint="eastAsia" w:ascii="宋体" w:hAnsi="宋体" w:eastAsia="宋体"/>
                <w:sz w:val="24"/>
                <w:lang w:eastAsia="zh-CN"/>
              </w:rPr>
            </w:pPr>
            <w:r>
              <w:rPr>
                <w:rFonts w:hint="eastAsia" w:ascii="宋体" w:hAnsi="宋体"/>
                <w:sz w:val="24"/>
                <w:lang w:eastAsia="zh-CN"/>
              </w:rPr>
              <w:t>个</w:t>
            </w:r>
          </w:p>
        </w:tc>
        <w:tc>
          <w:tcPr>
            <w:tcW w:w="973" w:type="dxa"/>
            <w:vAlign w:val="center"/>
          </w:tcPr>
          <w:p>
            <w:pPr>
              <w:spacing w:line="480" w:lineRule="exact"/>
              <w:jc w:val="center"/>
              <w:rPr>
                <w:rFonts w:hint="eastAsia" w:ascii="宋体" w:hAnsi="宋体" w:eastAsia="宋体"/>
                <w:sz w:val="24"/>
                <w:lang w:val="en-US" w:eastAsia="zh-CN"/>
              </w:rPr>
            </w:pPr>
            <w:r>
              <w:rPr>
                <w:rFonts w:hint="eastAsia" w:ascii="宋体" w:hAnsi="宋体"/>
                <w:sz w:val="24"/>
                <w:lang w:val="en-US" w:eastAsia="zh-CN"/>
              </w:rPr>
              <w:t>不少于6个</w:t>
            </w:r>
          </w:p>
        </w:tc>
        <w:tc>
          <w:tcPr>
            <w:tcW w:w="3492" w:type="dxa"/>
            <w:vAlign w:val="center"/>
          </w:tcPr>
          <w:p>
            <w:pPr>
              <w:spacing w:line="480" w:lineRule="exact"/>
              <w:jc w:val="center"/>
              <w:rPr>
                <w:rFonts w:hint="eastAsia" w:ascii="宋体" w:hAnsi="宋体"/>
                <w:sz w:val="24"/>
              </w:rPr>
            </w:pPr>
            <w:r>
              <w:rPr>
                <w:rFonts w:hint="eastAsia" w:hAnsi="宋体"/>
                <w:sz w:val="24"/>
                <w:lang w:val="sq-AL"/>
              </w:rPr>
              <w:t>箱子材质选择玻纤增强型聚酯，颜色为灰白色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jc w:val="center"/>
        </w:trPr>
        <w:tc>
          <w:tcPr>
            <w:tcW w:w="1820" w:type="dxa"/>
            <w:vAlign w:val="center"/>
          </w:tcPr>
          <w:p>
            <w:pPr>
              <w:spacing w:line="480" w:lineRule="exact"/>
              <w:jc w:val="center"/>
              <w:rPr>
                <w:rFonts w:hint="eastAsia" w:ascii="宋体" w:hAnsi="宋体" w:eastAsia="宋体"/>
                <w:sz w:val="24"/>
                <w:lang w:val="en-US" w:eastAsia="zh-CN"/>
              </w:rPr>
            </w:pPr>
            <w:r>
              <w:rPr>
                <w:rFonts w:hint="eastAsia" w:ascii="宋体" w:hAnsi="宋体"/>
                <w:sz w:val="24"/>
                <w:lang w:val="en-US" w:eastAsia="zh-CN"/>
              </w:rPr>
              <w:t>11</w:t>
            </w:r>
          </w:p>
        </w:tc>
        <w:tc>
          <w:tcPr>
            <w:tcW w:w="2121" w:type="dxa"/>
            <w:vAlign w:val="center"/>
          </w:tcPr>
          <w:p>
            <w:pPr>
              <w:spacing w:line="480" w:lineRule="exact"/>
              <w:jc w:val="center"/>
              <w:rPr>
                <w:rFonts w:hint="eastAsia" w:ascii="宋体" w:hAnsi="宋体" w:eastAsia="宋体"/>
                <w:sz w:val="24"/>
                <w:lang w:eastAsia="zh-CN"/>
              </w:rPr>
            </w:pPr>
            <w:r>
              <w:rPr>
                <w:rFonts w:hint="eastAsia" w:ascii="宋体" w:hAnsi="宋体"/>
                <w:sz w:val="24"/>
                <w:lang w:eastAsia="zh-CN"/>
              </w:rPr>
              <w:t>空气净化器</w:t>
            </w:r>
          </w:p>
        </w:tc>
        <w:tc>
          <w:tcPr>
            <w:tcW w:w="880" w:type="dxa"/>
            <w:vAlign w:val="center"/>
          </w:tcPr>
          <w:p>
            <w:pPr>
              <w:spacing w:line="480" w:lineRule="exact"/>
              <w:jc w:val="center"/>
              <w:rPr>
                <w:rFonts w:hint="eastAsia" w:ascii="宋体" w:hAnsi="宋体" w:eastAsia="宋体"/>
                <w:sz w:val="24"/>
                <w:lang w:eastAsia="zh-CN"/>
              </w:rPr>
            </w:pPr>
            <w:r>
              <w:rPr>
                <w:rFonts w:hint="eastAsia" w:ascii="宋体" w:hAnsi="宋体"/>
                <w:sz w:val="24"/>
                <w:lang w:eastAsia="zh-CN"/>
              </w:rPr>
              <w:t>台</w:t>
            </w:r>
          </w:p>
        </w:tc>
        <w:tc>
          <w:tcPr>
            <w:tcW w:w="973" w:type="dxa"/>
            <w:vAlign w:val="center"/>
          </w:tcPr>
          <w:p>
            <w:pPr>
              <w:spacing w:line="480" w:lineRule="exact"/>
              <w:jc w:val="center"/>
              <w:rPr>
                <w:rFonts w:hint="eastAsia" w:ascii="宋体" w:hAnsi="宋体" w:eastAsia="宋体"/>
                <w:sz w:val="24"/>
                <w:lang w:val="en-US" w:eastAsia="zh-CN"/>
              </w:rPr>
            </w:pPr>
            <w:r>
              <w:rPr>
                <w:rFonts w:hint="eastAsia" w:ascii="宋体" w:hAnsi="宋体"/>
                <w:sz w:val="24"/>
                <w:lang w:val="en-US" w:eastAsia="zh-CN"/>
              </w:rPr>
              <w:t>3</w:t>
            </w:r>
          </w:p>
        </w:tc>
        <w:tc>
          <w:tcPr>
            <w:tcW w:w="3492" w:type="dxa"/>
            <w:vAlign w:val="center"/>
          </w:tcPr>
          <w:p>
            <w:pPr>
              <w:spacing w:line="480" w:lineRule="exact"/>
              <w:jc w:val="center"/>
              <w:rPr>
                <w:rFonts w:hint="eastAsia" w:ascii="宋体" w:hAnsi="宋体" w:eastAsia="宋体"/>
                <w:sz w:val="24"/>
                <w:lang w:eastAsia="zh-CN"/>
              </w:rPr>
            </w:pPr>
            <w:r>
              <w:rPr>
                <w:rFonts w:hint="eastAsia" w:ascii="宋体" w:hAnsi="宋体"/>
                <w:sz w:val="24"/>
                <w:lang w:eastAsia="zh-CN"/>
              </w:rPr>
              <w:t>颗粒物洁净空气量不低于</w:t>
            </w:r>
            <w:r>
              <w:rPr>
                <w:rFonts w:hint="eastAsia" w:ascii="宋体" w:hAnsi="宋体"/>
                <w:sz w:val="24"/>
                <w:lang w:val="en-US" w:eastAsia="zh-CN"/>
              </w:rPr>
              <w:t>300m</w:t>
            </w:r>
            <w:r>
              <w:rPr>
                <w:rFonts w:hint="eastAsia" w:ascii="宋体" w:hAnsi="宋体"/>
                <w:sz w:val="24"/>
                <w:vertAlign w:val="superscript"/>
                <w:lang w:val="en-US" w:eastAsia="zh-CN"/>
              </w:rPr>
              <w:t>3</w:t>
            </w:r>
            <w:r>
              <w:rPr>
                <w:rFonts w:hint="eastAsia" w:ascii="宋体" w:hAnsi="宋体"/>
                <w:sz w:val="24"/>
                <w:lang w:val="en-US" w:eastAsia="zh-CN"/>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jc w:val="center"/>
        </w:trPr>
        <w:tc>
          <w:tcPr>
            <w:tcW w:w="1820" w:type="dxa"/>
            <w:vAlign w:val="center"/>
          </w:tcPr>
          <w:p>
            <w:pPr>
              <w:spacing w:line="480" w:lineRule="exact"/>
              <w:jc w:val="center"/>
              <w:rPr>
                <w:rFonts w:ascii="宋体" w:hAnsi="宋体"/>
                <w:sz w:val="24"/>
              </w:rPr>
            </w:pPr>
            <w:r>
              <w:rPr>
                <w:rFonts w:hint="eastAsia" w:ascii="宋体" w:hAnsi="宋体"/>
                <w:sz w:val="24"/>
              </w:rPr>
              <w:t>二</w:t>
            </w:r>
          </w:p>
        </w:tc>
        <w:tc>
          <w:tcPr>
            <w:tcW w:w="2121" w:type="dxa"/>
            <w:vAlign w:val="center"/>
          </w:tcPr>
          <w:p>
            <w:pPr>
              <w:spacing w:line="480" w:lineRule="exact"/>
              <w:jc w:val="center"/>
              <w:rPr>
                <w:rFonts w:ascii="宋体" w:hAnsi="宋体"/>
                <w:sz w:val="24"/>
              </w:rPr>
            </w:pPr>
            <w:bookmarkStart w:id="224" w:name="_Toc298167468"/>
            <w:bookmarkStart w:id="225" w:name="_Toc298161989"/>
            <w:bookmarkStart w:id="226" w:name="_Toc297630235"/>
            <w:bookmarkStart w:id="227" w:name="_Toc298683887"/>
            <w:bookmarkStart w:id="228" w:name="_Toc298059950"/>
            <w:bookmarkStart w:id="229" w:name="_Toc298408710"/>
            <w:bookmarkStart w:id="230" w:name="_Toc298575729"/>
            <w:bookmarkStart w:id="231" w:name="_Toc298059212"/>
            <w:bookmarkStart w:id="232" w:name="_Toc298059327"/>
            <w:bookmarkStart w:id="233" w:name="_Toc298074722"/>
            <w:bookmarkStart w:id="234" w:name="_Toc298408512"/>
            <w:r>
              <w:rPr>
                <w:rFonts w:hint="eastAsia" w:ascii="宋体" w:hAnsi="宋体"/>
                <w:sz w:val="24"/>
              </w:rPr>
              <w:t>安装调试工程</w:t>
            </w:r>
            <w:bookmarkEnd w:id="224"/>
            <w:bookmarkEnd w:id="225"/>
            <w:bookmarkEnd w:id="226"/>
            <w:bookmarkEnd w:id="227"/>
            <w:bookmarkEnd w:id="228"/>
            <w:bookmarkEnd w:id="229"/>
            <w:bookmarkEnd w:id="230"/>
            <w:bookmarkEnd w:id="231"/>
            <w:bookmarkEnd w:id="232"/>
            <w:bookmarkEnd w:id="233"/>
            <w:bookmarkEnd w:id="234"/>
          </w:p>
        </w:tc>
        <w:tc>
          <w:tcPr>
            <w:tcW w:w="880" w:type="dxa"/>
            <w:vAlign w:val="center"/>
          </w:tcPr>
          <w:p>
            <w:pPr>
              <w:spacing w:line="480" w:lineRule="exact"/>
              <w:jc w:val="center"/>
              <w:rPr>
                <w:rFonts w:ascii="宋体" w:hAnsi="宋体"/>
                <w:sz w:val="24"/>
              </w:rPr>
            </w:pPr>
            <w:bookmarkStart w:id="235" w:name="_Toc298074723"/>
            <w:bookmarkStart w:id="236" w:name="_Toc298167469"/>
            <w:bookmarkStart w:id="237" w:name="_Toc298408513"/>
            <w:bookmarkStart w:id="238" w:name="_Toc298059951"/>
            <w:bookmarkStart w:id="239" w:name="_Toc298161990"/>
            <w:bookmarkStart w:id="240" w:name="_Toc298408711"/>
            <w:bookmarkStart w:id="241" w:name="_Toc298575730"/>
            <w:bookmarkStart w:id="242" w:name="_Toc297630236"/>
            <w:bookmarkStart w:id="243" w:name="_Toc298059213"/>
            <w:bookmarkStart w:id="244" w:name="_Toc298059328"/>
            <w:bookmarkStart w:id="245" w:name="_Toc298683888"/>
            <w:r>
              <w:rPr>
                <w:rFonts w:hint="eastAsia" w:ascii="宋体" w:hAnsi="宋体"/>
                <w:sz w:val="24"/>
              </w:rPr>
              <w:t>项</w:t>
            </w:r>
            <w:bookmarkEnd w:id="235"/>
            <w:bookmarkEnd w:id="236"/>
            <w:bookmarkEnd w:id="237"/>
            <w:bookmarkEnd w:id="238"/>
            <w:bookmarkEnd w:id="239"/>
            <w:bookmarkEnd w:id="240"/>
            <w:bookmarkEnd w:id="241"/>
            <w:bookmarkEnd w:id="242"/>
            <w:bookmarkEnd w:id="243"/>
            <w:bookmarkEnd w:id="244"/>
            <w:bookmarkEnd w:id="245"/>
          </w:p>
        </w:tc>
        <w:tc>
          <w:tcPr>
            <w:tcW w:w="973" w:type="dxa"/>
            <w:vAlign w:val="center"/>
          </w:tcPr>
          <w:p>
            <w:pPr>
              <w:spacing w:line="480" w:lineRule="exact"/>
              <w:jc w:val="center"/>
              <w:rPr>
                <w:rFonts w:hint="eastAsia" w:ascii="宋体" w:hAnsi="宋体" w:eastAsia="宋体"/>
                <w:sz w:val="24"/>
                <w:lang w:eastAsia="zh-CN"/>
              </w:rPr>
            </w:pPr>
            <w:r>
              <w:rPr>
                <w:rFonts w:hint="eastAsia" w:ascii="宋体" w:hAnsi="宋体"/>
                <w:sz w:val="24"/>
                <w:lang w:val="en-US" w:eastAsia="zh-CN"/>
              </w:rPr>
              <w:t>3</w:t>
            </w:r>
          </w:p>
        </w:tc>
        <w:tc>
          <w:tcPr>
            <w:tcW w:w="3492" w:type="dxa"/>
            <w:vAlign w:val="center"/>
          </w:tcPr>
          <w:p>
            <w:pPr>
              <w:spacing w:line="480" w:lineRule="exact"/>
              <w:jc w:val="center"/>
              <w:rPr>
                <w:rFonts w:ascii="宋体" w:hAnsi="宋体"/>
                <w:sz w:val="24"/>
              </w:rPr>
            </w:pPr>
            <w:bookmarkStart w:id="246" w:name="_Toc298575734"/>
            <w:bookmarkStart w:id="247" w:name="_Toc298059217"/>
            <w:bookmarkStart w:id="248" w:name="_Toc298408517"/>
            <w:bookmarkStart w:id="249" w:name="_Toc298059955"/>
            <w:bookmarkStart w:id="250" w:name="_Toc298408715"/>
            <w:bookmarkStart w:id="251" w:name="_Toc298074727"/>
            <w:bookmarkStart w:id="252" w:name="_Toc298167473"/>
            <w:bookmarkStart w:id="253" w:name="_Toc298683892"/>
            <w:bookmarkStart w:id="254" w:name="_Toc297630240"/>
            <w:bookmarkStart w:id="255" w:name="_Toc298161994"/>
            <w:bookmarkStart w:id="256" w:name="_Toc298059332"/>
            <w:r>
              <w:rPr>
                <w:rFonts w:hint="eastAsia" w:ascii="宋体" w:hAnsi="宋体"/>
                <w:sz w:val="24"/>
              </w:rPr>
              <w:t>拆除并安装司机室及内部内设备，</w:t>
            </w:r>
            <w:bookmarkEnd w:id="246"/>
            <w:bookmarkEnd w:id="247"/>
            <w:bookmarkEnd w:id="248"/>
            <w:bookmarkEnd w:id="249"/>
            <w:bookmarkEnd w:id="250"/>
            <w:bookmarkEnd w:id="251"/>
            <w:bookmarkEnd w:id="252"/>
            <w:bookmarkEnd w:id="253"/>
            <w:bookmarkEnd w:id="254"/>
            <w:bookmarkEnd w:id="255"/>
            <w:bookmarkEnd w:id="256"/>
            <w:r>
              <w:rPr>
                <w:rFonts w:hint="eastAsia" w:ascii="宋体" w:hAnsi="宋体"/>
                <w:sz w:val="24"/>
              </w:rPr>
              <w:t>电气调试。</w:t>
            </w:r>
          </w:p>
        </w:tc>
      </w:tr>
    </w:tbl>
    <w:p>
      <w:pPr>
        <w:pStyle w:val="40"/>
        <w:autoSpaceDE/>
        <w:autoSpaceDN/>
        <w:spacing w:line="360" w:lineRule="auto"/>
        <w:ind w:firstLine="0"/>
        <w:jc w:val="center"/>
        <w:textAlignment w:val="baseline"/>
        <w:rPr>
          <w:rFonts w:hint="eastAsia" w:ascii="黑体" w:eastAsia="黑体" w:cs="仿宋_GB2312"/>
          <w:kern w:val="0"/>
          <w:sz w:val="24"/>
          <w:szCs w:val="21"/>
        </w:rPr>
      </w:pPr>
      <w:r>
        <w:rPr>
          <w:rFonts w:hint="eastAsia" w:ascii="黑体" w:eastAsia="黑体" w:cs="仿宋_GB2312"/>
          <w:kern w:val="0"/>
          <w:sz w:val="24"/>
          <w:szCs w:val="21"/>
        </w:rPr>
        <w:t>配套厂商一览表</w:t>
      </w:r>
    </w:p>
    <w:tbl>
      <w:tblPr>
        <w:tblStyle w:val="17"/>
        <w:tblW w:w="890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00"/>
        <w:gridCol w:w="2907"/>
        <w:gridCol w:w="4493"/>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blHeader/>
          <w:jc w:val="center"/>
        </w:trPr>
        <w:tc>
          <w:tcPr>
            <w:tcW w:w="600" w:type="dxa"/>
            <w:vAlign w:val="center"/>
          </w:tcPr>
          <w:p>
            <w:pPr>
              <w:pStyle w:val="41"/>
              <w:spacing w:before="0" w:after="0"/>
              <w:rPr>
                <w:rFonts w:hAnsi="宋体"/>
                <w:szCs w:val="21"/>
              </w:rPr>
            </w:pPr>
            <w:r>
              <w:rPr>
                <w:rFonts w:hint="eastAsia" w:hAnsi="宋体"/>
                <w:szCs w:val="21"/>
              </w:rPr>
              <w:t>序号</w:t>
            </w:r>
          </w:p>
        </w:tc>
        <w:tc>
          <w:tcPr>
            <w:tcW w:w="2907" w:type="dxa"/>
            <w:vAlign w:val="center"/>
          </w:tcPr>
          <w:p>
            <w:pPr>
              <w:pStyle w:val="41"/>
              <w:spacing w:before="0" w:after="0"/>
              <w:rPr>
                <w:rFonts w:hAnsi="宋体"/>
                <w:szCs w:val="21"/>
              </w:rPr>
            </w:pPr>
            <w:r>
              <w:rPr>
                <w:rFonts w:hint="eastAsia" w:hAnsi="宋体"/>
                <w:szCs w:val="21"/>
              </w:rPr>
              <w:t>设</w:t>
            </w:r>
            <w:r>
              <w:rPr>
                <w:rFonts w:hAnsi="宋体"/>
                <w:szCs w:val="21"/>
              </w:rPr>
              <w:t xml:space="preserve"> </w:t>
            </w:r>
            <w:r>
              <w:rPr>
                <w:rFonts w:hint="eastAsia" w:hAnsi="宋体"/>
                <w:szCs w:val="21"/>
              </w:rPr>
              <w:t>备</w:t>
            </w:r>
            <w:r>
              <w:rPr>
                <w:rFonts w:hAnsi="宋体"/>
                <w:szCs w:val="21"/>
              </w:rPr>
              <w:t xml:space="preserve"> </w:t>
            </w:r>
            <w:r>
              <w:rPr>
                <w:rFonts w:hint="eastAsia" w:hAnsi="宋体"/>
                <w:szCs w:val="21"/>
              </w:rPr>
              <w:t>名</w:t>
            </w:r>
            <w:r>
              <w:rPr>
                <w:rFonts w:hAnsi="宋体"/>
                <w:szCs w:val="21"/>
              </w:rPr>
              <w:t xml:space="preserve"> </w:t>
            </w:r>
            <w:r>
              <w:rPr>
                <w:rFonts w:hint="eastAsia" w:hAnsi="宋体"/>
                <w:szCs w:val="21"/>
              </w:rPr>
              <w:t>称</w:t>
            </w:r>
          </w:p>
        </w:tc>
        <w:tc>
          <w:tcPr>
            <w:tcW w:w="4493" w:type="dxa"/>
            <w:vAlign w:val="center"/>
          </w:tcPr>
          <w:p>
            <w:pPr>
              <w:pStyle w:val="41"/>
              <w:spacing w:before="0" w:after="0"/>
              <w:rPr>
                <w:rFonts w:hAnsi="宋体"/>
                <w:szCs w:val="21"/>
              </w:rPr>
            </w:pPr>
            <w:r>
              <w:rPr>
                <w:rFonts w:hint="eastAsia" w:hAnsi="宋体"/>
                <w:szCs w:val="21"/>
              </w:rPr>
              <w:t>制</w:t>
            </w:r>
            <w:r>
              <w:rPr>
                <w:rFonts w:hAnsi="宋体"/>
                <w:szCs w:val="21"/>
              </w:rPr>
              <w:t xml:space="preserve">  </w:t>
            </w:r>
            <w:r>
              <w:rPr>
                <w:rFonts w:hint="eastAsia" w:hAnsi="宋体"/>
                <w:szCs w:val="21"/>
              </w:rPr>
              <w:t>造</w:t>
            </w:r>
            <w:r>
              <w:rPr>
                <w:rFonts w:hAnsi="宋体"/>
                <w:szCs w:val="21"/>
              </w:rPr>
              <w:t xml:space="preserve">   </w:t>
            </w:r>
            <w:r>
              <w:rPr>
                <w:rFonts w:hint="eastAsia" w:hAnsi="宋体"/>
                <w:szCs w:val="21"/>
              </w:rPr>
              <w:t>厂</w:t>
            </w:r>
          </w:p>
        </w:tc>
        <w:tc>
          <w:tcPr>
            <w:tcW w:w="901" w:type="dxa"/>
            <w:vAlign w:val="center"/>
          </w:tcPr>
          <w:p>
            <w:pPr>
              <w:pStyle w:val="41"/>
              <w:spacing w:before="0" w:after="0"/>
              <w:rPr>
                <w:rFonts w:hAnsi="宋体"/>
                <w:szCs w:val="21"/>
              </w:rPr>
            </w:pPr>
            <w:r>
              <w:rPr>
                <w:rFonts w:hint="eastAsia" w:hAnsi="宋体"/>
                <w:szCs w:val="21"/>
              </w:rPr>
              <w:t>产地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600" w:type="dxa"/>
            <w:vAlign w:val="center"/>
          </w:tcPr>
          <w:p>
            <w:pPr>
              <w:pStyle w:val="41"/>
              <w:spacing w:before="0" w:after="0"/>
              <w:rPr>
                <w:rFonts w:hint="eastAsia" w:hAnsi="宋体"/>
                <w:szCs w:val="21"/>
              </w:rPr>
            </w:pPr>
            <w:r>
              <w:rPr>
                <w:rFonts w:hint="eastAsia" w:hAnsi="宋体"/>
                <w:szCs w:val="21"/>
              </w:rPr>
              <w:t>1</w:t>
            </w:r>
          </w:p>
        </w:tc>
        <w:tc>
          <w:tcPr>
            <w:tcW w:w="2907" w:type="dxa"/>
            <w:vAlign w:val="center"/>
          </w:tcPr>
          <w:p>
            <w:pPr>
              <w:pStyle w:val="41"/>
              <w:spacing w:before="0" w:after="0"/>
              <w:jc w:val="both"/>
              <w:rPr>
                <w:rFonts w:hAnsi="宋体"/>
                <w:szCs w:val="21"/>
              </w:rPr>
            </w:pPr>
            <w:r>
              <w:rPr>
                <w:rFonts w:hint="eastAsia" w:hAnsi="宋体"/>
                <w:szCs w:val="21"/>
              </w:rPr>
              <w:t>低压断路器、接触器、继电器</w:t>
            </w:r>
          </w:p>
        </w:tc>
        <w:tc>
          <w:tcPr>
            <w:tcW w:w="4493" w:type="dxa"/>
            <w:vAlign w:val="center"/>
          </w:tcPr>
          <w:p>
            <w:pPr>
              <w:pStyle w:val="41"/>
              <w:spacing w:before="0" w:after="0"/>
              <w:jc w:val="both"/>
              <w:rPr>
                <w:rFonts w:hAnsi="宋体"/>
                <w:szCs w:val="21"/>
              </w:rPr>
            </w:pPr>
            <w:r>
              <w:rPr>
                <w:rFonts w:hint="eastAsia" w:hAnsi="宋体"/>
                <w:szCs w:val="21"/>
              </w:rPr>
              <w:t>富士、Siemens、施耐德</w:t>
            </w:r>
          </w:p>
        </w:tc>
        <w:tc>
          <w:tcPr>
            <w:tcW w:w="901" w:type="dxa"/>
            <w:vAlign w:val="center"/>
          </w:tcPr>
          <w:p>
            <w:pPr>
              <w:pStyle w:val="41"/>
              <w:spacing w:before="0" w:after="0"/>
              <w:rPr>
                <w:rFonts w:hint="eastAsia"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600" w:type="dxa"/>
            <w:vAlign w:val="center"/>
          </w:tcPr>
          <w:p>
            <w:pPr>
              <w:pStyle w:val="41"/>
              <w:spacing w:before="0" w:after="0"/>
              <w:rPr>
                <w:rFonts w:hint="eastAsia" w:hAnsi="宋体"/>
                <w:szCs w:val="21"/>
              </w:rPr>
            </w:pPr>
            <w:r>
              <w:rPr>
                <w:rFonts w:hint="eastAsia" w:hAnsi="宋体"/>
                <w:szCs w:val="21"/>
              </w:rPr>
              <w:t>2</w:t>
            </w:r>
          </w:p>
        </w:tc>
        <w:tc>
          <w:tcPr>
            <w:tcW w:w="2907" w:type="dxa"/>
            <w:vAlign w:val="center"/>
          </w:tcPr>
          <w:p>
            <w:pPr>
              <w:pStyle w:val="41"/>
              <w:spacing w:before="0" w:after="0"/>
              <w:jc w:val="both"/>
              <w:rPr>
                <w:rFonts w:hint="eastAsia" w:hAnsi="宋体"/>
                <w:szCs w:val="21"/>
              </w:rPr>
            </w:pPr>
            <w:r>
              <w:rPr>
                <w:rFonts w:hint="eastAsia" w:hAnsi="宋体"/>
                <w:szCs w:val="21"/>
              </w:rPr>
              <w:t>接线箱、就地操作箱、照明、维修电源箱等所有箱体</w:t>
            </w:r>
          </w:p>
        </w:tc>
        <w:tc>
          <w:tcPr>
            <w:tcW w:w="4493" w:type="dxa"/>
            <w:vAlign w:val="center"/>
          </w:tcPr>
          <w:p>
            <w:pPr>
              <w:pStyle w:val="41"/>
              <w:spacing w:before="0" w:after="0"/>
              <w:jc w:val="both"/>
              <w:rPr>
                <w:rFonts w:hint="eastAsia" w:hAnsi="宋体"/>
                <w:szCs w:val="21"/>
              </w:rPr>
            </w:pPr>
            <w:r>
              <w:rPr>
                <w:rFonts w:hint="eastAsia" w:hAnsi="宋体"/>
                <w:szCs w:val="21"/>
              </w:rPr>
              <w:t>武汉港迪、威图、魏德米勒、恩斯托（内部器件、附属件选用施耐德、西门子、ABB产品）</w:t>
            </w:r>
          </w:p>
        </w:tc>
        <w:tc>
          <w:tcPr>
            <w:tcW w:w="901" w:type="dxa"/>
            <w:vAlign w:val="center"/>
          </w:tcPr>
          <w:p>
            <w:pPr>
              <w:pStyle w:val="41"/>
              <w:spacing w:before="0" w:after="0"/>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600" w:type="dxa"/>
            <w:vAlign w:val="center"/>
          </w:tcPr>
          <w:p>
            <w:pPr>
              <w:pStyle w:val="41"/>
              <w:spacing w:before="0" w:after="0"/>
              <w:rPr>
                <w:rFonts w:hint="eastAsia" w:hAnsi="宋体"/>
                <w:szCs w:val="21"/>
              </w:rPr>
            </w:pPr>
            <w:r>
              <w:rPr>
                <w:rFonts w:hint="eastAsia" w:hAnsi="宋体"/>
                <w:szCs w:val="21"/>
              </w:rPr>
              <w:t>3</w:t>
            </w:r>
          </w:p>
        </w:tc>
        <w:tc>
          <w:tcPr>
            <w:tcW w:w="2907" w:type="dxa"/>
            <w:vAlign w:val="center"/>
          </w:tcPr>
          <w:p>
            <w:pPr>
              <w:pStyle w:val="41"/>
              <w:spacing w:before="0" w:after="0"/>
              <w:jc w:val="both"/>
              <w:rPr>
                <w:rFonts w:hAnsi="宋体"/>
                <w:szCs w:val="21"/>
              </w:rPr>
            </w:pPr>
            <w:r>
              <w:rPr>
                <w:rFonts w:hint="eastAsia" w:hAnsi="宋体"/>
                <w:szCs w:val="21"/>
              </w:rPr>
              <w:t>照明灯具</w:t>
            </w:r>
          </w:p>
        </w:tc>
        <w:tc>
          <w:tcPr>
            <w:tcW w:w="4493" w:type="dxa"/>
            <w:vAlign w:val="center"/>
          </w:tcPr>
          <w:p>
            <w:pPr>
              <w:pStyle w:val="41"/>
              <w:spacing w:before="0" w:after="0"/>
              <w:jc w:val="both"/>
              <w:rPr>
                <w:rFonts w:hAnsi="宋体"/>
                <w:szCs w:val="21"/>
              </w:rPr>
            </w:pPr>
            <w:r>
              <w:rPr>
                <w:rFonts w:hint="eastAsia" w:hAnsi="宋体"/>
                <w:szCs w:val="21"/>
              </w:rPr>
              <w:t>GE、philips、欧司朗</w:t>
            </w:r>
          </w:p>
        </w:tc>
        <w:tc>
          <w:tcPr>
            <w:tcW w:w="901" w:type="dxa"/>
            <w:vAlign w:val="center"/>
          </w:tcPr>
          <w:p>
            <w:pPr>
              <w:pStyle w:val="41"/>
              <w:spacing w:before="0" w:after="0"/>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600" w:type="dxa"/>
            <w:vAlign w:val="top"/>
          </w:tcPr>
          <w:p>
            <w:pPr>
              <w:pStyle w:val="41"/>
              <w:spacing w:before="0" w:after="0"/>
              <w:rPr>
                <w:rFonts w:hint="eastAsia" w:hAnsi="宋体"/>
                <w:szCs w:val="21"/>
              </w:rPr>
            </w:pPr>
            <w:r>
              <w:rPr>
                <w:rFonts w:hint="eastAsia" w:hAnsi="宋体"/>
                <w:szCs w:val="21"/>
              </w:rPr>
              <w:t>4</w:t>
            </w:r>
          </w:p>
        </w:tc>
        <w:tc>
          <w:tcPr>
            <w:tcW w:w="2907" w:type="dxa"/>
            <w:vAlign w:val="center"/>
          </w:tcPr>
          <w:p>
            <w:pPr>
              <w:pStyle w:val="41"/>
              <w:shd w:val="clear" w:color="auto" w:fill="FFFFFF"/>
              <w:spacing w:before="0" w:after="0"/>
              <w:jc w:val="both"/>
              <w:rPr>
                <w:rFonts w:hint="eastAsia" w:hAnsi="宋体"/>
                <w:szCs w:val="21"/>
              </w:rPr>
            </w:pPr>
            <w:r>
              <w:rPr>
                <w:rFonts w:hint="eastAsia" w:hAnsi="宋体"/>
                <w:szCs w:val="21"/>
              </w:rPr>
              <w:t>油漆</w:t>
            </w:r>
          </w:p>
        </w:tc>
        <w:tc>
          <w:tcPr>
            <w:tcW w:w="4493" w:type="dxa"/>
            <w:vAlign w:val="center"/>
          </w:tcPr>
          <w:p>
            <w:pPr>
              <w:pStyle w:val="41"/>
              <w:shd w:val="clear" w:color="auto" w:fill="FFFFFF"/>
              <w:spacing w:before="0" w:after="0"/>
              <w:jc w:val="both"/>
              <w:rPr>
                <w:rFonts w:hint="eastAsia" w:hAnsi="宋体"/>
                <w:szCs w:val="21"/>
              </w:rPr>
            </w:pPr>
            <w:r>
              <w:rPr>
                <w:rFonts w:hint="eastAsia" w:hAnsi="宋体"/>
                <w:szCs w:val="21"/>
              </w:rPr>
              <w:t>ICI、上海国际或等同</w:t>
            </w:r>
          </w:p>
        </w:tc>
        <w:tc>
          <w:tcPr>
            <w:tcW w:w="901" w:type="dxa"/>
            <w:vAlign w:val="center"/>
          </w:tcPr>
          <w:p>
            <w:pPr>
              <w:pStyle w:val="40"/>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600" w:type="dxa"/>
            <w:vAlign w:val="top"/>
          </w:tcPr>
          <w:p>
            <w:pPr>
              <w:pStyle w:val="41"/>
              <w:spacing w:before="0" w:after="0"/>
              <w:rPr>
                <w:rFonts w:hint="eastAsia" w:hAnsi="宋体"/>
                <w:szCs w:val="21"/>
              </w:rPr>
            </w:pPr>
            <w:r>
              <w:rPr>
                <w:rFonts w:hint="eastAsia" w:hAnsi="宋体"/>
                <w:szCs w:val="21"/>
              </w:rPr>
              <w:t>5</w:t>
            </w:r>
          </w:p>
        </w:tc>
        <w:tc>
          <w:tcPr>
            <w:tcW w:w="2907" w:type="dxa"/>
            <w:vAlign w:val="center"/>
          </w:tcPr>
          <w:p>
            <w:pPr>
              <w:pStyle w:val="41"/>
              <w:shd w:val="clear" w:color="auto" w:fill="FFFFFF"/>
              <w:spacing w:before="0" w:after="0"/>
              <w:jc w:val="both"/>
              <w:rPr>
                <w:rFonts w:hint="eastAsia" w:hAnsi="宋体"/>
                <w:szCs w:val="21"/>
              </w:rPr>
            </w:pPr>
            <w:r>
              <w:rPr>
                <w:rFonts w:hint="eastAsia" w:hAnsi="宋体"/>
                <w:szCs w:val="21"/>
              </w:rPr>
              <w:t>墙壁插座</w:t>
            </w:r>
          </w:p>
        </w:tc>
        <w:tc>
          <w:tcPr>
            <w:tcW w:w="4493" w:type="dxa"/>
            <w:vAlign w:val="center"/>
          </w:tcPr>
          <w:p>
            <w:pPr>
              <w:pStyle w:val="41"/>
              <w:shd w:val="clear" w:color="auto" w:fill="FFFFFF"/>
              <w:spacing w:before="0" w:after="0"/>
              <w:jc w:val="both"/>
              <w:rPr>
                <w:rFonts w:hint="eastAsia" w:hAnsi="宋体"/>
                <w:szCs w:val="21"/>
              </w:rPr>
            </w:pPr>
            <w:r>
              <w:rPr>
                <w:rFonts w:hint="eastAsia" w:hAnsi="宋体"/>
                <w:szCs w:val="21"/>
              </w:rPr>
              <w:t>ABB、西门子、施耐德</w:t>
            </w:r>
          </w:p>
        </w:tc>
        <w:tc>
          <w:tcPr>
            <w:tcW w:w="901" w:type="dxa"/>
            <w:vAlign w:val="center"/>
          </w:tcPr>
          <w:p>
            <w:pPr>
              <w:pStyle w:val="40"/>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600" w:type="dxa"/>
            <w:vAlign w:val="top"/>
          </w:tcPr>
          <w:p>
            <w:pPr>
              <w:pStyle w:val="41"/>
              <w:spacing w:before="0" w:after="0"/>
              <w:rPr>
                <w:rFonts w:hint="eastAsia" w:hAnsi="宋体"/>
                <w:szCs w:val="21"/>
              </w:rPr>
            </w:pPr>
            <w:r>
              <w:rPr>
                <w:rFonts w:hint="eastAsia" w:hAnsi="宋体"/>
                <w:szCs w:val="21"/>
              </w:rPr>
              <w:t>6</w:t>
            </w:r>
          </w:p>
        </w:tc>
        <w:tc>
          <w:tcPr>
            <w:tcW w:w="2907" w:type="dxa"/>
            <w:vAlign w:val="center"/>
          </w:tcPr>
          <w:p>
            <w:pPr>
              <w:pStyle w:val="41"/>
              <w:shd w:val="clear" w:color="auto" w:fill="FFFFFF"/>
              <w:spacing w:before="0" w:after="0"/>
              <w:jc w:val="both"/>
              <w:rPr>
                <w:rFonts w:hint="eastAsia" w:hAnsi="宋体"/>
                <w:szCs w:val="21"/>
              </w:rPr>
            </w:pPr>
            <w:r>
              <w:rPr>
                <w:rFonts w:hint="eastAsia" w:hAnsi="宋体"/>
                <w:szCs w:val="21"/>
              </w:rPr>
              <w:t>PLC模块</w:t>
            </w:r>
          </w:p>
        </w:tc>
        <w:tc>
          <w:tcPr>
            <w:tcW w:w="4493" w:type="dxa"/>
            <w:vAlign w:val="center"/>
          </w:tcPr>
          <w:p>
            <w:pPr>
              <w:pStyle w:val="41"/>
              <w:shd w:val="clear" w:color="auto" w:fill="FFFFFF"/>
              <w:spacing w:before="0" w:after="0"/>
              <w:jc w:val="both"/>
              <w:rPr>
                <w:rFonts w:hint="eastAsia" w:hAnsi="宋体"/>
                <w:szCs w:val="21"/>
              </w:rPr>
            </w:pPr>
            <w:r>
              <w:rPr>
                <w:rFonts w:hint="eastAsia" w:hAnsi="宋体"/>
                <w:szCs w:val="21"/>
              </w:rPr>
              <w:t>AB</w:t>
            </w:r>
          </w:p>
        </w:tc>
        <w:tc>
          <w:tcPr>
            <w:tcW w:w="901" w:type="dxa"/>
            <w:vAlign w:val="center"/>
          </w:tcPr>
          <w:p>
            <w:pPr>
              <w:pStyle w:val="40"/>
              <w:rPr>
                <w:rFonts w:hint="eastAsia"/>
                <w:szCs w:val="21"/>
              </w:rPr>
            </w:pPr>
          </w:p>
        </w:tc>
      </w:tr>
    </w:tbl>
    <w:p>
      <w:pPr>
        <w:rPr>
          <w:rFonts w:hint="eastAsia"/>
        </w:rPr>
      </w:pPr>
      <w:bookmarkStart w:id="257" w:name="_Toc12479"/>
      <w:bookmarkStart w:id="258" w:name="_Toc9543"/>
    </w:p>
    <w:p>
      <w:pPr>
        <w:pStyle w:val="2"/>
        <w:numPr>
          <w:ilvl w:val="0"/>
          <w:numId w:val="0"/>
        </w:numPr>
        <w:tabs>
          <w:tab w:val="left" w:pos="1103"/>
        </w:tabs>
        <w:adjustRightInd w:val="0"/>
        <w:snapToGrid w:val="0"/>
        <w:spacing w:before="0" w:after="0" w:line="360" w:lineRule="auto"/>
        <w:ind w:left="23"/>
        <w:jc w:val="both"/>
        <w:rPr>
          <w:rFonts w:hint="eastAsia"/>
          <w:sz w:val="28"/>
          <w:szCs w:val="28"/>
        </w:rPr>
      </w:pPr>
      <w:bookmarkStart w:id="259" w:name="_Toc21963"/>
      <w:r>
        <w:rPr>
          <w:rFonts w:hint="eastAsia"/>
          <w:sz w:val="28"/>
          <w:szCs w:val="28"/>
        </w:rPr>
        <w:t xml:space="preserve">6. </w:t>
      </w:r>
      <w:r>
        <w:rPr>
          <w:rFonts w:hint="eastAsia" w:ascii="宋体" w:hAnsi="宋体" w:eastAsia="宋体" w:cs="宋体"/>
          <w:sz w:val="28"/>
          <w:szCs w:val="28"/>
        </w:rPr>
        <w:t>施工方案及过程控制</w:t>
      </w:r>
      <w:bookmarkEnd w:id="257"/>
      <w:bookmarkEnd w:id="259"/>
    </w:p>
    <w:p>
      <w:pPr>
        <w:pStyle w:val="7"/>
        <w:spacing w:line="480" w:lineRule="exact"/>
        <w:ind w:firstLine="480" w:firstLineChars="200"/>
        <w:rPr>
          <w:rFonts w:hint="eastAsia" w:hAnsi="Times New Roman"/>
          <w:kern w:val="2"/>
          <w:sz w:val="24"/>
          <w:szCs w:val="24"/>
        </w:rPr>
      </w:pPr>
      <w:r>
        <w:rPr>
          <w:rFonts w:hint="eastAsia" w:hAnsi="Times New Roman"/>
          <w:kern w:val="2"/>
          <w:sz w:val="24"/>
          <w:szCs w:val="24"/>
        </w:rPr>
        <w:t>(1) 投标方应根据现场勘查结果制定施工组织方案。</w:t>
      </w:r>
      <w:r>
        <w:rPr>
          <w:rFonts w:hAnsi="Times New Roman"/>
          <w:kern w:val="2"/>
          <w:sz w:val="24"/>
          <w:szCs w:val="24"/>
        </w:rPr>
        <w:t>本改造项目总工期自合同签订之日开始</w:t>
      </w:r>
      <w:r>
        <w:rPr>
          <w:rFonts w:hint="eastAsia" w:hAnsi="Times New Roman"/>
          <w:kern w:val="2"/>
          <w:sz w:val="24"/>
          <w:szCs w:val="24"/>
        </w:rPr>
        <w:t>12</w:t>
      </w:r>
      <w:r>
        <w:rPr>
          <w:rFonts w:hAnsi="Times New Roman"/>
          <w:kern w:val="2"/>
          <w:sz w:val="24"/>
          <w:szCs w:val="24"/>
        </w:rPr>
        <w:t>个月</w:t>
      </w:r>
      <w:r>
        <w:rPr>
          <w:rFonts w:hint="eastAsia" w:hAnsi="Times New Roman"/>
          <w:kern w:val="2"/>
          <w:sz w:val="24"/>
          <w:szCs w:val="24"/>
        </w:rPr>
        <w:t>内完成设备安装调试</w:t>
      </w:r>
      <w:r>
        <w:rPr>
          <w:rFonts w:hAnsi="Times New Roman"/>
          <w:kern w:val="2"/>
          <w:sz w:val="24"/>
          <w:szCs w:val="24"/>
        </w:rPr>
        <w:t>。自合同签订之日开始</w:t>
      </w:r>
      <w:r>
        <w:rPr>
          <w:rFonts w:hint="eastAsia" w:hAnsi="Times New Roman"/>
          <w:kern w:val="2"/>
          <w:sz w:val="24"/>
          <w:szCs w:val="24"/>
        </w:rPr>
        <w:t>1</w:t>
      </w:r>
      <w:r>
        <w:rPr>
          <w:rFonts w:hAnsi="Times New Roman"/>
          <w:kern w:val="2"/>
          <w:sz w:val="24"/>
          <w:szCs w:val="24"/>
        </w:rPr>
        <w:t>个月</w:t>
      </w:r>
      <w:r>
        <w:rPr>
          <w:rFonts w:hint="eastAsia" w:hAnsi="Times New Roman"/>
          <w:kern w:val="2"/>
          <w:sz w:val="24"/>
          <w:szCs w:val="24"/>
        </w:rPr>
        <w:t>内，投标人在投标时应列出所有设备的安装调试工期计划、图纸资料，并应明确各项工作是否需要生产停机，如需停机请说明停机时间。</w:t>
      </w:r>
    </w:p>
    <w:p>
      <w:pPr>
        <w:pStyle w:val="7"/>
        <w:spacing w:line="480" w:lineRule="exact"/>
        <w:ind w:firstLine="480" w:firstLineChars="200"/>
        <w:rPr>
          <w:rFonts w:hint="eastAsia" w:hAnsi="Times New Roman"/>
          <w:kern w:val="2"/>
          <w:sz w:val="24"/>
          <w:szCs w:val="24"/>
        </w:rPr>
      </w:pPr>
      <w:r>
        <w:rPr>
          <w:rFonts w:hint="eastAsia" w:hAnsi="Times New Roman"/>
          <w:kern w:val="2"/>
          <w:sz w:val="24"/>
          <w:szCs w:val="24"/>
        </w:rPr>
        <w:t>(2) 投标</w:t>
      </w:r>
      <w:r>
        <w:rPr>
          <w:rFonts w:hAnsi="Times New Roman"/>
          <w:kern w:val="2"/>
          <w:sz w:val="24"/>
          <w:szCs w:val="24"/>
        </w:rPr>
        <w:t>方在施工前需向</w:t>
      </w:r>
      <w:r>
        <w:rPr>
          <w:rFonts w:hint="eastAsia" w:hAnsi="Times New Roman"/>
          <w:kern w:val="2"/>
          <w:sz w:val="24"/>
          <w:szCs w:val="24"/>
        </w:rPr>
        <w:t>招标</w:t>
      </w:r>
      <w:r>
        <w:rPr>
          <w:rFonts w:hAnsi="Times New Roman"/>
          <w:kern w:val="2"/>
          <w:sz w:val="24"/>
          <w:szCs w:val="24"/>
        </w:rPr>
        <w:t>方进行施工申请，在得到</w:t>
      </w:r>
      <w:r>
        <w:rPr>
          <w:rFonts w:hint="eastAsia" w:hAnsi="Times New Roman"/>
          <w:kern w:val="2"/>
          <w:sz w:val="24"/>
          <w:szCs w:val="24"/>
        </w:rPr>
        <w:t>招标</w:t>
      </w:r>
      <w:r>
        <w:rPr>
          <w:rFonts w:hAnsi="Times New Roman"/>
          <w:kern w:val="2"/>
          <w:sz w:val="24"/>
          <w:szCs w:val="24"/>
        </w:rPr>
        <w:t>方的同意后方可进行施工。由于</w:t>
      </w:r>
      <w:r>
        <w:rPr>
          <w:rFonts w:hint="eastAsia" w:hAnsi="Times New Roman"/>
          <w:kern w:val="2"/>
          <w:sz w:val="24"/>
          <w:szCs w:val="24"/>
        </w:rPr>
        <w:t>招标</w:t>
      </w:r>
      <w:r>
        <w:rPr>
          <w:rFonts w:hAnsi="Times New Roman"/>
          <w:kern w:val="2"/>
          <w:sz w:val="24"/>
          <w:szCs w:val="24"/>
        </w:rPr>
        <w:t>方的原因导致</w:t>
      </w:r>
      <w:r>
        <w:rPr>
          <w:rFonts w:hint="eastAsia" w:hAnsi="Times New Roman"/>
          <w:kern w:val="2"/>
          <w:sz w:val="24"/>
          <w:szCs w:val="24"/>
        </w:rPr>
        <w:t>投标方</w:t>
      </w:r>
      <w:r>
        <w:rPr>
          <w:rFonts w:hAnsi="Times New Roman"/>
          <w:kern w:val="2"/>
          <w:sz w:val="24"/>
          <w:szCs w:val="24"/>
        </w:rPr>
        <w:t xml:space="preserve">无法进行现场施工时，本改造项目总工期相应顺延，但现场实施改造工期和停机时间仍不得超出上述要求。 </w:t>
      </w:r>
    </w:p>
    <w:p>
      <w:pPr>
        <w:pStyle w:val="7"/>
        <w:spacing w:line="480" w:lineRule="exact"/>
        <w:ind w:firstLine="480" w:firstLineChars="200"/>
        <w:rPr>
          <w:rFonts w:hint="eastAsia" w:hAnsi="Times New Roman"/>
          <w:kern w:val="2"/>
          <w:sz w:val="24"/>
          <w:szCs w:val="24"/>
        </w:rPr>
      </w:pPr>
      <w:r>
        <w:rPr>
          <w:rFonts w:hint="eastAsia" w:hAnsi="Times New Roman"/>
          <w:kern w:val="2"/>
          <w:sz w:val="24"/>
          <w:szCs w:val="24"/>
        </w:rPr>
        <w:t>(3) 施工前要做好准备，所有材料运抵现场，待招标方确认后进行施工。</w:t>
      </w:r>
    </w:p>
    <w:p>
      <w:pPr>
        <w:pStyle w:val="7"/>
        <w:spacing w:line="480" w:lineRule="exact"/>
        <w:ind w:firstLine="480" w:firstLineChars="200"/>
        <w:rPr>
          <w:rFonts w:hint="eastAsia" w:hAnsi="Times New Roman"/>
          <w:kern w:val="2"/>
          <w:sz w:val="24"/>
          <w:szCs w:val="24"/>
        </w:rPr>
      </w:pPr>
      <w:r>
        <w:rPr>
          <w:rFonts w:hint="eastAsia" w:hAnsi="Times New Roman"/>
          <w:kern w:val="2"/>
          <w:sz w:val="24"/>
          <w:szCs w:val="24"/>
        </w:rPr>
        <w:t>(4) 在每项工作开始和终结及含有隐蔽工程的工作结束时，投标方均应通知招标方负责人进行现场确认和验收。</w:t>
      </w:r>
    </w:p>
    <w:p>
      <w:pPr>
        <w:pStyle w:val="2"/>
        <w:numPr>
          <w:ilvl w:val="0"/>
          <w:numId w:val="0"/>
        </w:numPr>
        <w:tabs>
          <w:tab w:val="left" w:pos="1103"/>
        </w:tabs>
        <w:adjustRightInd w:val="0"/>
        <w:snapToGrid w:val="0"/>
        <w:spacing w:before="0" w:after="0" w:line="360" w:lineRule="auto"/>
        <w:ind w:left="23"/>
        <w:jc w:val="both"/>
        <w:rPr>
          <w:rFonts w:hint="eastAsia"/>
          <w:sz w:val="28"/>
          <w:szCs w:val="28"/>
        </w:rPr>
      </w:pPr>
      <w:bookmarkStart w:id="260" w:name="_Toc26316"/>
      <w:r>
        <w:rPr>
          <w:rFonts w:hint="eastAsia"/>
          <w:sz w:val="28"/>
          <w:szCs w:val="28"/>
        </w:rPr>
        <w:t xml:space="preserve">7. </w:t>
      </w:r>
      <w:r>
        <w:rPr>
          <w:rFonts w:hint="eastAsia" w:ascii="宋体" w:hAnsi="宋体" w:eastAsia="宋体" w:cs="宋体"/>
          <w:sz w:val="28"/>
          <w:szCs w:val="28"/>
        </w:rPr>
        <w:t>项目验收</w:t>
      </w:r>
      <w:bookmarkEnd w:id="258"/>
      <w:bookmarkEnd w:id="260"/>
    </w:p>
    <w:p>
      <w:pPr>
        <w:pStyle w:val="7"/>
        <w:spacing w:line="480" w:lineRule="exact"/>
        <w:ind w:firstLine="480" w:firstLineChars="200"/>
        <w:rPr>
          <w:rFonts w:hint="eastAsia" w:hAnsi="Times New Roman"/>
          <w:kern w:val="2"/>
          <w:sz w:val="24"/>
          <w:szCs w:val="24"/>
        </w:rPr>
      </w:pPr>
      <w:r>
        <w:rPr>
          <w:rFonts w:hint="eastAsia" w:hAnsi="Times New Roman"/>
          <w:kern w:val="2"/>
          <w:sz w:val="24"/>
          <w:szCs w:val="24"/>
        </w:rPr>
        <w:t>在合同生效3个月内投标方须提交调试大纲并征得招标方批准，在设备安装完毕的基础上，投标方应按合同规定进行确认，并进行设备无负荷试运转及无负荷联动试运转、有负荷联动试运转，并应由招标方证明并记录，投标方建议的其它试验也可以进行。</w:t>
      </w:r>
    </w:p>
    <w:p>
      <w:pPr>
        <w:pStyle w:val="7"/>
        <w:spacing w:line="480" w:lineRule="exact"/>
        <w:ind w:firstLine="480" w:firstLineChars="200"/>
        <w:rPr>
          <w:rFonts w:hint="eastAsia" w:hAnsi="Times New Roman"/>
          <w:kern w:val="2"/>
          <w:sz w:val="24"/>
          <w:szCs w:val="24"/>
        </w:rPr>
      </w:pPr>
      <w:r>
        <w:rPr>
          <w:rFonts w:hint="eastAsia" w:hAnsi="Times New Roman"/>
          <w:kern w:val="2"/>
          <w:sz w:val="24"/>
          <w:szCs w:val="24"/>
        </w:rPr>
        <w:t>全部试验完成后进行</w:t>
      </w:r>
      <w:r>
        <w:rPr>
          <w:rFonts w:hint="eastAsia" w:hAnsi="Times New Roman"/>
          <w:kern w:val="2"/>
          <w:sz w:val="24"/>
          <w:szCs w:val="24"/>
          <w:lang w:val="en-US" w:eastAsia="zh-CN"/>
        </w:rPr>
        <w:t>1</w:t>
      </w:r>
      <w:r>
        <w:rPr>
          <w:rFonts w:hint="eastAsia" w:hAnsi="Times New Roman"/>
          <w:kern w:val="2"/>
          <w:sz w:val="24"/>
          <w:szCs w:val="24"/>
        </w:rPr>
        <w:t>个月的试运行，试运行效果达到司机室无漏水、漏风。工作稳定，无错误指令，无错误报警，触摸屏操作无死机，卡屏现象。线路规范，绝缘无损坏、烤焦。空开、热继、漏保等无频繁动作。招标方根据设备的实际运行情况和投标方提出的书面验收申请组织相关部门按照国家规范、合同及相关文件要求进行验收。如果由于投标方原因造成设备运行不稳定或不能满足合同要求时，招标方有权不予验收，直到达到要求。</w:t>
      </w:r>
    </w:p>
    <w:p>
      <w:pPr>
        <w:outlineLvl w:val="0"/>
        <w:rPr>
          <w:rFonts w:ascii="宋体" w:hAnsi="宋体"/>
          <w:sz w:val="24"/>
        </w:rPr>
      </w:pPr>
    </w:p>
    <w:p>
      <w:pPr>
        <w:pStyle w:val="2"/>
        <w:numPr>
          <w:ilvl w:val="0"/>
          <w:numId w:val="0"/>
        </w:numPr>
        <w:tabs>
          <w:tab w:val="left" w:pos="1103"/>
        </w:tabs>
        <w:adjustRightInd w:val="0"/>
        <w:snapToGrid w:val="0"/>
        <w:spacing w:before="0" w:after="0" w:line="360" w:lineRule="auto"/>
        <w:ind w:left="23"/>
        <w:jc w:val="both"/>
        <w:rPr>
          <w:rFonts w:hint="eastAsia"/>
          <w:sz w:val="28"/>
          <w:szCs w:val="28"/>
        </w:rPr>
      </w:pPr>
      <w:bookmarkStart w:id="261" w:name="_Toc8913"/>
      <w:bookmarkStart w:id="262" w:name="_Toc24379"/>
      <w:r>
        <w:rPr>
          <w:rFonts w:hint="eastAsia"/>
          <w:sz w:val="28"/>
          <w:szCs w:val="28"/>
        </w:rPr>
        <w:t>8.质量保证及服务承诺</w:t>
      </w:r>
      <w:bookmarkEnd w:id="261"/>
      <w:bookmarkEnd w:id="262"/>
    </w:p>
    <w:p>
      <w:pPr>
        <w:pStyle w:val="7"/>
        <w:spacing w:line="360" w:lineRule="auto"/>
        <w:ind w:firstLine="480" w:firstLineChars="200"/>
        <w:rPr>
          <w:rFonts w:hint="eastAsia" w:hAnsi="Times New Roman"/>
          <w:kern w:val="2"/>
          <w:sz w:val="24"/>
          <w:szCs w:val="24"/>
        </w:rPr>
      </w:pPr>
      <w:r>
        <w:rPr>
          <w:rFonts w:hint="eastAsia" w:hAnsi="Times New Roman"/>
          <w:kern w:val="2"/>
          <w:sz w:val="24"/>
          <w:szCs w:val="24"/>
        </w:rPr>
        <w:t>(1) 凡在开箱检验、安装调试、设备试运转过程中发现的设备质量问题，由投标方负责处理，实行包修、包换、包退直至产品符合质量要求，投标方承担修理、调换、退货发生的一切费用和招标方的直接经济损失。</w:t>
      </w:r>
    </w:p>
    <w:p>
      <w:pPr>
        <w:pStyle w:val="7"/>
        <w:spacing w:line="360" w:lineRule="auto"/>
        <w:ind w:firstLine="480" w:firstLineChars="200"/>
        <w:rPr>
          <w:rFonts w:hint="eastAsia" w:hAnsi="Times New Roman"/>
          <w:kern w:val="2"/>
          <w:sz w:val="24"/>
          <w:szCs w:val="24"/>
        </w:rPr>
      </w:pPr>
      <w:r>
        <w:rPr>
          <w:rFonts w:hint="eastAsia" w:hAnsi="Times New Roman"/>
          <w:kern w:val="2"/>
          <w:sz w:val="24"/>
          <w:szCs w:val="24"/>
        </w:rPr>
        <w:t>(2) 质保期限：项目验收合格后18个月。</w:t>
      </w:r>
    </w:p>
    <w:p>
      <w:pPr>
        <w:widowControl/>
        <w:spacing w:line="360" w:lineRule="auto"/>
        <w:ind w:firstLine="480" w:firstLineChars="200"/>
        <w:jc w:val="left"/>
        <w:rPr>
          <w:rFonts w:hint="eastAsia" w:ascii="宋体"/>
          <w:sz w:val="24"/>
        </w:rPr>
      </w:pPr>
      <w:r>
        <w:rPr>
          <w:rFonts w:hint="eastAsia" w:ascii="宋体"/>
          <w:sz w:val="24"/>
        </w:rPr>
        <w:t>(3) 投标方应根据招标方的时间安排要求，在系统投产初期（验收后累计2周内），安排1名合格的技术代表，对投标方所提供的制动系统进行连续的监护性服务，对系统运转初期出现的故障进行应急处理，以帮助招标方掌握系统的安全技术和故障排除技术。且协议规定服务项目，工程交付后在保修期内出现了问题，投标方在接到招标方通知后24小时内赶到现场，无偿进行返修或返工。</w:t>
      </w:r>
    </w:p>
    <w:p>
      <w:pPr>
        <w:pStyle w:val="7"/>
        <w:spacing w:line="360" w:lineRule="auto"/>
        <w:ind w:firstLine="480" w:firstLineChars="200"/>
        <w:rPr>
          <w:rFonts w:hint="eastAsia" w:hAnsi="Times New Roman"/>
          <w:kern w:val="2"/>
          <w:sz w:val="24"/>
          <w:szCs w:val="24"/>
        </w:rPr>
      </w:pPr>
      <w:r>
        <w:rPr>
          <w:rFonts w:hint="eastAsia" w:hAnsi="Times New Roman"/>
          <w:kern w:val="2"/>
          <w:sz w:val="24"/>
          <w:szCs w:val="24"/>
        </w:rPr>
        <w:t>(4) 工程交付后，投标方负责向招标方相关人员培训有关设备的使用、维护事项。投标方应选派称职的、有丰富经验的技术人员进行技术培训。应提供培训讲义和声视资料。培训方法采用理论讲授与现场演示相结合的方式。现场培训应结合安装、调试进行。</w:t>
      </w:r>
    </w:p>
    <w:p>
      <w:pPr>
        <w:ind w:firstLine="480" w:firstLineChars="200"/>
        <w:rPr>
          <w:rFonts w:ascii="宋体" w:hAnsi="宋体"/>
          <w:sz w:val="24"/>
        </w:rPr>
      </w:pPr>
    </w:p>
    <w:p>
      <w:pPr>
        <w:rPr>
          <w:rFonts w:hint="eastAsia"/>
          <w:lang w:eastAsia="zh-CN"/>
        </w:rPr>
      </w:pPr>
      <w:r>
        <w:rPr>
          <w:rFonts w:hint="eastAsia"/>
          <w:lang w:eastAsia="zh-CN"/>
        </w:rPr>
        <w:t>附件：装船机司机室部分照片</w:t>
      </w:r>
    </w:p>
    <w:p>
      <w:pPr>
        <w:jc w:val="center"/>
        <w:rPr>
          <w:rFonts w:hint="eastAsia"/>
          <w:lang w:eastAsia="zh-CN"/>
        </w:rPr>
      </w:pPr>
      <w:r>
        <w:rPr>
          <w:rFonts w:hint="eastAsia"/>
          <w:lang w:eastAsia="zh-CN"/>
        </w:rPr>
        <w:drawing>
          <wp:inline distT="0" distB="0" distL="114300" distR="114300">
            <wp:extent cx="4250055" cy="3187700"/>
            <wp:effectExtent l="0" t="0" r="17145" b="12700"/>
            <wp:docPr id="5" name="图片 2" descr="IMG_20161229_173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IMG_20161229_173300"/>
                    <pic:cNvPicPr>
                      <a:picLocks noChangeAspect="1"/>
                    </pic:cNvPicPr>
                  </pic:nvPicPr>
                  <pic:blipFill>
                    <a:blip r:embed="rId7"/>
                    <a:stretch>
                      <a:fillRect/>
                    </a:stretch>
                  </pic:blipFill>
                  <pic:spPr>
                    <a:xfrm>
                      <a:off x="0" y="0"/>
                      <a:ext cx="4250055" cy="3187700"/>
                    </a:xfrm>
                    <a:prstGeom prst="rect">
                      <a:avLst/>
                    </a:prstGeom>
                    <a:noFill/>
                    <a:ln w="9525">
                      <a:noFill/>
                    </a:ln>
                  </pic:spPr>
                </pic:pic>
              </a:graphicData>
            </a:graphic>
          </wp:inline>
        </w:drawing>
      </w:r>
    </w:p>
    <w:p>
      <w:pPr>
        <w:jc w:val="center"/>
        <w:rPr>
          <w:rFonts w:hint="eastAsia"/>
          <w:lang w:eastAsia="zh-CN"/>
        </w:rPr>
      </w:pPr>
      <w:r>
        <w:rPr>
          <w:rFonts w:hint="eastAsia"/>
          <w:lang w:eastAsia="zh-CN"/>
        </w:rPr>
        <w:t>图</w:t>
      </w:r>
      <w:r>
        <w:rPr>
          <w:rFonts w:hint="eastAsia"/>
          <w:lang w:val="en-US" w:eastAsia="zh-CN"/>
        </w:rPr>
        <w:t xml:space="preserve">1 </w:t>
      </w:r>
      <w:r>
        <w:rPr>
          <w:rFonts w:hint="eastAsia"/>
          <w:lang w:eastAsia="zh-CN"/>
        </w:rPr>
        <w:t>司机室室内前方</w:t>
      </w:r>
    </w:p>
    <w:p>
      <w:pPr>
        <w:jc w:val="center"/>
        <w:rPr>
          <w:rFonts w:hint="eastAsia"/>
          <w:lang w:eastAsia="zh-CN"/>
        </w:rPr>
      </w:pPr>
      <w:r>
        <w:rPr>
          <w:rFonts w:hint="eastAsia"/>
          <w:lang w:eastAsia="zh-CN"/>
        </w:rPr>
        <w:drawing>
          <wp:inline distT="0" distB="0" distL="114300" distR="114300">
            <wp:extent cx="4359910" cy="3270250"/>
            <wp:effectExtent l="0" t="0" r="2540" b="6350"/>
            <wp:docPr id="4" name="图片 3" descr="IMG_20161229_173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0161229_173312"/>
                    <pic:cNvPicPr>
                      <a:picLocks noChangeAspect="1"/>
                    </pic:cNvPicPr>
                  </pic:nvPicPr>
                  <pic:blipFill>
                    <a:blip r:embed="rId8"/>
                    <a:stretch>
                      <a:fillRect/>
                    </a:stretch>
                  </pic:blipFill>
                  <pic:spPr>
                    <a:xfrm>
                      <a:off x="0" y="0"/>
                      <a:ext cx="4359910" cy="3270250"/>
                    </a:xfrm>
                    <a:prstGeom prst="rect">
                      <a:avLst/>
                    </a:prstGeom>
                    <a:noFill/>
                    <a:ln w="9525">
                      <a:noFill/>
                    </a:ln>
                  </pic:spPr>
                </pic:pic>
              </a:graphicData>
            </a:graphic>
          </wp:inline>
        </w:drawing>
      </w:r>
    </w:p>
    <w:p>
      <w:pPr>
        <w:jc w:val="center"/>
        <w:rPr>
          <w:rFonts w:hint="eastAsia"/>
          <w:lang w:val="en-US" w:eastAsia="zh-CN"/>
        </w:rPr>
      </w:pPr>
      <w:r>
        <w:rPr>
          <w:rFonts w:hint="eastAsia"/>
          <w:lang w:eastAsia="zh-CN"/>
        </w:rPr>
        <w:t>图</w:t>
      </w:r>
      <w:r>
        <w:rPr>
          <w:rFonts w:hint="eastAsia"/>
          <w:lang w:val="en-US" w:eastAsia="zh-CN"/>
        </w:rPr>
        <w:t>2 司机室室内左方上</w:t>
      </w:r>
    </w:p>
    <w:p>
      <w:pPr>
        <w:jc w:val="center"/>
        <w:rPr>
          <w:rFonts w:hint="eastAsia"/>
          <w:lang w:val="en-US" w:eastAsia="zh-CN"/>
        </w:rPr>
      </w:pPr>
    </w:p>
    <w:p>
      <w:pPr>
        <w:jc w:val="center"/>
        <w:rPr>
          <w:rFonts w:hint="eastAsia"/>
          <w:lang w:val="en-US" w:eastAsia="zh-CN"/>
        </w:rPr>
      </w:pPr>
      <w:r>
        <w:rPr>
          <w:rFonts w:hint="eastAsia"/>
          <w:lang w:val="en-US" w:eastAsia="zh-CN"/>
        </w:rPr>
        <w:drawing>
          <wp:inline distT="0" distB="0" distL="114300" distR="114300">
            <wp:extent cx="4327525" cy="3246120"/>
            <wp:effectExtent l="0" t="0" r="15875" b="11430"/>
            <wp:docPr id="3" name="图片 4" descr="IMG_20161229_173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IMG_20161229_173320"/>
                    <pic:cNvPicPr>
                      <a:picLocks noChangeAspect="1"/>
                    </pic:cNvPicPr>
                  </pic:nvPicPr>
                  <pic:blipFill>
                    <a:blip r:embed="rId9"/>
                    <a:stretch>
                      <a:fillRect/>
                    </a:stretch>
                  </pic:blipFill>
                  <pic:spPr>
                    <a:xfrm>
                      <a:off x="0" y="0"/>
                      <a:ext cx="4327525" cy="3246120"/>
                    </a:xfrm>
                    <a:prstGeom prst="rect">
                      <a:avLst/>
                    </a:prstGeom>
                    <a:noFill/>
                    <a:ln w="9525">
                      <a:noFill/>
                    </a:ln>
                  </pic:spPr>
                </pic:pic>
              </a:graphicData>
            </a:graphic>
          </wp:inline>
        </w:drawing>
      </w:r>
    </w:p>
    <w:p>
      <w:pPr>
        <w:jc w:val="center"/>
        <w:rPr>
          <w:rFonts w:hint="eastAsia"/>
          <w:lang w:val="en-US" w:eastAsia="zh-CN"/>
        </w:rPr>
      </w:pPr>
      <w:r>
        <w:rPr>
          <w:rFonts w:hint="eastAsia"/>
          <w:lang w:val="en-US" w:eastAsia="zh-CN"/>
        </w:rPr>
        <w:t>图3 司机室室内左方下</w:t>
      </w:r>
    </w:p>
    <w:p>
      <w:pPr>
        <w:jc w:val="center"/>
        <w:rPr>
          <w:rFonts w:hint="eastAsia"/>
          <w:lang w:val="en-US" w:eastAsia="zh-CN"/>
        </w:rPr>
      </w:pPr>
    </w:p>
    <w:p>
      <w:pPr>
        <w:jc w:val="center"/>
        <w:rPr>
          <w:rFonts w:hint="eastAsia"/>
          <w:lang w:val="en-US" w:eastAsia="zh-CN"/>
        </w:rPr>
      </w:pPr>
      <w:r>
        <w:rPr>
          <w:rFonts w:hint="eastAsia"/>
          <w:lang w:val="en-US" w:eastAsia="zh-CN"/>
        </w:rPr>
        <w:drawing>
          <wp:inline distT="0" distB="0" distL="114300" distR="114300">
            <wp:extent cx="4312920" cy="4121150"/>
            <wp:effectExtent l="0" t="0" r="11430" b="12700"/>
            <wp:docPr id="6" name="图片 5" descr="IMG_20161229_173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0161229_173336"/>
                    <pic:cNvPicPr>
                      <a:picLocks noChangeAspect="1"/>
                    </pic:cNvPicPr>
                  </pic:nvPicPr>
                  <pic:blipFill>
                    <a:blip r:embed="rId10"/>
                    <a:stretch>
                      <a:fillRect/>
                    </a:stretch>
                  </pic:blipFill>
                  <pic:spPr>
                    <a:xfrm>
                      <a:off x="0" y="0"/>
                      <a:ext cx="4312920" cy="4121150"/>
                    </a:xfrm>
                    <a:prstGeom prst="rect">
                      <a:avLst/>
                    </a:prstGeom>
                    <a:noFill/>
                    <a:ln w="9525">
                      <a:noFill/>
                    </a:ln>
                  </pic:spPr>
                </pic:pic>
              </a:graphicData>
            </a:graphic>
          </wp:inline>
        </w:drawing>
      </w:r>
    </w:p>
    <w:p>
      <w:pPr>
        <w:jc w:val="center"/>
        <w:rPr>
          <w:rFonts w:hint="eastAsia"/>
          <w:lang w:val="en-US" w:eastAsia="zh-CN"/>
        </w:rPr>
      </w:pPr>
      <w:r>
        <w:rPr>
          <w:rFonts w:hint="eastAsia"/>
          <w:lang w:val="en-US" w:eastAsia="zh-CN"/>
        </w:rPr>
        <w:t>图4 司机室室内右侧</w:t>
      </w:r>
    </w:p>
    <w:p>
      <w:pPr>
        <w:jc w:val="center"/>
        <w:rPr>
          <w:rFonts w:hint="eastAsia"/>
          <w:lang w:val="en-US" w:eastAsia="zh-CN"/>
        </w:rPr>
      </w:pPr>
      <w:r>
        <w:rPr>
          <w:rFonts w:hint="eastAsia"/>
          <w:lang w:val="en-US" w:eastAsia="zh-CN"/>
        </w:rPr>
        <w:drawing>
          <wp:inline distT="0" distB="0" distL="114300" distR="114300">
            <wp:extent cx="4306570" cy="3230245"/>
            <wp:effectExtent l="0" t="0" r="17780" b="8255"/>
            <wp:docPr id="1" name="图片 6" descr="IMG_20161229_174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IMG_20161229_174653"/>
                    <pic:cNvPicPr>
                      <a:picLocks noChangeAspect="1"/>
                    </pic:cNvPicPr>
                  </pic:nvPicPr>
                  <pic:blipFill>
                    <a:blip r:embed="rId11"/>
                    <a:stretch>
                      <a:fillRect/>
                    </a:stretch>
                  </pic:blipFill>
                  <pic:spPr>
                    <a:xfrm>
                      <a:off x="0" y="0"/>
                      <a:ext cx="4306570" cy="3230245"/>
                    </a:xfrm>
                    <a:prstGeom prst="rect">
                      <a:avLst/>
                    </a:prstGeom>
                    <a:noFill/>
                    <a:ln w="9525">
                      <a:noFill/>
                    </a:ln>
                  </pic:spPr>
                </pic:pic>
              </a:graphicData>
            </a:graphic>
          </wp:inline>
        </w:drawing>
      </w:r>
    </w:p>
    <w:p>
      <w:pPr>
        <w:jc w:val="center"/>
        <w:rPr>
          <w:rFonts w:hint="eastAsia"/>
          <w:lang w:val="en-US" w:eastAsia="zh-CN"/>
        </w:rPr>
      </w:pPr>
      <w:r>
        <w:rPr>
          <w:rFonts w:hint="eastAsia"/>
          <w:lang w:val="en-US" w:eastAsia="zh-CN"/>
        </w:rPr>
        <w:t>图5 司机室座椅下方PLC模块</w:t>
      </w:r>
    </w:p>
    <w:p>
      <w:pPr>
        <w:jc w:val="center"/>
        <w:rPr>
          <w:rFonts w:hint="eastAsia"/>
          <w:lang w:val="en-US" w:eastAsia="zh-CN"/>
        </w:rPr>
      </w:pPr>
      <w:r>
        <w:rPr>
          <w:rFonts w:hint="eastAsia"/>
          <w:lang w:val="en-US" w:eastAsia="zh-CN"/>
        </w:rPr>
        <w:drawing>
          <wp:inline distT="0" distB="0" distL="114300" distR="114300">
            <wp:extent cx="4302125" cy="5737225"/>
            <wp:effectExtent l="0" t="0" r="3175" b="15875"/>
            <wp:docPr id="7" name="图片 7" descr="IMG_20161229_174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0161229_174948"/>
                    <pic:cNvPicPr>
                      <a:picLocks noChangeAspect="1"/>
                    </pic:cNvPicPr>
                  </pic:nvPicPr>
                  <pic:blipFill>
                    <a:blip r:embed="rId12"/>
                    <a:stretch>
                      <a:fillRect/>
                    </a:stretch>
                  </pic:blipFill>
                  <pic:spPr>
                    <a:xfrm>
                      <a:off x="0" y="0"/>
                      <a:ext cx="4302125" cy="5737225"/>
                    </a:xfrm>
                    <a:prstGeom prst="rect">
                      <a:avLst/>
                    </a:prstGeom>
                    <a:noFill/>
                    <a:ln w="9525">
                      <a:noFill/>
                    </a:ln>
                  </pic:spPr>
                </pic:pic>
              </a:graphicData>
            </a:graphic>
          </wp:inline>
        </w:drawing>
      </w:r>
    </w:p>
    <w:p>
      <w:pPr>
        <w:jc w:val="center"/>
        <w:rPr>
          <w:rFonts w:hint="eastAsia"/>
          <w:lang w:val="en-US" w:eastAsia="zh-CN"/>
        </w:rPr>
      </w:pPr>
      <w:r>
        <w:rPr>
          <w:rFonts w:hint="eastAsia"/>
          <w:lang w:val="en-US" w:eastAsia="zh-CN"/>
        </w:rPr>
        <w:t>图6 F1E1柜内</w:t>
      </w:r>
    </w:p>
    <w:p>
      <w:pPr>
        <w:jc w:val="center"/>
        <w:rPr>
          <w:rFonts w:hint="eastAsia"/>
          <w:lang w:val="en-US" w:eastAsia="zh-CN"/>
        </w:rPr>
      </w:pPr>
    </w:p>
    <w:p>
      <w:pPr>
        <w:jc w:val="center"/>
        <w:rPr>
          <w:rFonts w:hint="eastAsia"/>
          <w:lang w:val="en-US" w:eastAsia="zh-CN"/>
        </w:rPr>
      </w:pPr>
      <w:r>
        <w:rPr>
          <w:rFonts w:hint="eastAsia"/>
          <w:lang w:val="en-US" w:eastAsia="zh-CN"/>
        </w:rPr>
        <w:drawing>
          <wp:inline distT="0" distB="0" distL="114300" distR="114300">
            <wp:extent cx="4082415" cy="5443855"/>
            <wp:effectExtent l="0" t="0" r="13335" b="4445"/>
            <wp:docPr id="8" name="图片 8" descr="IMG_20161229_172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0161229_172620"/>
                    <pic:cNvPicPr>
                      <a:picLocks noChangeAspect="1"/>
                    </pic:cNvPicPr>
                  </pic:nvPicPr>
                  <pic:blipFill>
                    <a:blip r:embed="rId13"/>
                    <a:stretch>
                      <a:fillRect/>
                    </a:stretch>
                  </pic:blipFill>
                  <pic:spPr>
                    <a:xfrm>
                      <a:off x="0" y="0"/>
                      <a:ext cx="4082415" cy="5443855"/>
                    </a:xfrm>
                    <a:prstGeom prst="rect">
                      <a:avLst/>
                    </a:prstGeom>
                    <a:noFill/>
                    <a:ln w="9525">
                      <a:noFill/>
                    </a:ln>
                  </pic:spPr>
                </pic:pic>
              </a:graphicData>
            </a:graphic>
          </wp:inline>
        </w:drawing>
      </w:r>
    </w:p>
    <w:p>
      <w:pPr>
        <w:jc w:val="center"/>
        <w:rPr>
          <w:rFonts w:hint="eastAsia"/>
          <w:lang w:val="en-US" w:eastAsia="zh-CN"/>
        </w:rPr>
      </w:pPr>
      <w:r>
        <w:rPr>
          <w:rFonts w:hint="eastAsia"/>
          <w:lang w:val="en-US" w:eastAsia="zh-CN"/>
        </w:rPr>
        <w:t>图7 CC-01柜内</w:t>
      </w:r>
    </w:p>
    <w:p>
      <w:pPr>
        <w:snapToGrid w:val="0"/>
        <w:spacing w:line="360" w:lineRule="auto"/>
        <w:ind w:firstLine="715" w:firstLineChars="298"/>
        <w:rPr>
          <w:rFonts w:ascii="宋体" w:hAnsi="宋体"/>
          <w:sz w:val="24"/>
          <w:szCs w:val="24"/>
        </w:rPr>
      </w:pPr>
      <w:r>
        <w:rPr>
          <w:rFonts w:hint="eastAsia" w:ascii="宋体" w:hAnsi="宋体"/>
          <w:sz w:val="24"/>
          <w:szCs w:val="24"/>
        </w:rPr>
        <w:t>拆装程序及修理中的注意事项；</w:t>
      </w:r>
    </w:p>
    <w:p>
      <w:pPr>
        <w:snapToGrid w:val="0"/>
        <w:spacing w:line="360" w:lineRule="auto"/>
        <w:ind w:firstLine="715" w:firstLineChars="298"/>
        <w:rPr>
          <w:rFonts w:ascii="宋体" w:hAnsi="宋体"/>
          <w:sz w:val="24"/>
          <w:szCs w:val="24"/>
        </w:rPr>
      </w:pPr>
      <w:r>
        <w:rPr>
          <w:rFonts w:hint="eastAsia" w:ascii="宋体" w:hAnsi="宋体"/>
          <w:sz w:val="24"/>
          <w:szCs w:val="24"/>
        </w:rPr>
        <w:t>B  简明故障分析表，以便维修人员准确迅速地查明故障部位及原因；</w:t>
      </w:r>
    </w:p>
    <w:p>
      <w:pPr>
        <w:snapToGrid w:val="0"/>
        <w:spacing w:line="360" w:lineRule="auto"/>
        <w:ind w:firstLine="715" w:firstLineChars="298"/>
        <w:rPr>
          <w:rFonts w:ascii="宋体" w:hAnsi="宋体"/>
          <w:sz w:val="24"/>
          <w:szCs w:val="24"/>
        </w:rPr>
      </w:pPr>
      <w:r>
        <w:rPr>
          <w:rFonts w:hint="eastAsia" w:ascii="宋体" w:hAnsi="宋体"/>
          <w:sz w:val="24"/>
          <w:szCs w:val="24"/>
        </w:rPr>
        <w:t>C  易损件的型号、尺寸、配合间隙、材料及修理年限和使用年限；</w:t>
      </w:r>
    </w:p>
    <w:p>
      <w:pPr>
        <w:snapToGrid w:val="0"/>
        <w:spacing w:line="360" w:lineRule="auto"/>
        <w:ind w:firstLine="715" w:firstLineChars="298"/>
        <w:rPr>
          <w:rFonts w:ascii="宋体" w:hAnsi="宋体"/>
          <w:sz w:val="24"/>
          <w:szCs w:val="24"/>
        </w:rPr>
      </w:pPr>
      <w:r>
        <w:rPr>
          <w:rFonts w:hint="eastAsia" w:ascii="宋体" w:hAnsi="宋体"/>
          <w:sz w:val="24"/>
          <w:szCs w:val="24"/>
        </w:rPr>
        <w:t>D  轴承、密封件、电气及控制系统等电器电子元件的型号、规格、数量一览表等。</w:t>
      </w:r>
    </w:p>
    <w:p>
      <w:pPr>
        <w:numPr>
          <w:ilvl w:val="0"/>
          <w:numId w:val="10"/>
        </w:numPr>
        <w:snapToGrid w:val="0"/>
        <w:spacing w:line="360" w:lineRule="auto"/>
        <w:ind w:left="0" w:firstLine="358" w:firstLineChars="149"/>
        <w:rPr>
          <w:rFonts w:ascii="宋体" w:hAnsi="宋体"/>
          <w:sz w:val="24"/>
          <w:szCs w:val="24"/>
        </w:rPr>
      </w:pPr>
      <w:r>
        <w:rPr>
          <w:rFonts w:hint="eastAsia" w:ascii="宋体" w:hAnsi="宋体"/>
          <w:sz w:val="24"/>
          <w:szCs w:val="24"/>
        </w:rPr>
        <w:t>提供完整的备品备件明细，包括纸质版和电子版，备件应精确到每个独立的部件，明细中应包含备件的名称、规格型号，厂家、数量等信息，此部分信息必须与现场实际情况一致。</w:t>
      </w:r>
    </w:p>
    <w:p>
      <w:pPr>
        <w:snapToGrid w:val="0"/>
        <w:spacing w:line="360" w:lineRule="auto"/>
        <w:ind w:firstLine="480" w:firstLineChars="200"/>
        <w:rPr>
          <w:rFonts w:ascii="宋体" w:hAnsi="宋体"/>
          <w:sz w:val="24"/>
          <w:szCs w:val="24"/>
        </w:rPr>
      </w:pPr>
      <w:r>
        <w:rPr>
          <w:rFonts w:hint="eastAsia" w:ascii="宋体" w:hAnsi="宋体"/>
          <w:sz w:val="24"/>
          <w:szCs w:val="24"/>
        </w:rPr>
        <w:t>招标方需根据要求在合同签订后的一个月内提供设备选型资料，并经投标方审查，投标方的审查并不解除招标方的最终责任，投标方也不对以后制造过程中的必要修改承担责任。</w:t>
      </w:r>
    </w:p>
    <w:p>
      <w:pPr>
        <w:snapToGrid w:val="0"/>
        <w:spacing w:line="360" w:lineRule="auto"/>
        <w:ind w:firstLine="480" w:firstLineChars="200"/>
        <w:rPr>
          <w:rFonts w:ascii="宋体" w:hAnsi="宋体"/>
          <w:sz w:val="24"/>
          <w:szCs w:val="24"/>
        </w:rPr>
      </w:pPr>
      <w:r>
        <w:rPr>
          <w:rFonts w:hint="eastAsia" w:ascii="宋体" w:hAnsi="宋体"/>
          <w:sz w:val="24"/>
          <w:szCs w:val="24"/>
        </w:rPr>
        <w:t>凡设备、资料、图纸和技术培训中涉及到的文字或语言，均以中文或中英文对照进行书写，并以中文为准。</w:t>
      </w:r>
    </w:p>
    <w:p>
      <w:pPr>
        <w:snapToGrid w:val="0"/>
        <w:spacing w:line="360" w:lineRule="auto"/>
        <w:ind w:firstLine="480" w:firstLineChars="200"/>
        <w:rPr>
          <w:rFonts w:ascii="宋体" w:hAnsi="宋体"/>
          <w:sz w:val="24"/>
          <w:szCs w:val="24"/>
        </w:rPr>
      </w:pPr>
      <w:r>
        <w:rPr>
          <w:rFonts w:hint="eastAsia" w:ascii="宋体" w:hAnsi="宋体"/>
          <w:color w:val="000000"/>
          <w:sz w:val="24"/>
          <w:szCs w:val="24"/>
        </w:rPr>
        <w:t>▲</w:t>
      </w:r>
      <w:r>
        <w:rPr>
          <w:rFonts w:hint="eastAsia" w:ascii="宋体" w:hAnsi="宋体"/>
          <w:sz w:val="24"/>
          <w:szCs w:val="24"/>
        </w:rPr>
        <w:t>本工程为在黄骅港现有设备的基础上进行设备改造。所涉及到的原系统各参数参照附件及黄骅港现场实际情况，并以现场实际参数为准，此部分资料由投标方自行对现场进行测量取得。投标方应对所有技术资料数据进行认真核实并确认，由于资料不详或偏差而产生的相关问题由投标方负责。</w:t>
      </w:r>
    </w:p>
    <w:p>
      <w:pPr>
        <w:pStyle w:val="2"/>
        <w:spacing w:before="0" w:after="0" w:line="360" w:lineRule="auto"/>
        <w:rPr>
          <w:rFonts w:ascii="黑体" w:eastAsia="黑体"/>
          <w:b w:val="0"/>
          <w:sz w:val="30"/>
          <w:szCs w:val="30"/>
        </w:rPr>
      </w:pPr>
      <w:bookmarkStart w:id="263" w:name="_Toc31032"/>
      <w:bookmarkStart w:id="264" w:name="_Toc460162310"/>
      <w:r>
        <w:rPr>
          <w:rFonts w:hint="eastAsia" w:ascii="黑体" w:eastAsia="黑体"/>
          <w:b w:val="0"/>
          <w:sz w:val="30"/>
          <w:szCs w:val="30"/>
        </w:rPr>
        <w:t>10. 投标时招标方应提供的资料：</w:t>
      </w:r>
      <w:bookmarkEnd w:id="263"/>
      <w:bookmarkEnd w:id="264"/>
    </w:p>
    <w:p>
      <w:pPr>
        <w:tabs>
          <w:tab w:val="left" w:pos="6521"/>
        </w:tabs>
        <w:snapToGrid w:val="0"/>
        <w:spacing w:line="360" w:lineRule="auto"/>
        <w:ind w:left="361"/>
        <w:rPr>
          <w:rFonts w:ascii="宋体"/>
          <w:spacing w:val="6"/>
          <w:sz w:val="24"/>
          <w:szCs w:val="24"/>
        </w:rPr>
      </w:pPr>
      <w:r>
        <w:rPr>
          <w:rFonts w:hint="eastAsia" w:ascii="宋体"/>
          <w:spacing w:val="6"/>
          <w:sz w:val="24"/>
          <w:szCs w:val="24"/>
        </w:rPr>
        <w:t>（1）相关核算及计算书</w:t>
      </w:r>
    </w:p>
    <w:p>
      <w:pPr>
        <w:numPr>
          <w:ilvl w:val="0"/>
          <w:numId w:val="11"/>
        </w:numPr>
        <w:tabs>
          <w:tab w:val="left" w:pos="6521"/>
        </w:tabs>
        <w:adjustRightInd w:val="0"/>
        <w:snapToGrid w:val="0"/>
        <w:spacing w:line="360" w:lineRule="auto"/>
        <w:textAlignment w:val="baseline"/>
        <w:rPr>
          <w:rFonts w:ascii="宋体"/>
          <w:spacing w:val="6"/>
          <w:sz w:val="24"/>
          <w:szCs w:val="24"/>
        </w:rPr>
      </w:pPr>
      <w:r>
        <w:rPr>
          <w:rFonts w:hint="eastAsia" w:ascii="宋体"/>
          <w:spacing w:val="6"/>
          <w:sz w:val="24"/>
          <w:szCs w:val="24"/>
        </w:rPr>
        <w:t>减速机箱设计说明书；</w:t>
      </w:r>
    </w:p>
    <w:p>
      <w:pPr>
        <w:snapToGrid w:val="0"/>
        <w:spacing w:line="360" w:lineRule="auto"/>
        <w:ind w:left="361"/>
        <w:rPr>
          <w:rFonts w:ascii="宋体" w:hAnsi="宋体"/>
          <w:sz w:val="24"/>
          <w:szCs w:val="24"/>
        </w:rPr>
      </w:pPr>
      <w:r>
        <w:rPr>
          <w:rFonts w:hint="eastAsia" w:ascii="宋体" w:hAnsi="宋体"/>
          <w:sz w:val="24"/>
          <w:szCs w:val="24"/>
        </w:rPr>
        <w:t>（2）相关设计方案、图纸和资料</w:t>
      </w:r>
    </w:p>
    <w:p>
      <w:pPr>
        <w:numPr>
          <w:ilvl w:val="0"/>
          <w:numId w:val="12"/>
        </w:numPr>
        <w:snapToGrid w:val="0"/>
        <w:spacing w:line="360" w:lineRule="auto"/>
        <w:rPr>
          <w:rFonts w:ascii="宋体" w:hAnsi="宋体"/>
          <w:sz w:val="24"/>
          <w:szCs w:val="24"/>
        </w:rPr>
      </w:pPr>
      <w:r>
        <w:rPr>
          <w:rFonts w:hint="eastAsia" w:ascii="宋体" w:hAnsi="宋体"/>
          <w:sz w:val="24"/>
          <w:szCs w:val="24"/>
        </w:rPr>
        <w:t>减速机箱安装布置图；</w:t>
      </w:r>
    </w:p>
    <w:p>
      <w:pPr>
        <w:numPr>
          <w:ilvl w:val="0"/>
          <w:numId w:val="12"/>
        </w:numPr>
        <w:snapToGrid w:val="0"/>
        <w:spacing w:line="360" w:lineRule="auto"/>
        <w:rPr>
          <w:rFonts w:ascii="宋体" w:hAnsi="宋体"/>
          <w:sz w:val="24"/>
          <w:szCs w:val="24"/>
        </w:rPr>
      </w:pPr>
      <w:r>
        <w:rPr>
          <w:rFonts w:hint="eastAsia" w:ascii="宋体" w:hAnsi="宋体"/>
          <w:sz w:val="24"/>
          <w:szCs w:val="24"/>
        </w:rPr>
        <w:t>减速机箱装配图；</w:t>
      </w:r>
    </w:p>
    <w:p>
      <w:pPr>
        <w:numPr>
          <w:ilvl w:val="0"/>
          <w:numId w:val="12"/>
        </w:numPr>
        <w:snapToGrid w:val="0"/>
        <w:spacing w:line="360" w:lineRule="auto"/>
        <w:rPr>
          <w:rFonts w:ascii="宋体" w:hAnsi="宋体"/>
          <w:sz w:val="24"/>
          <w:szCs w:val="24"/>
        </w:rPr>
      </w:pPr>
      <w:r>
        <w:rPr>
          <w:rFonts w:hint="eastAsia" w:ascii="宋体" w:hAnsi="宋体"/>
          <w:sz w:val="24"/>
          <w:szCs w:val="24"/>
        </w:rPr>
        <w:t>零部件图；</w:t>
      </w:r>
    </w:p>
    <w:p>
      <w:pPr>
        <w:snapToGrid w:val="0"/>
        <w:spacing w:line="360" w:lineRule="auto"/>
        <w:ind w:left="361"/>
        <w:rPr>
          <w:rFonts w:ascii="宋体" w:hAnsi="宋体"/>
          <w:sz w:val="24"/>
          <w:szCs w:val="24"/>
        </w:rPr>
      </w:pPr>
      <w:r>
        <w:rPr>
          <w:rFonts w:hint="eastAsia" w:ascii="宋体" w:hAnsi="宋体"/>
          <w:sz w:val="24"/>
          <w:szCs w:val="24"/>
        </w:rPr>
        <w:t>（3）其他文件</w:t>
      </w:r>
    </w:p>
    <w:p>
      <w:pPr>
        <w:pStyle w:val="7"/>
        <w:numPr>
          <w:ilvl w:val="0"/>
          <w:numId w:val="13"/>
        </w:numPr>
        <w:spacing w:line="360" w:lineRule="auto"/>
        <w:rPr>
          <w:rFonts w:hAnsi="宋体" w:cs="仿宋_GB2312"/>
          <w:szCs w:val="24"/>
        </w:rPr>
      </w:pPr>
      <w:r>
        <w:rPr>
          <w:rFonts w:hint="eastAsia" w:hAnsi="宋体" w:cs="仿宋_GB2312"/>
          <w:szCs w:val="24"/>
        </w:rPr>
        <w:t>所提供设备性能参数描述及对本技术规格书的响应情况描述。</w:t>
      </w:r>
    </w:p>
    <w:p>
      <w:pPr>
        <w:pStyle w:val="7"/>
        <w:numPr>
          <w:ilvl w:val="0"/>
          <w:numId w:val="13"/>
        </w:numPr>
        <w:spacing w:line="360" w:lineRule="auto"/>
        <w:rPr>
          <w:rFonts w:hAnsi="宋体" w:cs="仿宋_GB2312"/>
          <w:szCs w:val="24"/>
        </w:rPr>
      </w:pPr>
      <w:r>
        <w:rPr>
          <w:rFonts w:hint="eastAsia" w:hAnsi="宋体" w:cs="仿宋_GB2312"/>
          <w:szCs w:val="24"/>
        </w:rPr>
        <w:t>投标书中应根据招标要求写明详细技术方案。</w:t>
      </w:r>
    </w:p>
    <w:p>
      <w:pPr>
        <w:pStyle w:val="7"/>
        <w:numPr>
          <w:ilvl w:val="0"/>
          <w:numId w:val="13"/>
        </w:numPr>
        <w:spacing w:line="360" w:lineRule="auto"/>
        <w:rPr>
          <w:rFonts w:hAnsi="宋体" w:cs="仿宋_GB2312"/>
          <w:szCs w:val="24"/>
        </w:rPr>
      </w:pPr>
      <w:r>
        <w:rPr>
          <w:rFonts w:hint="eastAsia" w:hAnsi="宋体" w:cs="仿宋_GB2312"/>
          <w:szCs w:val="24"/>
        </w:rPr>
        <w:t>投标方技术服务承诺书。</w:t>
      </w:r>
    </w:p>
    <w:p>
      <w:pPr>
        <w:pStyle w:val="7"/>
        <w:numPr>
          <w:ilvl w:val="0"/>
          <w:numId w:val="13"/>
        </w:numPr>
        <w:spacing w:line="360" w:lineRule="auto"/>
        <w:rPr>
          <w:rFonts w:hAnsi="宋体" w:cs="仿宋_GB2312"/>
          <w:szCs w:val="24"/>
        </w:rPr>
      </w:pPr>
      <w:r>
        <w:rPr>
          <w:rFonts w:hint="eastAsia" w:hAnsi="宋体" w:cs="仿宋_GB2312"/>
          <w:szCs w:val="24"/>
        </w:rPr>
        <w:t>所有设备的产品样本（说明书）。</w:t>
      </w:r>
    </w:p>
    <w:p>
      <w:pPr>
        <w:pStyle w:val="7"/>
        <w:numPr>
          <w:ilvl w:val="0"/>
          <w:numId w:val="13"/>
        </w:numPr>
        <w:spacing w:line="360" w:lineRule="auto"/>
        <w:rPr>
          <w:rFonts w:hAnsi="宋体" w:cs="黑体"/>
          <w:color w:val="000000"/>
        </w:rPr>
      </w:pPr>
      <w:r>
        <w:rPr>
          <w:rFonts w:hint="eastAsia" w:hAnsi="宋体" w:cs="仿宋_GB2312"/>
          <w:szCs w:val="24"/>
        </w:rPr>
        <w:t>施工组织方案及计划。</w:t>
      </w:r>
    </w:p>
    <w:p>
      <w:pPr>
        <w:widowControl/>
        <w:jc w:val="left"/>
        <w:rPr>
          <w:rFonts w:ascii="Times New Roman" w:hAnsi="Times New Roman" w:eastAsia="宋体" w:cs="Times New Roman"/>
          <w:sz w:val="28"/>
          <w:szCs w:val="28"/>
        </w:rPr>
      </w:pPr>
    </w:p>
    <w:sectPr>
      <w:pgSz w:w="11906" w:h="16838"/>
      <w:pgMar w:top="2098" w:right="1474" w:bottom="1985" w:left="1588" w:header="851" w:footer="992" w:gutter="567"/>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Arial Unicode MS">
    <w:panose1 w:val="020B0604020202020204"/>
    <w:charset w:val="86"/>
    <w:family w:val="swiss"/>
    <w:pitch w:val="default"/>
    <w:sig w:usb0="FFFFFFFF" w:usb1="E9FFFFFF"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8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B"/>
    <w:multiLevelType w:val="multilevel"/>
    <w:tmpl w:val="0000000B"/>
    <w:lvl w:ilvl="0" w:tentative="0">
      <w:start w:val="1"/>
      <w:numFmt w:val="decimal"/>
      <w:lvlText w:val="%1."/>
      <w:lvlJc w:val="left"/>
      <w:pPr>
        <w:tabs>
          <w:tab w:val="left" w:pos="432"/>
        </w:tabs>
        <w:ind w:left="432" w:hanging="432"/>
      </w:pPr>
      <w:rPr>
        <w:rFonts w:hint="default"/>
      </w:rPr>
    </w:lvl>
    <w:lvl w:ilvl="1" w:tentative="0">
      <w:start w:val="1"/>
      <w:numFmt w:val="decimal"/>
      <w:pStyle w:val="3"/>
      <w:lvlText w:val="%1.%2."/>
      <w:lvlJc w:val="left"/>
      <w:pPr>
        <w:tabs>
          <w:tab w:val="left" w:pos="935"/>
        </w:tabs>
        <w:ind w:left="935" w:hanging="575"/>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864"/>
        </w:tabs>
        <w:ind w:left="864" w:hanging="864"/>
      </w:pPr>
      <w:rPr>
        <w:rFonts w:hint="default"/>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1"/>
        </w:tabs>
        <w:ind w:left="1151" w:hanging="1151"/>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3"/>
        </w:tabs>
        <w:ind w:left="1583" w:hanging="1583"/>
      </w:pPr>
      <w:rPr>
        <w:rFonts w:hint="default"/>
      </w:rPr>
    </w:lvl>
  </w:abstractNum>
  <w:abstractNum w:abstractNumId="1">
    <w:nsid w:val="16A15515"/>
    <w:multiLevelType w:val="multilevel"/>
    <w:tmpl w:val="16A15515"/>
    <w:lvl w:ilvl="0" w:tentative="0">
      <w:start w:val="1"/>
      <w:numFmt w:val="decimalEnclosedCircle"/>
      <w:lvlText w:val="%1."/>
      <w:lvlJc w:val="left"/>
      <w:pPr>
        <w:tabs>
          <w:tab w:val="left" w:pos="1413"/>
        </w:tabs>
        <w:ind w:left="1413" w:hanging="420"/>
      </w:pPr>
      <w:rPr>
        <w:rFonts w:hint="eastAsia"/>
      </w:rPr>
    </w:lvl>
    <w:lvl w:ilvl="1" w:tentative="0">
      <w:start w:val="1"/>
      <w:numFmt w:val="lowerLetter"/>
      <w:lvlText w:val="%2)"/>
      <w:lvlJc w:val="left"/>
      <w:pPr>
        <w:tabs>
          <w:tab w:val="left" w:pos="1379"/>
        </w:tabs>
        <w:ind w:left="1379" w:hanging="420"/>
      </w:pPr>
    </w:lvl>
    <w:lvl w:ilvl="2" w:tentative="0">
      <w:start w:val="1"/>
      <w:numFmt w:val="lowerRoman"/>
      <w:lvlText w:val="%3."/>
      <w:lvlJc w:val="right"/>
      <w:pPr>
        <w:tabs>
          <w:tab w:val="left" w:pos="1799"/>
        </w:tabs>
        <w:ind w:left="1799" w:hanging="420"/>
      </w:pPr>
    </w:lvl>
    <w:lvl w:ilvl="3" w:tentative="0">
      <w:start w:val="1"/>
      <w:numFmt w:val="decimal"/>
      <w:lvlText w:val="%4."/>
      <w:lvlJc w:val="left"/>
      <w:pPr>
        <w:tabs>
          <w:tab w:val="left" w:pos="2219"/>
        </w:tabs>
        <w:ind w:left="2219" w:hanging="420"/>
      </w:pPr>
    </w:lvl>
    <w:lvl w:ilvl="4" w:tentative="0">
      <w:start w:val="1"/>
      <w:numFmt w:val="lowerLetter"/>
      <w:lvlText w:val="%5)"/>
      <w:lvlJc w:val="left"/>
      <w:pPr>
        <w:tabs>
          <w:tab w:val="left" w:pos="2639"/>
        </w:tabs>
        <w:ind w:left="2639" w:hanging="420"/>
      </w:pPr>
    </w:lvl>
    <w:lvl w:ilvl="5" w:tentative="0">
      <w:start w:val="1"/>
      <w:numFmt w:val="lowerRoman"/>
      <w:lvlText w:val="%6."/>
      <w:lvlJc w:val="right"/>
      <w:pPr>
        <w:tabs>
          <w:tab w:val="left" w:pos="3059"/>
        </w:tabs>
        <w:ind w:left="3059" w:hanging="420"/>
      </w:pPr>
    </w:lvl>
    <w:lvl w:ilvl="6" w:tentative="0">
      <w:start w:val="1"/>
      <w:numFmt w:val="decimal"/>
      <w:lvlText w:val="%7."/>
      <w:lvlJc w:val="left"/>
      <w:pPr>
        <w:tabs>
          <w:tab w:val="left" w:pos="3479"/>
        </w:tabs>
        <w:ind w:left="3479" w:hanging="420"/>
      </w:pPr>
    </w:lvl>
    <w:lvl w:ilvl="7" w:tentative="0">
      <w:start w:val="1"/>
      <w:numFmt w:val="lowerLetter"/>
      <w:lvlText w:val="%8)"/>
      <w:lvlJc w:val="left"/>
      <w:pPr>
        <w:tabs>
          <w:tab w:val="left" w:pos="3899"/>
        </w:tabs>
        <w:ind w:left="3899" w:hanging="420"/>
      </w:pPr>
    </w:lvl>
    <w:lvl w:ilvl="8" w:tentative="0">
      <w:start w:val="1"/>
      <w:numFmt w:val="lowerRoman"/>
      <w:lvlText w:val="%9."/>
      <w:lvlJc w:val="right"/>
      <w:pPr>
        <w:tabs>
          <w:tab w:val="left" w:pos="4319"/>
        </w:tabs>
        <w:ind w:left="4319" w:hanging="420"/>
      </w:pPr>
    </w:lvl>
  </w:abstractNum>
  <w:abstractNum w:abstractNumId="2">
    <w:nsid w:val="19BA3DA6"/>
    <w:multiLevelType w:val="multilevel"/>
    <w:tmpl w:val="19BA3DA6"/>
    <w:lvl w:ilvl="0" w:tentative="0">
      <w:start w:val="1"/>
      <w:numFmt w:val="decimalEnclosedCircle"/>
      <w:lvlText w:val="%1."/>
      <w:lvlJc w:val="left"/>
      <w:pPr>
        <w:ind w:left="1260" w:hanging="420"/>
      </w:pPr>
      <w:rPr>
        <w:rFonts w:hint="eastAsia"/>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3">
    <w:nsid w:val="2D2B16A2"/>
    <w:multiLevelType w:val="multilevel"/>
    <w:tmpl w:val="2D2B16A2"/>
    <w:lvl w:ilvl="0" w:tentative="0">
      <w:start w:val="1"/>
      <w:numFmt w:val="decimal"/>
      <w:lvlText w:val="（%1）"/>
      <w:lvlJc w:val="left"/>
      <w:pPr>
        <w:tabs>
          <w:tab w:val="left" w:pos="1081"/>
        </w:tabs>
        <w:ind w:left="1081" w:hanging="720"/>
      </w:pPr>
    </w:lvl>
    <w:lvl w:ilvl="1" w:tentative="0">
      <w:start w:val="1"/>
      <w:numFmt w:val="lowerLetter"/>
      <w:lvlText w:val="%2)"/>
      <w:lvlJc w:val="left"/>
      <w:pPr>
        <w:tabs>
          <w:tab w:val="left" w:pos="1201"/>
        </w:tabs>
        <w:ind w:left="1201" w:hanging="420"/>
      </w:pPr>
    </w:lvl>
    <w:lvl w:ilvl="2" w:tentative="0">
      <w:start w:val="1"/>
      <w:numFmt w:val="lowerRoman"/>
      <w:lvlText w:val="%3."/>
      <w:lvlJc w:val="right"/>
      <w:pPr>
        <w:tabs>
          <w:tab w:val="left" w:pos="1621"/>
        </w:tabs>
        <w:ind w:left="1621" w:hanging="420"/>
      </w:pPr>
    </w:lvl>
    <w:lvl w:ilvl="3" w:tentative="0">
      <w:start w:val="1"/>
      <w:numFmt w:val="decimal"/>
      <w:lvlText w:val="%4."/>
      <w:lvlJc w:val="left"/>
      <w:pPr>
        <w:tabs>
          <w:tab w:val="left" w:pos="2041"/>
        </w:tabs>
        <w:ind w:left="2041" w:hanging="420"/>
      </w:pPr>
    </w:lvl>
    <w:lvl w:ilvl="4" w:tentative="0">
      <w:start w:val="1"/>
      <w:numFmt w:val="lowerLetter"/>
      <w:lvlText w:val="%5)"/>
      <w:lvlJc w:val="left"/>
      <w:pPr>
        <w:tabs>
          <w:tab w:val="left" w:pos="2461"/>
        </w:tabs>
        <w:ind w:left="2461" w:hanging="420"/>
      </w:pPr>
    </w:lvl>
    <w:lvl w:ilvl="5" w:tentative="0">
      <w:start w:val="1"/>
      <w:numFmt w:val="lowerRoman"/>
      <w:lvlText w:val="%6."/>
      <w:lvlJc w:val="right"/>
      <w:pPr>
        <w:tabs>
          <w:tab w:val="left" w:pos="2881"/>
        </w:tabs>
        <w:ind w:left="2881" w:hanging="420"/>
      </w:pPr>
    </w:lvl>
    <w:lvl w:ilvl="6" w:tentative="0">
      <w:start w:val="1"/>
      <w:numFmt w:val="decimal"/>
      <w:lvlText w:val="%7."/>
      <w:lvlJc w:val="left"/>
      <w:pPr>
        <w:tabs>
          <w:tab w:val="left" w:pos="3301"/>
        </w:tabs>
        <w:ind w:left="3301" w:hanging="420"/>
      </w:pPr>
    </w:lvl>
    <w:lvl w:ilvl="7" w:tentative="0">
      <w:start w:val="1"/>
      <w:numFmt w:val="lowerLetter"/>
      <w:lvlText w:val="%8)"/>
      <w:lvlJc w:val="left"/>
      <w:pPr>
        <w:tabs>
          <w:tab w:val="left" w:pos="3721"/>
        </w:tabs>
        <w:ind w:left="3721" w:hanging="420"/>
      </w:pPr>
    </w:lvl>
    <w:lvl w:ilvl="8" w:tentative="0">
      <w:start w:val="1"/>
      <w:numFmt w:val="lowerRoman"/>
      <w:lvlText w:val="%9."/>
      <w:lvlJc w:val="right"/>
      <w:pPr>
        <w:tabs>
          <w:tab w:val="left" w:pos="4141"/>
        </w:tabs>
        <w:ind w:left="4141" w:hanging="420"/>
      </w:pPr>
    </w:lvl>
  </w:abstractNum>
  <w:abstractNum w:abstractNumId="4">
    <w:nsid w:val="396810EF"/>
    <w:multiLevelType w:val="multilevel"/>
    <w:tmpl w:val="396810EF"/>
    <w:lvl w:ilvl="0" w:tentative="0">
      <w:start w:val="1"/>
      <w:numFmt w:val="decimalEnclosedCircle"/>
      <w:lvlText w:val="%1."/>
      <w:lvlJc w:val="left"/>
      <w:pPr>
        <w:tabs>
          <w:tab w:val="left" w:pos="1379"/>
        </w:tabs>
        <w:ind w:left="1379" w:hanging="420"/>
      </w:pPr>
      <w:rPr>
        <w:rFonts w:hint="eastAsia"/>
      </w:rPr>
    </w:lvl>
    <w:lvl w:ilvl="1" w:tentative="0">
      <w:start w:val="1"/>
      <w:numFmt w:val="lowerLetter"/>
      <w:lvlText w:val="%2)"/>
      <w:lvlJc w:val="left"/>
      <w:pPr>
        <w:tabs>
          <w:tab w:val="left" w:pos="1379"/>
        </w:tabs>
        <w:ind w:left="1379" w:hanging="420"/>
      </w:pPr>
    </w:lvl>
    <w:lvl w:ilvl="2" w:tentative="0">
      <w:start w:val="1"/>
      <w:numFmt w:val="lowerRoman"/>
      <w:lvlText w:val="%3."/>
      <w:lvlJc w:val="right"/>
      <w:pPr>
        <w:tabs>
          <w:tab w:val="left" w:pos="1799"/>
        </w:tabs>
        <w:ind w:left="1799" w:hanging="420"/>
      </w:pPr>
    </w:lvl>
    <w:lvl w:ilvl="3" w:tentative="0">
      <w:start w:val="1"/>
      <w:numFmt w:val="decimal"/>
      <w:lvlText w:val="%4."/>
      <w:lvlJc w:val="left"/>
      <w:pPr>
        <w:tabs>
          <w:tab w:val="left" w:pos="2219"/>
        </w:tabs>
        <w:ind w:left="2219" w:hanging="420"/>
      </w:pPr>
    </w:lvl>
    <w:lvl w:ilvl="4" w:tentative="0">
      <w:start w:val="1"/>
      <w:numFmt w:val="lowerLetter"/>
      <w:lvlText w:val="%5)"/>
      <w:lvlJc w:val="left"/>
      <w:pPr>
        <w:tabs>
          <w:tab w:val="left" w:pos="2639"/>
        </w:tabs>
        <w:ind w:left="2639" w:hanging="420"/>
      </w:pPr>
    </w:lvl>
    <w:lvl w:ilvl="5" w:tentative="0">
      <w:start w:val="1"/>
      <w:numFmt w:val="lowerRoman"/>
      <w:lvlText w:val="%6."/>
      <w:lvlJc w:val="right"/>
      <w:pPr>
        <w:tabs>
          <w:tab w:val="left" w:pos="3059"/>
        </w:tabs>
        <w:ind w:left="3059" w:hanging="420"/>
      </w:pPr>
    </w:lvl>
    <w:lvl w:ilvl="6" w:tentative="0">
      <w:start w:val="1"/>
      <w:numFmt w:val="decimal"/>
      <w:lvlText w:val="%7."/>
      <w:lvlJc w:val="left"/>
      <w:pPr>
        <w:tabs>
          <w:tab w:val="left" w:pos="3479"/>
        </w:tabs>
        <w:ind w:left="3479" w:hanging="420"/>
      </w:pPr>
    </w:lvl>
    <w:lvl w:ilvl="7" w:tentative="0">
      <w:start w:val="1"/>
      <w:numFmt w:val="lowerLetter"/>
      <w:lvlText w:val="%8)"/>
      <w:lvlJc w:val="left"/>
      <w:pPr>
        <w:tabs>
          <w:tab w:val="left" w:pos="3899"/>
        </w:tabs>
        <w:ind w:left="3899" w:hanging="420"/>
      </w:pPr>
    </w:lvl>
    <w:lvl w:ilvl="8" w:tentative="0">
      <w:start w:val="1"/>
      <w:numFmt w:val="lowerRoman"/>
      <w:lvlText w:val="%9."/>
      <w:lvlJc w:val="right"/>
      <w:pPr>
        <w:tabs>
          <w:tab w:val="left" w:pos="4319"/>
        </w:tabs>
        <w:ind w:left="4319" w:hanging="420"/>
      </w:pPr>
    </w:lvl>
  </w:abstractNum>
  <w:abstractNum w:abstractNumId="5">
    <w:nsid w:val="56E916C4"/>
    <w:multiLevelType w:val="singleLevel"/>
    <w:tmpl w:val="56E916C4"/>
    <w:lvl w:ilvl="0" w:tentative="0">
      <w:start w:val="1"/>
      <w:numFmt w:val="decimal"/>
      <w:suff w:val="space"/>
      <w:lvlText w:val="(%1)"/>
      <w:lvlJc w:val="left"/>
    </w:lvl>
  </w:abstractNum>
  <w:abstractNum w:abstractNumId="6">
    <w:nsid w:val="56E91707"/>
    <w:multiLevelType w:val="singleLevel"/>
    <w:tmpl w:val="56E91707"/>
    <w:lvl w:ilvl="0" w:tentative="0">
      <w:start w:val="1"/>
      <w:numFmt w:val="decimal"/>
      <w:suff w:val="space"/>
      <w:lvlText w:val="(%1)"/>
      <w:lvlJc w:val="left"/>
    </w:lvl>
  </w:abstractNum>
  <w:abstractNum w:abstractNumId="7">
    <w:nsid w:val="56E91733"/>
    <w:multiLevelType w:val="singleLevel"/>
    <w:tmpl w:val="56E91733"/>
    <w:lvl w:ilvl="0" w:tentative="0">
      <w:start w:val="1"/>
      <w:numFmt w:val="decimal"/>
      <w:suff w:val="space"/>
      <w:lvlText w:val="(%1)"/>
      <w:lvlJc w:val="left"/>
    </w:lvl>
  </w:abstractNum>
  <w:abstractNum w:abstractNumId="8">
    <w:nsid w:val="56E9177E"/>
    <w:multiLevelType w:val="singleLevel"/>
    <w:tmpl w:val="56E9177E"/>
    <w:lvl w:ilvl="0" w:tentative="0">
      <w:start w:val="1"/>
      <w:numFmt w:val="decimal"/>
      <w:suff w:val="space"/>
      <w:lvlText w:val="(%1)"/>
      <w:lvlJc w:val="left"/>
    </w:lvl>
  </w:abstractNum>
  <w:abstractNum w:abstractNumId="9">
    <w:nsid w:val="56E917B7"/>
    <w:multiLevelType w:val="singleLevel"/>
    <w:tmpl w:val="56E917B7"/>
    <w:lvl w:ilvl="0" w:tentative="0">
      <w:start w:val="1"/>
      <w:numFmt w:val="decimal"/>
      <w:suff w:val="space"/>
      <w:lvlText w:val="(%1)"/>
      <w:lvlJc w:val="left"/>
    </w:lvl>
  </w:abstractNum>
  <w:abstractNum w:abstractNumId="10">
    <w:nsid w:val="56E917DB"/>
    <w:multiLevelType w:val="singleLevel"/>
    <w:tmpl w:val="56E917DB"/>
    <w:lvl w:ilvl="0" w:tentative="0">
      <w:start w:val="1"/>
      <w:numFmt w:val="decimal"/>
      <w:suff w:val="space"/>
      <w:lvlText w:val="(%1)"/>
      <w:lvlJc w:val="left"/>
    </w:lvl>
  </w:abstractNum>
  <w:abstractNum w:abstractNumId="11">
    <w:nsid w:val="56E917FC"/>
    <w:multiLevelType w:val="singleLevel"/>
    <w:tmpl w:val="56E917FC"/>
    <w:lvl w:ilvl="0" w:tentative="0">
      <w:start w:val="1"/>
      <w:numFmt w:val="decimal"/>
      <w:suff w:val="space"/>
      <w:lvlText w:val="(%1)"/>
      <w:lvlJc w:val="left"/>
    </w:lvl>
  </w:abstractNum>
  <w:abstractNum w:abstractNumId="12">
    <w:nsid w:val="56E922CD"/>
    <w:multiLevelType w:val="singleLevel"/>
    <w:tmpl w:val="56E922CD"/>
    <w:lvl w:ilvl="0" w:tentative="0">
      <w:start w:val="1"/>
      <w:numFmt w:val="decimal"/>
      <w:suff w:val="space"/>
      <w:lvlText w:val="（%1）"/>
      <w:lvlJc w:val="left"/>
    </w:lvl>
  </w:abstractNum>
  <w:num w:numId="1">
    <w:abstractNumId w:val="0"/>
  </w:num>
  <w:num w:numId="2">
    <w:abstractNumId w:val="12"/>
  </w:num>
  <w:num w:numId="3">
    <w:abstractNumId w:val="5"/>
  </w:num>
  <w:num w:numId="4">
    <w:abstractNumId w:val="6"/>
  </w:num>
  <w:num w:numId="5">
    <w:abstractNumId w:val="7"/>
  </w:num>
  <w:num w:numId="6">
    <w:abstractNumId w:val="8"/>
  </w:num>
  <w:num w:numId="7">
    <w:abstractNumId w:val="9"/>
  </w:num>
  <w:num w:numId="8">
    <w:abstractNumId w:val="10"/>
  </w:num>
  <w:num w:numId="9">
    <w:abstractNumId w:val="11"/>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4"/>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D58E5"/>
    <w:rsid w:val="00040DAC"/>
    <w:rsid w:val="00040F8B"/>
    <w:rsid w:val="00064136"/>
    <w:rsid w:val="000676D4"/>
    <w:rsid w:val="0007275A"/>
    <w:rsid w:val="00072840"/>
    <w:rsid w:val="00094887"/>
    <w:rsid w:val="000D58E5"/>
    <w:rsid w:val="000E634A"/>
    <w:rsid w:val="000F4BA1"/>
    <w:rsid w:val="0011014F"/>
    <w:rsid w:val="00113D04"/>
    <w:rsid w:val="00144456"/>
    <w:rsid w:val="0019000B"/>
    <w:rsid w:val="001A2F03"/>
    <w:rsid w:val="001B02C9"/>
    <w:rsid w:val="001C7AA0"/>
    <w:rsid w:val="001E13F8"/>
    <w:rsid w:val="001F1AA1"/>
    <w:rsid w:val="001F42C5"/>
    <w:rsid w:val="001F6DB6"/>
    <w:rsid w:val="00203DB3"/>
    <w:rsid w:val="00207BAD"/>
    <w:rsid w:val="0025154F"/>
    <w:rsid w:val="00263238"/>
    <w:rsid w:val="002650BE"/>
    <w:rsid w:val="0027393E"/>
    <w:rsid w:val="002A586F"/>
    <w:rsid w:val="002C758E"/>
    <w:rsid w:val="002D0E42"/>
    <w:rsid w:val="0030640B"/>
    <w:rsid w:val="00312518"/>
    <w:rsid w:val="003225C0"/>
    <w:rsid w:val="00391BD3"/>
    <w:rsid w:val="003A215E"/>
    <w:rsid w:val="003B3DD8"/>
    <w:rsid w:val="003B4E8D"/>
    <w:rsid w:val="003C1FF4"/>
    <w:rsid w:val="003C57D9"/>
    <w:rsid w:val="003C5B4D"/>
    <w:rsid w:val="003D3CAB"/>
    <w:rsid w:val="00415586"/>
    <w:rsid w:val="00417ACF"/>
    <w:rsid w:val="00417E68"/>
    <w:rsid w:val="00421C77"/>
    <w:rsid w:val="004238B9"/>
    <w:rsid w:val="004A2E74"/>
    <w:rsid w:val="004B3D50"/>
    <w:rsid w:val="004D3290"/>
    <w:rsid w:val="004F16DF"/>
    <w:rsid w:val="004F5C95"/>
    <w:rsid w:val="0050313E"/>
    <w:rsid w:val="00507B55"/>
    <w:rsid w:val="00512A35"/>
    <w:rsid w:val="00553CCA"/>
    <w:rsid w:val="00570FEC"/>
    <w:rsid w:val="0057226C"/>
    <w:rsid w:val="00572A6F"/>
    <w:rsid w:val="00597B2F"/>
    <w:rsid w:val="005A6BCB"/>
    <w:rsid w:val="005C31A8"/>
    <w:rsid w:val="00603296"/>
    <w:rsid w:val="006207AF"/>
    <w:rsid w:val="006513C2"/>
    <w:rsid w:val="00685315"/>
    <w:rsid w:val="00692BFD"/>
    <w:rsid w:val="006939C6"/>
    <w:rsid w:val="006C6E51"/>
    <w:rsid w:val="006E4603"/>
    <w:rsid w:val="0073657D"/>
    <w:rsid w:val="00795677"/>
    <w:rsid w:val="007A2854"/>
    <w:rsid w:val="007A5BFC"/>
    <w:rsid w:val="008154EF"/>
    <w:rsid w:val="00865494"/>
    <w:rsid w:val="0086793D"/>
    <w:rsid w:val="00886145"/>
    <w:rsid w:val="00890918"/>
    <w:rsid w:val="008A449B"/>
    <w:rsid w:val="008B55DE"/>
    <w:rsid w:val="008D5A1C"/>
    <w:rsid w:val="008E4B08"/>
    <w:rsid w:val="008E7824"/>
    <w:rsid w:val="008F674F"/>
    <w:rsid w:val="009147E4"/>
    <w:rsid w:val="009447C2"/>
    <w:rsid w:val="009540AF"/>
    <w:rsid w:val="00955A4D"/>
    <w:rsid w:val="0096164B"/>
    <w:rsid w:val="009770EE"/>
    <w:rsid w:val="0098498E"/>
    <w:rsid w:val="00996054"/>
    <w:rsid w:val="009C3C82"/>
    <w:rsid w:val="009E1C97"/>
    <w:rsid w:val="009E587A"/>
    <w:rsid w:val="00A019C0"/>
    <w:rsid w:val="00A12719"/>
    <w:rsid w:val="00A62E02"/>
    <w:rsid w:val="00A6662D"/>
    <w:rsid w:val="00A715EA"/>
    <w:rsid w:val="00AB1363"/>
    <w:rsid w:val="00AC1B74"/>
    <w:rsid w:val="00AD5704"/>
    <w:rsid w:val="00B240E9"/>
    <w:rsid w:val="00B717CA"/>
    <w:rsid w:val="00C024A0"/>
    <w:rsid w:val="00C138BA"/>
    <w:rsid w:val="00C1587A"/>
    <w:rsid w:val="00C34000"/>
    <w:rsid w:val="00C4795E"/>
    <w:rsid w:val="00C47CA9"/>
    <w:rsid w:val="00C75B45"/>
    <w:rsid w:val="00CA6B8D"/>
    <w:rsid w:val="00CB2C1A"/>
    <w:rsid w:val="00D22768"/>
    <w:rsid w:val="00D41EE6"/>
    <w:rsid w:val="00D47F96"/>
    <w:rsid w:val="00D56A80"/>
    <w:rsid w:val="00D75473"/>
    <w:rsid w:val="00DD56C8"/>
    <w:rsid w:val="00E053A6"/>
    <w:rsid w:val="00E1151E"/>
    <w:rsid w:val="00E138C3"/>
    <w:rsid w:val="00E43C0C"/>
    <w:rsid w:val="00E45476"/>
    <w:rsid w:val="00E61596"/>
    <w:rsid w:val="00EB73FC"/>
    <w:rsid w:val="00ED05D2"/>
    <w:rsid w:val="00ED62C4"/>
    <w:rsid w:val="00F01696"/>
    <w:rsid w:val="00F420DC"/>
    <w:rsid w:val="00FB603E"/>
    <w:rsid w:val="00FC5B82"/>
    <w:rsid w:val="00FC7E71"/>
    <w:rsid w:val="00FE6BE2"/>
    <w:rsid w:val="00FE769B"/>
    <w:rsid w:val="256E1E23"/>
    <w:rsid w:val="29F75049"/>
    <w:rsid w:val="466F3171"/>
    <w:rsid w:val="4EBF0377"/>
    <w:rsid w:val="5F910441"/>
    <w:rsid w:val="744E3933"/>
    <w:rsid w:val="7E325E2C"/>
  </w:rsids>
  <m:mathPr>
    <m:lMargin m:val="0"/>
    <m:mathFont m:val="Cambria Math"/>
    <m:rMargin m:val="0"/>
    <m:wrapIndent m:val="1440"/>
    <m:brkBin m:val="before"/>
    <m:brkBinSub m:val="--"/>
    <m:defJc m:val="centerGroup"/>
    <m:intLim m:val="subSup"/>
    <m:naryLim m:val="undOvr"/>
    <m:smallFrac m:val="off"/>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2"/>
    <w:qFormat/>
    <w:uiPriority w:val="0"/>
    <w:pPr>
      <w:keepNext/>
      <w:keepLines/>
      <w:spacing w:before="340" w:after="330" w:line="576" w:lineRule="auto"/>
      <w:outlineLvl w:val="0"/>
    </w:pPr>
    <w:rPr>
      <w:rFonts w:ascii="Times New Roman" w:hAnsi="Times New Roman" w:eastAsia="宋体" w:cs="Times New Roman"/>
      <w:b/>
      <w:bCs/>
      <w:kern w:val="44"/>
      <w:sz w:val="44"/>
      <w:szCs w:val="44"/>
    </w:rPr>
  </w:style>
  <w:style w:type="paragraph" w:styleId="3">
    <w:name w:val="heading 2"/>
    <w:basedOn w:val="1"/>
    <w:next w:val="4"/>
    <w:unhideWhenUsed/>
    <w:qFormat/>
    <w:uiPriority w:val="9"/>
    <w:pPr>
      <w:keepNext/>
      <w:keepLines/>
      <w:numPr>
        <w:ilvl w:val="1"/>
        <w:numId w:val="1"/>
      </w:numPr>
      <w:spacing w:before="260" w:after="260" w:line="413" w:lineRule="auto"/>
      <w:outlineLvl w:val="1"/>
    </w:pPr>
    <w:rPr>
      <w:rFonts w:ascii="Cambria" w:hAnsi="Cambria"/>
      <w:b/>
      <w:bCs/>
      <w:sz w:val="32"/>
      <w:szCs w:val="32"/>
    </w:rPr>
  </w:style>
  <w:style w:type="character" w:default="1" w:styleId="14">
    <w:name w:val="Default Paragraph Font"/>
    <w:unhideWhenUsed/>
    <w:uiPriority w:val="1"/>
  </w:style>
  <w:style w:type="table" w:default="1" w:styleId="17">
    <w:name w:val="Normal Table"/>
    <w:unhideWhenUsed/>
    <w:qFormat/>
    <w:uiPriority w:val="99"/>
    <w:tblPr>
      <w:tblLayout w:type="fixed"/>
      <w:tblCellMar>
        <w:top w:w="0" w:type="dxa"/>
        <w:left w:w="108" w:type="dxa"/>
        <w:bottom w:w="0" w:type="dxa"/>
        <w:right w:w="108" w:type="dxa"/>
      </w:tblCellMar>
    </w:tblPr>
  </w:style>
  <w:style w:type="paragraph" w:styleId="4">
    <w:name w:val="Normal Indent"/>
    <w:basedOn w:val="1"/>
    <w:unhideWhenUsed/>
    <w:uiPriority w:val="99"/>
    <w:pPr>
      <w:ind w:firstLine="420" w:firstLineChars="200"/>
    </w:pPr>
  </w:style>
  <w:style w:type="paragraph" w:styleId="5">
    <w:name w:val="Body Text"/>
    <w:basedOn w:val="1"/>
    <w:link w:val="28"/>
    <w:qFormat/>
    <w:uiPriority w:val="0"/>
    <w:rPr>
      <w:rFonts w:ascii="Times New Roman" w:hAnsi="Times New Roman" w:eastAsia="仿宋_GB2312" w:cs="Times New Roman"/>
      <w:sz w:val="32"/>
      <w:szCs w:val="20"/>
    </w:rPr>
  </w:style>
  <w:style w:type="paragraph" w:styleId="6">
    <w:name w:val="Body Text Indent"/>
    <w:basedOn w:val="1"/>
    <w:link w:val="27"/>
    <w:qFormat/>
    <w:uiPriority w:val="0"/>
    <w:pPr>
      <w:snapToGrid w:val="0"/>
      <w:ind w:firstLine="420" w:firstLineChars="200"/>
    </w:pPr>
    <w:rPr>
      <w:rFonts w:ascii="宋体" w:hAnsi="宋体"/>
      <w:szCs w:val="24"/>
    </w:rPr>
  </w:style>
  <w:style w:type="paragraph" w:styleId="7">
    <w:name w:val="Plain Text"/>
    <w:basedOn w:val="1"/>
    <w:link w:val="23"/>
    <w:unhideWhenUsed/>
    <w:qFormat/>
    <w:uiPriority w:val="0"/>
    <w:rPr>
      <w:rFonts w:ascii="宋体" w:hAnsi="Courier New" w:eastAsia="宋体" w:cs="Times New Roman"/>
      <w:sz w:val="24"/>
      <w:szCs w:val="20"/>
    </w:rPr>
  </w:style>
  <w:style w:type="paragraph" w:styleId="8">
    <w:name w:val="Body Text Indent 2"/>
    <w:basedOn w:val="1"/>
    <w:link w:val="29"/>
    <w:qFormat/>
    <w:uiPriority w:val="0"/>
    <w:pPr>
      <w:tabs>
        <w:tab w:val="left" w:pos="7020"/>
      </w:tabs>
      <w:spacing w:line="400" w:lineRule="exact"/>
      <w:ind w:firstLine="640" w:firstLineChars="200"/>
    </w:pPr>
    <w:rPr>
      <w:rFonts w:ascii="仿宋_GB2312" w:hAnsi="宋体" w:eastAsia="仿宋_GB2312" w:cs="Times New Roman"/>
      <w:sz w:val="32"/>
      <w:szCs w:val="24"/>
    </w:rPr>
  </w:style>
  <w:style w:type="paragraph" w:styleId="9">
    <w:name w:val="Balloon Text"/>
    <w:basedOn w:val="1"/>
    <w:link w:val="25"/>
    <w:unhideWhenUsed/>
    <w:qFormat/>
    <w:uiPriority w:val="99"/>
    <w:rPr>
      <w:sz w:val="18"/>
      <w:szCs w:val="18"/>
    </w:rPr>
  </w:style>
  <w:style w:type="paragraph" w:styleId="10">
    <w:name w:val="footer"/>
    <w:basedOn w:val="1"/>
    <w:link w:val="20"/>
    <w:unhideWhenUsed/>
    <w:qFormat/>
    <w:uiPriority w:val="99"/>
    <w:pPr>
      <w:tabs>
        <w:tab w:val="center" w:pos="4153"/>
        <w:tab w:val="right" w:pos="8306"/>
      </w:tabs>
      <w:snapToGrid w:val="0"/>
      <w:jc w:val="left"/>
    </w:pPr>
    <w:rPr>
      <w:sz w:val="18"/>
      <w:szCs w:val="18"/>
    </w:rPr>
  </w:style>
  <w:style w:type="paragraph" w:styleId="11">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widowControl/>
      <w:spacing w:after="100" w:line="276" w:lineRule="auto"/>
      <w:jc w:val="left"/>
    </w:pPr>
    <w:rPr>
      <w:rFonts w:ascii="Calibri" w:hAnsi="Calibri" w:eastAsia="宋体" w:cs="Times New Roman"/>
      <w:kern w:val="0"/>
      <w:sz w:val="22"/>
    </w:rPr>
  </w:style>
  <w:style w:type="paragraph" w:styleId="13">
    <w:name w:val="toc 2"/>
    <w:basedOn w:val="1"/>
    <w:next w:val="1"/>
    <w:unhideWhenUsed/>
    <w:qFormat/>
    <w:uiPriority w:val="39"/>
    <w:pPr>
      <w:ind w:left="420" w:leftChars="200"/>
    </w:pPr>
  </w:style>
  <w:style w:type="character" w:styleId="15">
    <w:name w:val="page number"/>
    <w:basedOn w:val="14"/>
    <w:qFormat/>
    <w:uiPriority w:val="0"/>
  </w:style>
  <w:style w:type="character" w:styleId="16">
    <w:name w:val="Hyperlink"/>
    <w:unhideWhenUsed/>
    <w:qFormat/>
    <w:uiPriority w:val="99"/>
    <w:rPr>
      <w:color w:val="0000FF"/>
      <w:u w:val="single"/>
    </w:rPr>
  </w:style>
  <w:style w:type="table" w:styleId="18">
    <w:name w:val="Table Grid"/>
    <w:basedOn w:val="1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9">
    <w:name w:val="页眉 Char"/>
    <w:basedOn w:val="14"/>
    <w:link w:val="11"/>
    <w:qFormat/>
    <w:uiPriority w:val="99"/>
    <w:rPr>
      <w:sz w:val="18"/>
      <w:szCs w:val="18"/>
    </w:rPr>
  </w:style>
  <w:style w:type="character" w:customStyle="1" w:styleId="20">
    <w:name w:val="页脚 Char"/>
    <w:basedOn w:val="14"/>
    <w:link w:val="10"/>
    <w:qFormat/>
    <w:uiPriority w:val="99"/>
    <w:rPr>
      <w:sz w:val="18"/>
      <w:szCs w:val="18"/>
    </w:rPr>
  </w:style>
  <w:style w:type="paragraph" w:customStyle="1" w:styleId="21">
    <w:name w:val="p0"/>
    <w:basedOn w:val="1"/>
    <w:qFormat/>
    <w:uiPriority w:val="0"/>
    <w:pPr>
      <w:widowControl/>
      <w:jc w:val="left"/>
    </w:pPr>
    <w:rPr>
      <w:rFonts w:ascii="Times New Roman" w:hAnsi="Times New Roman" w:eastAsia="宋体" w:cs="Times New Roman"/>
      <w:szCs w:val="24"/>
    </w:rPr>
  </w:style>
  <w:style w:type="character" w:customStyle="1" w:styleId="22">
    <w:name w:val="标题 1 Char"/>
    <w:basedOn w:val="14"/>
    <w:link w:val="2"/>
    <w:qFormat/>
    <w:uiPriority w:val="0"/>
    <w:rPr>
      <w:rFonts w:ascii="Times New Roman" w:hAnsi="Times New Roman" w:eastAsia="宋体" w:cs="Times New Roman"/>
      <w:b/>
      <w:bCs/>
      <w:kern w:val="44"/>
      <w:sz w:val="44"/>
      <w:szCs w:val="44"/>
    </w:rPr>
  </w:style>
  <w:style w:type="character" w:customStyle="1" w:styleId="23">
    <w:name w:val="纯文本 Char"/>
    <w:basedOn w:val="14"/>
    <w:link w:val="7"/>
    <w:qFormat/>
    <w:uiPriority w:val="0"/>
    <w:rPr>
      <w:rFonts w:ascii="宋体" w:hAnsi="Courier New" w:eastAsia="宋体" w:cs="Times New Roman"/>
      <w:sz w:val="24"/>
      <w:szCs w:val="20"/>
    </w:rPr>
  </w:style>
  <w:style w:type="paragraph" w:customStyle="1" w:styleId="24">
    <w:name w:val="Char Char Char Char"/>
    <w:basedOn w:val="1"/>
    <w:qFormat/>
    <w:uiPriority w:val="0"/>
    <w:rPr>
      <w:rFonts w:ascii="Times New Roman" w:hAnsi="Times New Roman" w:eastAsia="宋体" w:cs="Times New Roman"/>
      <w:szCs w:val="24"/>
    </w:rPr>
  </w:style>
  <w:style w:type="character" w:customStyle="1" w:styleId="25">
    <w:name w:val="批注框文本 Char"/>
    <w:basedOn w:val="14"/>
    <w:link w:val="9"/>
    <w:semiHidden/>
    <w:qFormat/>
    <w:uiPriority w:val="99"/>
    <w:rPr>
      <w:sz w:val="18"/>
      <w:szCs w:val="18"/>
    </w:rPr>
  </w:style>
  <w:style w:type="character" w:customStyle="1" w:styleId="26">
    <w:name w:val="正文文本缩进 Char"/>
    <w:basedOn w:val="14"/>
    <w:link w:val="6"/>
    <w:qFormat/>
    <w:uiPriority w:val="0"/>
    <w:rPr>
      <w:rFonts w:ascii="宋体" w:hAnsi="宋体"/>
      <w:szCs w:val="24"/>
    </w:rPr>
  </w:style>
  <w:style w:type="character" w:customStyle="1" w:styleId="27">
    <w:name w:val="正文文本缩进 Char1"/>
    <w:basedOn w:val="14"/>
    <w:link w:val="6"/>
    <w:semiHidden/>
    <w:qFormat/>
    <w:uiPriority w:val="99"/>
  </w:style>
  <w:style w:type="character" w:customStyle="1" w:styleId="28">
    <w:name w:val="正文文本 Char"/>
    <w:basedOn w:val="14"/>
    <w:link w:val="5"/>
    <w:qFormat/>
    <w:uiPriority w:val="0"/>
    <w:rPr>
      <w:rFonts w:ascii="Times New Roman" w:hAnsi="Times New Roman" w:eastAsia="仿宋_GB2312" w:cs="Times New Roman"/>
      <w:sz w:val="32"/>
      <w:szCs w:val="20"/>
    </w:rPr>
  </w:style>
  <w:style w:type="character" w:customStyle="1" w:styleId="29">
    <w:name w:val="正文文本缩进 2 Char"/>
    <w:basedOn w:val="14"/>
    <w:link w:val="8"/>
    <w:qFormat/>
    <w:uiPriority w:val="0"/>
    <w:rPr>
      <w:rFonts w:ascii="仿宋_GB2312" w:hAnsi="宋体" w:eastAsia="仿宋_GB2312" w:cs="Times New Roman"/>
      <w:sz w:val="32"/>
      <w:szCs w:val="24"/>
    </w:rPr>
  </w:style>
  <w:style w:type="paragraph" w:customStyle="1" w:styleId="30">
    <w:name w:val="1.1.1（1）"/>
    <w:basedOn w:val="1"/>
    <w:link w:val="31"/>
    <w:qFormat/>
    <w:uiPriority w:val="0"/>
    <w:pPr>
      <w:adjustRightInd w:val="0"/>
      <w:snapToGrid w:val="0"/>
      <w:spacing w:line="360" w:lineRule="auto"/>
      <w:ind w:left="350" w:leftChars="200" w:hanging="150" w:hangingChars="150"/>
    </w:pPr>
    <w:rPr>
      <w:rFonts w:ascii="宋体" w:hAnsi="宋体" w:eastAsia="宋体" w:cs="Times New Roman"/>
      <w:sz w:val="24"/>
      <w:szCs w:val="24"/>
    </w:rPr>
  </w:style>
  <w:style w:type="character" w:customStyle="1" w:styleId="31">
    <w:name w:val="1.1.1（1） Char"/>
    <w:link w:val="30"/>
    <w:qFormat/>
    <w:uiPriority w:val="0"/>
    <w:rPr>
      <w:rFonts w:ascii="宋体" w:hAnsi="宋体" w:eastAsia="宋体" w:cs="Times New Roman"/>
      <w:sz w:val="24"/>
      <w:szCs w:val="24"/>
    </w:rPr>
  </w:style>
  <w:style w:type="paragraph" w:customStyle="1" w:styleId="32">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table" w:customStyle="1" w:styleId="33">
    <w:name w:val="Table Normal"/>
    <w:qFormat/>
    <w:uiPriority w:val="0"/>
    <w:rPr>
      <w:rFonts w:ascii="Times New Roman" w:hAnsi="Times New Roman" w:cs="Times New Roman"/>
    </w:rPr>
    <w:tblPr>
      <w:tblLayout w:type="fixed"/>
      <w:tblCellMar>
        <w:top w:w="0" w:type="dxa"/>
        <w:left w:w="0" w:type="dxa"/>
        <w:bottom w:w="0" w:type="dxa"/>
        <w:right w:w="0" w:type="dxa"/>
      </w:tblCellMar>
    </w:tblPr>
  </w:style>
  <w:style w:type="character" w:customStyle="1" w:styleId="34">
    <w:name w:val="无"/>
    <w:qFormat/>
    <w:uiPriority w:val="0"/>
  </w:style>
  <w:style w:type="paragraph" w:customStyle="1" w:styleId="35">
    <w:name w:val="列出段落1"/>
    <w:basedOn w:val="1"/>
    <w:qFormat/>
    <w:uiPriority w:val="34"/>
    <w:pPr>
      <w:ind w:firstLine="420" w:firstLineChars="200"/>
    </w:pPr>
  </w:style>
  <w:style w:type="character" w:customStyle="1" w:styleId="36">
    <w:name w:val="fontstyle01"/>
    <w:basedOn w:val="14"/>
    <w:qFormat/>
    <w:uiPriority w:val="0"/>
    <w:rPr>
      <w:rFonts w:hint="eastAsia" w:ascii="宋体" w:hAnsi="宋体" w:eastAsia="宋体" w:cs="宋体"/>
      <w:color w:val="000000"/>
      <w:sz w:val="24"/>
      <w:szCs w:val="24"/>
    </w:rPr>
  </w:style>
  <w:style w:type="character" w:customStyle="1" w:styleId="37">
    <w:name w:val="fontstyle21"/>
    <w:basedOn w:val="14"/>
    <w:qFormat/>
    <w:uiPriority w:val="0"/>
    <w:rPr>
      <w:rFonts w:hint="default" w:ascii="Times New Roman" w:hAnsi="Times New Roman" w:cs="Times New Roman"/>
      <w:color w:val="000000"/>
      <w:sz w:val="24"/>
      <w:szCs w:val="24"/>
    </w:rPr>
  </w:style>
  <w:style w:type="paragraph" w:customStyle="1" w:styleId="38">
    <w:name w:val="2级节"/>
    <w:basedOn w:val="1"/>
    <w:qFormat/>
    <w:uiPriority w:val="0"/>
    <w:pPr>
      <w:autoSpaceDE w:val="0"/>
      <w:autoSpaceDN w:val="0"/>
      <w:snapToGrid w:val="0"/>
      <w:spacing w:before="100" w:beforeAutospacing="1" w:after="100" w:afterAutospacing="1"/>
      <w:ind w:left="584" w:hanging="584" w:hangingChars="200"/>
      <w:jc w:val="left"/>
      <w:textAlignment w:val="bottom"/>
      <w:outlineLvl w:val="1"/>
    </w:pPr>
    <w:rPr>
      <w:rFonts w:ascii="宋体" w:eastAsia="黑体"/>
      <w:spacing w:val="6"/>
      <w:sz w:val="28"/>
      <w:szCs w:val="20"/>
    </w:rPr>
  </w:style>
  <w:style w:type="paragraph" w:customStyle="1" w:styleId="39">
    <w:name w:val="_Style 8"/>
    <w:basedOn w:val="1"/>
    <w:qFormat/>
    <w:uiPriority w:val="0"/>
    <w:pPr>
      <w:ind w:firstLine="420" w:firstLineChars="200"/>
    </w:pPr>
  </w:style>
  <w:style w:type="paragraph" w:customStyle="1" w:styleId="40">
    <w:name w:val="正式文字"/>
    <w:basedOn w:val="1"/>
    <w:uiPriority w:val="0"/>
    <w:pPr>
      <w:autoSpaceDE w:val="0"/>
      <w:autoSpaceDN w:val="0"/>
      <w:adjustRightInd w:val="0"/>
      <w:snapToGrid w:val="0"/>
      <w:spacing w:line="312" w:lineRule="auto"/>
      <w:ind w:firstLine="567"/>
      <w:textAlignment w:val="bottom"/>
    </w:pPr>
    <w:rPr>
      <w:rFonts w:ascii="宋体" w:hAnsi="宋体"/>
      <w:spacing w:val="6"/>
      <w:sz w:val="28"/>
      <w:szCs w:val="20"/>
    </w:rPr>
  </w:style>
  <w:style w:type="paragraph" w:customStyle="1" w:styleId="41">
    <w:name w:val="表表"/>
    <w:basedOn w:val="1"/>
    <w:uiPriority w:val="0"/>
    <w:pPr>
      <w:adjustRightInd w:val="0"/>
      <w:snapToGrid w:val="0"/>
      <w:spacing w:before="60" w:after="60"/>
      <w:jc w:val="center"/>
    </w:pPr>
    <w:rPr>
      <w:rFonts w:ascii="宋体" w:cs="宋体"/>
      <w:spacing w:val="6"/>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1119</Words>
  <Characters>6383</Characters>
  <Lines>53</Lines>
  <Paragraphs>14</Paragraphs>
  <ScaleCrop>false</ScaleCrop>
  <LinksUpToDate>false</LinksUpToDate>
  <CharactersWithSpaces>7488</CharactersWithSpaces>
  <Application>WPS Office_10.8.0.5874_F1E327BC-269C-435d-A152-05C5408002CA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2016-10-26T01:54:00Z</dcterms:created>
  <dc:creator>qjh</dc:creator>
  <cp:lastModifiedBy>于俊清</cp:lastModifiedBy>
  <cp:lastPrinted>2017-03-23T03:17:00Z</cp:lastPrinted>
  <dcterms:modified xsi:type="dcterms:W3CDTF">2017-11-28T02:50:21Z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2052-10.8.0.5874</vt:lpwstr>
  </property>
</Properties>
</file>