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hint="eastAsia" w:asciiTheme="minorEastAsia" w:hAnsiTheme="minorEastAsia" w:eastAsiaTheme="minorEastAsia"/>
          <w:sz w:val="28"/>
          <w:szCs w:val="28"/>
          <w:lang w:val="en-US" w:eastAsia="zh-CN"/>
        </w:rPr>
      </w:pPr>
      <w:bookmarkStart w:id="11" w:name="_GoBack"/>
      <w:bookmarkEnd w:id="11"/>
      <w:bookmarkStart w:id="0" w:name="_Toc499541072"/>
      <w:r>
        <w:rPr>
          <w:rFonts w:hint="eastAsia" w:asciiTheme="minorEastAsia" w:hAnsiTheme="minorEastAsia" w:eastAsiaTheme="minorEastAsia"/>
          <w:sz w:val="28"/>
          <w:szCs w:val="28"/>
          <w:lang w:val="en-US" w:eastAsia="zh-CN"/>
        </w:rPr>
        <w:t>气象观测和甚高频维修项目技术规格书</w:t>
      </w:r>
    </w:p>
    <w:bookmarkEnd w:id="0"/>
    <w:p>
      <w:pPr>
        <w:tabs>
          <w:tab w:val="left" w:pos="5670"/>
        </w:tabs>
        <w:spacing w:before="156" w:beforeLines="50" w:after="156" w:afterLines="50" w:line="360" w:lineRule="auto"/>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一、总则</w:t>
      </w:r>
    </w:p>
    <w:p>
      <w:pPr>
        <w:autoSpaceDE w:val="0"/>
        <w:autoSpaceDN w:val="0"/>
        <w:adjustRightInd w:val="0"/>
        <w:spacing w:line="360" w:lineRule="auto"/>
        <w:jc w:val="left"/>
        <w:rPr>
          <w:rFonts w:hint="eastAsia" w:asciiTheme="minorEastAsia" w:hAnsiTheme="minorEastAsia" w:eastAsiaTheme="minorEastAsia" w:cstheme="minorEastAsia"/>
          <w:color w:val="000000"/>
          <w:sz w:val="24"/>
          <w:szCs w:val="24"/>
        </w:rPr>
      </w:pP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本规格书适用于神华黄骅港务有限责任公司（以下简称甲方）气象观测和甚高频维修项目。它提出了该项目的技术要求。</w:t>
      </w:r>
    </w:p>
    <w:p>
      <w:pPr>
        <w:tabs>
          <w:tab w:val="left" w:pos="5460"/>
        </w:tabs>
        <w:spacing w:before="156" w:beforeLines="50" w:after="156" w:afterLines="50" w:line="360" w:lineRule="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二、</w:t>
      </w:r>
      <w:bookmarkStart w:id="1" w:name="_Toc290444219"/>
      <w:bookmarkStart w:id="2" w:name="_Toc290443629"/>
      <w:bookmarkStart w:id="3" w:name="_Toc290454067"/>
      <w:bookmarkStart w:id="4" w:name="_Toc290555574"/>
      <w:bookmarkStart w:id="5" w:name="_Toc290534997"/>
      <w:bookmarkStart w:id="6" w:name="_Toc290444440"/>
      <w:bookmarkStart w:id="7" w:name="_Toc284159228"/>
      <w:bookmarkStart w:id="8" w:name="_Toc290534514"/>
      <w:bookmarkStart w:id="9" w:name="_Toc290535684"/>
      <w:bookmarkStart w:id="10" w:name="_Toc290445206"/>
      <w:r>
        <w:rPr>
          <w:rFonts w:hint="eastAsia" w:ascii="仿宋_GB2312" w:hAnsi="仿宋_GB2312" w:eastAsia="仿宋_GB2312" w:cs="仿宋_GB2312"/>
          <w:b/>
          <w:bCs/>
          <w:color w:val="000000"/>
          <w:sz w:val="28"/>
          <w:szCs w:val="28"/>
          <w:lang w:val="en-US" w:eastAsia="zh-CN"/>
        </w:rPr>
        <w:t>扬尘检测设备（TY-DM）的维修主要</w:t>
      </w:r>
      <w:r>
        <w:rPr>
          <w:rFonts w:hint="eastAsia" w:ascii="仿宋_GB2312" w:hAnsi="仿宋_GB2312" w:eastAsia="仿宋_GB2312" w:cs="仿宋_GB2312"/>
          <w:b/>
          <w:bCs/>
          <w:color w:val="000000"/>
          <w:sz w:val="28"/>
          <w:szCs w:val="28"/>
        </w:rPr>
        <w:t>技术</w:t>
      </w:r>
      <w:r>
        <w:rPr>
          <w:rFonts w:hint="eastAsia" w:ascii="仿宋_GB2312" w:hAnsi="仿宋_GB2312" w:eastAsia="仿宋_GB2312" w:cs="仿宋_GB2312"/>
          <w:b/>
          <w:bCs/>
          <w:color w:val="000000"/>
          <w:sz w:val="28"/>
          <w:szCs w:val="28"/>
          <w:lang w:val="en-US" w:eastAsia="zh-CN"/>
        </w:rPr>
        <w:t>参数</w:t>
      </w:r>
    </w:p>
    <w:p>
      <w:pPr>
        <w:pStyle w:val="3"/>
        <w:spacing w:line="360" w:lineRule="auto"/>
        <w:ind w:leftChars="-1" w:hanging="2"/>
        <w:rPr>
          <w:rFonts w:asciiTheme="minorEastAsia" w:hAnsiTheme="minorEastAsia"/>
          <w:sz w:val="24"/>
          <w:szCs w:val="24"/>
        </w:rPr>
      </w:pPr>
      <w:r>
        <w:rPr>
          <w:rFonts w:hint="eastAsia" w:cs="Times New Roman" w:asciiTheme="minorEastAsia" w:hAnsiTheme="minorEastAsia"/>
          <w:sz w:val="24"/>
          <w:szCs w:val="24"/>
          <w:lang w:val="en-US" w:eastAsia="zh-CN"/>
        </w:rPr>
        <w:t>1</w:t>
      </w:r>
      <w:r>
        <w:rPr>
          <w:rFonts w:cs="Times New Roman" w:asciiTheme="minorEastAsia" w:hAnsiTheme="minorEastAsia"/>
          <w:sz w:val="24"/>
          <w:szCs w:val="24"/>
        </w:rPr>
        <w:t>.</w:t>
      </w:r>
      <w:r>
        <w:rPr>
          <w:rFonts w:asciiTheme="minorEastAsia" w:hAnsiTheme="minorEastAsia"/>
          <w:sz w:val="24"/>
          <w:szCs w:val="24"/>
        </w:rPr>
        <w:t>颗粒物测量</w:t>
      </w:r>
      <w:r>
        <w:rPr>
          <w:rFonts w:hint="eastAsia" w:asciiTheme="minorEastAsia" w:hAnsiTheme="minorEastAsia"/>
          <w:sz w:val="24"/>
          <w:szCs w:val="24"/>
        </w:rPr>
        <w:t>装置</w:t>
      </w:r>
      <w:r>
        <w:rPr>
          <w:rFonts w:asciiTheme="minorEastAsia" w:hAnsiTheme="minorEastAsia"/>
          <w:sz w:val="24"/>
          <w:szCs w:val="24"/>
        </w:rPr>
        <w:t>技术参数</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测量范围：0.1~2000μg /m3</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测量精度/重现性：读数的±2%（1秒平均时间）</w:t>
      </w:r>
    </w:p>
    <w:p>
      <w:pPr>
        <w:pStyle w:val="8"/>
        <w:tabs>
          <w:tab w:val="left" w:pos="0"/>
          <w:tab w:val="left" w:pos="882"/>
        </w:tabs>
        <w:spacing w:line="360" w:lineRule="auto"/>
        <w:ind w:left="2520" w:leftChars="1200" w:firstLine="0"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读数的±0.5%（10秒平均时间）</w:t>
      </w:r>
    </w:p>
    <w:p>
      <w:pPr>
        <w:pStyle w:val="8"/>
        <w:tabs>
          <w:tab w:val="left" w:pos="0"/>
          <w:tab w:val="left" w:pos="882"/>
        </w:tabs>
        <w:spacing w:line="360" w:lineRule="auto"/>
        <w:ind w:left="2520" w:leftChars="1200" w:firstLine="0"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读数的±0.2%（60秒平均时间）</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准确度：读数的±</w:t>
      </w:r>
      <w:r>
        <w:rPr>
          <w:rFonts w:asciiTheme="minorEastAsia" w:hAnsiTheme="minorEastAsia" w:eastAsiaTheme="minorEastAsia"/>
          <w:bCs/>
          <w:sz w:val="24"/>
          <w:szCs w:val="24"/>
        </w:rPr>
        <w:t>10</w:t>
      </w:r>
      <w:r>
        <w:rPr>
          <w:rFonts w:hint="eastAsia" w:asciiTheme="minorEastAsia" w:hAnsiTheme="minorEastAsia" w:eastAsiaTheme="minorEastAsia"/>
          <w:bCs/>
          <w:sz w:val="24"/>
          <w:szCs w:val="24"/>
        </w:rPr>
        <w:t>%</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分辨率：0.01μg/m3</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颗粒物大小响应范围：0.1-10μm</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流量范围：0.1-0.5L/min</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空气动力学颗粒物粒径切割范围：1.0-10μm选用旋风式切割器</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数据存储平均周期：1s-1h</w:t>
      </w:r>
    </w:p>
    <w:p>
      <w:pPr>
        <w:pStyle w:val="8"/>
        <w:numPr>
          <w:ilvl w:val="0"/>
          <w:numId w:val="1"/>
        </w:numPr>
        <w:tabs>
          <w:tab w:val="left" w:pos="0"/>
          <w:tab w:val="left" w:pos="882"/>
        </w:tabs>
        <w:spacing w:line="360" w:lineRule="auto"/>
        <w:ind w:firstLineChars="0"/>
        <w:rPr>
          <w:rFonts w:asciiTheme="minorEastAsia" w:hAnsiTheme="minorEastAsia" w:eastAsiaTheme="minorEastAsia"/>
          <w:bCs/>
          <w:sz w:val="24"/>
          <w:szCs w:val="24"/>
        </w:rPr>
      </w:pPr>
      <w:r>
        <w:rPr>
          <w:rFonts w:hint="eastAsia" w:asciiTheme="minorEastAsia" w:hAnsiTheme="minorEastAsia" w:eastAsiaTheme="minorEastAsia"/>
          <w:bCs/>
          <w:sz w:val="24"/>
          <w:szCs w:val="24"/>
        </w:rPr>
        <w:t>数据输出接口：RS485</w:t>
      </w:r>
    </w:p>
    <w:p>
      <w:pPr>
        <w:pStyle w:val="3"/>
        <w:spacing w:line="360" w:lineRule="auto"/>
        <w:rPr>
          <w:rFonts w:asciiTheme="minorEastAsia" w:hAnsiTheme="minorEastAsia"/>
          <w:sz w:val="24"/>
          <w:szCs w:val="24"/>
        </w:rPr>
      </w:pPr>
      <w:r>
        <w:rPr>
          <w:rFonts w:hint="eastAsia" w:asciiTheme="minorEastAsia" w:hAnsiTheme="minorEastAsia"/>
          <w:sz w:val="24"/>
          <w:szCs w:val="24"/>
          <w:lang w:val="en-US" w:eastAsia="zh-CN"/>
        </w:rPr>
        <w:t>2</w:t>
      </w:r>
      <w:r>
        <w:rPr>
          <w:rFonts w:asciiTheme="minorEastAsia" w:hAnsiTheme="minorEastAsia"/>
          <w:sz w:val="24"/>
          <w:szCs w:val="24"/>
        </w:rPr>
        <w:t>.数据采集和处理</w:t>
      </w:r>
      <w:r>
        <w:rPr>
          <w:rFonts w:hint="eastAsia" w:asciiTheme="minorEastAsia" w:hAnsiTheme="minorEastAsia"/>
          <w:sz w:val="24"/>
          <w:szCs w:val="24"/>
        </w:rPr>
        <w:t>装置</w:t>
      </w:r>
      <w:r>
        <w:rPr>
          <w:rFonts w:asciiTheme="minorEastAsia" w:hAnsiTheme="minorEastAsia"/>
          <w:sz w:val="24"/>
          <w:szCs w:val="24"/>
        </w:rPr>
        <w:t>参数</w:t>
      </w:r>
    </w:p>
    <w:p>
      <w:pPr>
        <w:pStyle w:val="4"/>
        <w:numPr>
          <w:ilvl w:val="0"/>
          <w:numId w:val="2"/>
        </w:numPr>
        <w:spacing w:line="360" w:lineRule="auto"/>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处理器：嵌入式</w:t>
      </w:r>
      <w:r>
        <w:rPr>
          <w:rFonts w:hint="eastAsia" w:asciiTheme="minorEastAsia" w:hAnsiTheme="minorEastAsia" w:eastAsiaTheme="minorEastAsia"/>
          <w:color w:val="000000"/>
          <w:sz w:val="24"/>
          <w:szCs w:val="24"/>
        </w:rPr>
        <w:t>ARM处理器</w:t>
      </w:r>
    </w:p>
    <w:p>
      <w:pPr>
        <w:pStyle w:val="9"/>
        <w:numPr>
          <w:ilvl w:val="0"/>
          <w:numId w:val="2"/>
        </w:numPr>
        <w:spacing w:line="360" w:lineRule="auto"/>
        <w:ind w:firstLineChars="0"/>
        <w:rPr>
          <w:rFonts w:cs="Times New Roman" w:asciiTheme="minorEastAsia" w:hAnsiTheme="minorEastAsia"/>
          <w:sz w:val="24"/>
          <w:szCs w:val="24"/>
        </w:rPr>
      </w:pPr>
      <w:r>
        <w:rPr>
          <w:rFonts w:asciiTheme="minorEastAsia" w:hAnsiTheme="minorEastAsia"/>
          <w:color w:val="000000"/>
          <w:sz w:val="24"/>
          <w:szCs w:val="24"/>
        </w:rPr>
        <w:t>串口：</w:t>
      </w:r>
      <w:r>
        <w:rPr>
          <w:rFonts w:hint="eastAsia" w:asciiTheme="minorEastAsia" w:hAnsiTheme="minorEastAsia"/>
          <w:sz w:val="24"/>
          <w:szCs w:val="24"/>
        </w:rPr>
        <w:t>5路串口（RS232或者RS485）</w:t>
      </w:r>
    </w:p>
    <w:p>
      <w:pPr>
        <w:pStyle w:val="9"/>
        <w:numPr>
          <w:ilvl w:val="0"/>
          <w:numId w:val="2"/>
        </w:numPr>
        <w:spacing w:line="360" w:lineRule="auto"/>
        <w:ind w:firstLineChars="0"/>
        <w:rPr>
          <w:rFonts w:cs="Times New Roman" w:asciiTheme="minorEastAsia" w:hAnsiTheme="minorEastAsia"/>
          <w:sz w:val="24"/>
          <w:szCs w:val="24"/>
        </w:rPr>
      </w:pPr>
      <w:r>
        <w:rPr>
          <w:rFonts w:asciiTheme="minorEastAsia" w:hAnsiTheme="minorEastAsia"/>
          <w:color w:val="000000"/>
          <w:sz w:val="24"/>
          <w:szCs w:val="24"/>
        </w:rPr>
        <w:t>以太网口：</w:t>
      </w:r>
      <w:r>
        <w:rPr>
          <w:rFonts w:hint="eastAsia" w:asciiTheme="minorEastAsia" w:hAnsiTheme="minorEastAsia"/>
          <w:sz w:val="24"/>
          <w:szCs w:val="24"/>
        </w:rPr>
        <w:t>1路以太网接口（10BaseT或100BaseT）</w:t>
      </w:r>
    </w:p>
    <w:p>
      <w:pPr>
        <w:pStyle w:val="4"/>
        <w:numPr>
          <w:ilvl w:val="0"/>
          <w:numId w:val="2"/>
        </w:numPr>
        <w:spacing w:line="360" w:lineRule="auto"/>
        <w:rPr>
          <w:rFonts w:asciiTheme="minorEastAsia" w:hAnsiTheme="minorEastAsia" w:eastAsiaTheme="minorEastAsia"/>
          <w:color w:val="000000"/>
          <w:sz w:val="24"/>
          <w:szCs w:val="24"/>
          <w:lang w:val="en-US"/>
        </w:rPr>
      </w:pPr>
      <w:r>
        <w:rPr>
          <w:rFonts w:asciiTheme="minorEastAsia" w:hAnsiTheme="minorEastAsia" w:eastAsiaTheme="minorEastAsia"/>
          <w:color w:val="000000"/>
          <w:sz w:val="24"/>
          <w:szCs w:val="24"/>
        </w:rPr>
        <w:t>数字开关量</w:t>
      </w:r>
      <w:r>
        <w:rPr>
          <w:rFonts w:hint="eastAsia" w:asciiTheme="minorEastAsia" w:hAnsiTheme="minorEastAsia" w:eastAsiaTheme="minorEastAsia"/>
          <w:color w:val="000000"/>
          <w:sz w:val="24"/>
          <w:szCs w:val="24"/>
        </w:rPr>
        <w:t>：6路输入4路输出</w:t>
      </w:r>
    </w:p>
    <w:p>
      <w:pPr>
        <w:pStyle w:val="4"/>
        <w:numPr>
          <w:ilvl w:val="0"/>
          <w:numId w:val="2"/>
        </w:numPr>
        <w:spacing w:line="360" w:lineRule="auto"/>
        <w:rPr>
          <w:rFonts w:asciiTheme="minorEastAsia" w:hAnsiTheme="minorEastAsia" w:eastAsiaTheme="minorEastAsia"/>
          <w:color w:val="000000"/>
          <w:sz w:val="24"/>
          <w:szCs w:val="24"/>
          <w:lang w:val="en-US"/>
        </w:rPr>
      </w:pPr>
      <w:r>
        <w:rPr>
          <w:rFonts w:hint="eastAsia" w:asciiTheme="minorEastAsia" w:hAnsiTheme="minorEastAsia" w:eastAsiaTheme="minorEastAsia"/>
          <w:color w:val="000000"/>
          <w:sz w:val="24"/>
          <w:szCs w:val="24"/>
          <w:lang w:val="en-US"/>
        </w:rPr>
        <w:t>7英寸800*480分辨率电阻式触摸屏</w:t>
      </w:r>
    </w:p>
    <w:p>
      <w:pPr>
        <w:pStyle w:val="4"/>
        <w:numPr>
          <w:ilvl w:val="0"/>
          <w:numId w:val="2"/>
        </w:numPr>
        <w:spacing w:line="360" w:lineRule="auto"/>
        <w:rPr>
          <w:rFonts w:asciiTheme="minorEastAsia" w:hAnsiTheme="minorEastAsia" w:eastAsiaTheme="minorEastAsia"/>
          <w:color w:val="000000"/>
          <w:sz w:val="24"/>
          <w:szCs w:val="24"/>
          <w:lang w:val="en-US"/>
        </w:rPr>
      </w:pPr>
      <w:r>
        <w:rPr>
          <w:rFonts w:hint="eastAsia" w:asciiTheme="minorEastAsia" w:hAnsiTheme="minorEastAsia" w:eastAsiaTheme="minorEastAsia"/>
          <w:color w:val="000000"/>
          <w:sz w:val="24"/>
          <w:szCs w:val="24"/>
          <w:lang w:val="en-US"/>
        </w:rPr>
        <w:t>可外接存储设备（SD卡）</w:t>
      </w:r>
    </w:p>
    <w:p>
      <w:pPr>
        <w:pStyle w:val="4"/>
        <w:numPr>
          <w:ilvl w:val="0"/>
          <w:numId w:val="2"/>
        </w:numPr>
        <w:spacing w:line="360" w:lineRule="auto"/>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数据存储：颗粒物、气象等数据存储2年以</w:t>
      </w:r>
    </w:p>
    <w:p>
      <w:pPr>
        <w:numPr>
          <w:ilvl w:val="0"/>
          <w:numId w:val="3"/>
        </w:numPr>
        <w:spacing w:line="360" w:lineRule="auto"/>
        <w:ind w:firstLine="281" w:firstLineChars="100"/>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VHF甚高频电台</w:t>
      </w:r>
    </w:p>
    <w:p>
      <w:pPr>
        <w:pStyle w:val="3"/>
        <w:spacing w:line="360" w:lineRule="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1.VHF甚高频电台</w:t>
      </w:r>
    </w:p>
    <w:p>
      <w:pPr>
        <w:pStyle w:val="4"/>
        <w:numPr>
          <w:ilvl w:val="0"/>
          <w:numId w:val="0"/>
        </w:numPr>
        <w:spacing w:line="360" w:lineRule="auto"/>
        <w:ind w:leftChars="0"/>
        <w:rPr>
          <w:rFonts w:hint="eastAsia" w:asciiTheme="minorEastAsia" w:hAnsiTheme="minorEastAsia" w:eastAsiaTheme="minorEastAsia"/>
          <w:color w:val="000000"/>
          <w:sz w:val="24"/>
          <w:szCs w:val="24"/>
          <w:lang w:val="en-US" w:eastAsia="zh-CN"/>
        </w:rPr>
      </w:pPr>
      <w:r>
        <w:rPr>
          <w:rFonts w:hint="eastAsia" w:asciiTheme="minorEastAsia" w:hAnsiTheme="minorEastAsia" w:eastAsiaTheme="minorEastAsia"/>
          <w:color w:val="000000"/>
          <w:sz w:val="24"/>
          <w:szCs w:val="24"/>
          <w:lang w:val="en-US" w:eastAsia="zh-CN"/>
        </w:rPr>
        <w:t>a) 输出功率</w:t>
      </w:r>
      <w:r>
        <w:rPr>
          <w:rFonts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lang w:val="en-US" w:eastAsia="zh-CN"/>
        </w:rPr>
        <w:t>25-45w</w:t>
      </w:r>
    </w:p>
    <w:p>
      <w:pPr>
        <w:pStyle w:val="4"/>
        <w:numPr>
          <w:ilvl w:val="0"/>
          <w:numId w:val="0"/>
        </w:numPr>
        <w:spacing w:line="360" w:lineRule="auto"/>
        <w:ind w:leftChars="0"/>
        <w:rPr>
          <w:rFonts w:hint="eastAsia" w:asciiTheme="minorEastAsia" w:hAnsiTheme="minorEastAsia" w:eastAsiaTheme="minorEastAsia"/>
          <w:color w:val="000000"/>
          <w:sz w:val="24"/>
          <w:szCs w:val="24"/>
          <w:lang w:val="en-US" w:eastAsia="zh-CN"/>
        </w:rPr>
      </w:pPr>
      <w:r>
        <w:rPr>
          <w:rFonts w:hint="eastAsia" w:asciiTheme="minorEastAsia" w:hAnsiTheme="minorEastAsia" w:eastAsiaTheme="minorEastAsia"/>
          <w:color w:val="000000"/>
          <w:sz w:val="24"/>
          <w:szCs w:val="24"/>
          <w:lang w:val="en-US" w:eastAsia="zh-CN"/>
        </w:rPr>
        <w:t>b) 频率：136-174MHz</w:t>
      </w:r>
    </w:p>
    <w:p>
      <w:pPr>
        <w:pStyle w:val="4"/>
        <w:numPr>
          <w:ilvl w:val="0"/>
          <w:numId w:val="0"/>
        </w:numPr>
        <w:spacing w:line="360" w:lineRule="auto"/>
        <w:ind w:leftChars="0"/>
        <w:rPr>
          <w:rFonts w:hint="default" w:ascii="Arial" w:hAnsi="Arial" w:eastAsia="宋体" w:cs="Arial"/>
          <w:b w:val="0"/>
          <w:i w:val="0"/>
          <w:caps w:val="0"/>
          <w:color w:val="000000"/>
          <w:spacing w:val="0"/>
          <w:sz w:val="24"/>
          <w:szCs w:val="24"/>
          <w:shd w:val="clear" w:fill="FFFFFF"/>
          <w:lang w:val="en-US"/>
        </w:rPr>
      </w:pPr>
      <w:r>
        <w:rPr>
          <w:rFonts w:hint="eastAsia" w:asciiTheme="minorEastAsia" w:hAnsiTheme="minorEastAsia" w:eastAsiaTheme="minorEastAsia"/>
          <w:color w:val="000000"/>
          <w:sz w:val="24"/>
          <w:szCs w:val="24"/>
          <w:lang w:val="en-US" w:eastAsia="zh-CN"/>
        </w:rPr>
        <w:t>c) 增强的 5 行显示屏采用灵活的菜单驱动式界面。图标和易于使用的大导航按钮可方便地进行文本消息阅读和菜单导航。</w:t>
      </w:r>
      <w:r>
        <w:rPr>
          <w:rFonts w:hint="default" w:ascii="Arial" w:hAnsi="Arial" w:eastAsia="宋体" w:cs="Arial"/>
          <w:b w:val="0"/>
          <w:i w:val="0"/>
          <w:caps w:val="0"/>
          <w:color w:val="000000"/>
          <w:spacing w:val="0"/>
          <w:sz w:val="24"/>
          <w:szCs w:val="24"/>
          <w:shd w:val="clear" w:fill="FFFFFF"/>
          <w:lang w:val="en-US"/>
        </w:rPr>
        <w:br w:type="textWrapping"/>
      </w:r>
      <w:r>
        <w:rPr>
          <w:rFonts w:hint="eastAsia" w:ascii="Arial" w:hAnsi="Arial" w:cs="Arial"/>
          <w:b w:val="0"/>
          <w:i w:val="0"/>
          <w:caps w:val="0"/>
          <w:color w:val="000000"/>
          <w:spacing w:val="0"/>
          <w:sz w:val="24"/>
          <w:szCs w:val="24"/>
          <w:shd w:val="clear" w:fill="FFFFFF"/>
          <w:lang w:val="en-US" w:eastAsia="zh-CN"/>
        </w:rPr>
        <w:t>d</w:t>
      </w:r>
      <w:r>
        <w:rPr>
          <w:rFonts w:hint="eastAsia" w:asciiTheme="minorEastAsia" w:hAnsiTheme="minorEastAsia" w:eastAsiaTheme="minorEastAsia"/>
          <w:color w:val="000000"/>
          <w:sz w:val="24"/>
          <w:szCs w:val="24"/>
          <w:lang w:val="en-US" w:eastAsia="zh-CN"/>
        </w:rPr>
        <w:t>) 适用于超高频和甚高频频段，提供 1000 个信道容量、易于使用的大尺寸音量旋钮以及四个可编程按钮（可选择用作应急按钮）</w:t>
      </w:r>
      <w:r>
        <w:rPr>
          <w:rFonts w:hint="default" w:ascii="Arial" w:hAnsi="Arial" w:eastAsia="宋体" w:cs="Arial"/>
          <w:b w:val="0"/>
          <w:i w:val="0"/>
          <w:caps w:val="0"/>
          <w:color w:val="000000"/>
          <w:spacing w:val="0"/>
          <w:sz w:val="24"/>
          <w:szCs w:val="24"/>
          <w:shd w:val="clear" w:fill="FFFFFF"/>
          <w:lang w:val="en-US"/>
        </w:rPr>
        <w:br w:type="textWrapping"/>
      </w:r>
      <w:r>
        <w:rPr>
          <w:rFonts w:hint="eastAsia" w:ascii="Arial" w:hAnsi="Arial" w:cs="Arial"/>
          <w:b w:val="0"/>
          <w:i w:val="0"/>
          <w:caps w:val="0"/>
          <w:color w:val="000000"/>
          <w:spacing w:val="0"/>
          <w:sz w:val="24"/>
          <w:szCs w:val="24"/>
          <w:shd w:val="clear" w:fill="FFFFFF"/>
          <w:lang w:val="en-US" w:eastAsia="zh-CN"/>
        </w:rPr>
        <w:t>e</w:t>
      </w:r>
      <w:r>
        <w:rPr>
          <w:rFonts w:hint="eastAsia" w:asciiTheme="minorEastAsia" w:hAnsiTheme="minorEastAsia" w:eastAsiaTheme="minorEastAsia"/>
          <w:color w:val="000000"/>
          <w:sz w:val="24"/>
          <w:szCs w:val="24"/>
          <w:lang w:val="en-US" w:eastAsia="zh-CN"/>
        </w:rPr>
        <w:t xml:space="preserve">) </w:t>
      </w:r>
      <w:r>
        <w:rPr>
          <w:rFonts w:hint="eastAsia" w:ascii="宋体" w:hAnsi="宋体" w:eastAsia="宋体" w:cs="宋体"/>
          <w:b w:val="0"/>
          <w:i w:val="0"/>
          <w:caps w:val="0"/>
          <w:color w:val="000000"/>
          <w:spacing w:val="0"/>
          <w:sz w:val="24"/>
          <w:szCs w:val="24"/>
          <w:shd w:val="clear" w:fill="FFFFFF"/>
        </w:rPr>
        <w:t>采用语音压缩和低水平扩展技术，保证清脆响亮的语音质量。</w:t>
      </w:r>
      <w:r>
        <w:rPr>
          <w:rFonts w:hint="default" w:ascii="Arial" w:hAnsi="Arial" w:eastAsia="宋体" w:cs="Arial"/>
          <w:b w:val="0"/>
          <w:i w:val="0"/>
          <w:caps w:val="0"/>
          <w:color w:val="000000"/>
          <w:spacing w:val="0"/>
          <w:sz w:val="24"/>
          <w:szCs w:val="24"/>
          <w:shd w:val="clear" w:fill="FFFFFF"/>
          <w:lang w:val="en-US"/>
        </w:rPr>
        <w:br w:type="textWrapping"/>
      </w:r>
      <w:r>
        <w:rPr>
          <w:rFonts w:hint="eastAsia" w:ascii="Arial" w:hAnsi="Arial" w:cs="Arial"/>
          <w:b w:val="0"/>
          <w:i w:val="0"/>
          <w:caps w:val="0"/>
          <w:color w:val="000000"/>
          <w:spacing w:val="0"/>
          <w:sz w:val="24"/>
          <w:szCs w:val="24"/>
          <w:shd w:val="clear" w:fill="FFFFFF"/>
          <w:lang w:val="en-US" w:eastAsia="zh-CN"/>
        </w:rPr>
        <w:t>d</w:t>
      </w:r>
      <w:r>
        <w:rPr>
          <w:rFonts w:hint="eastAsia" w:asciiTheme="minorEastAsia" w:hAnsiTheme="minorEastAsia" w:eastAsiaTheme="minorEastAsia"/>
          <w:color w:val="000000"/>
          <w:sz w:val="24"/>
          <w:szCs w:val="24"/>
          <w:lang w:val="en-US" w:eastAsia="zh-CN"/>
        </w:rPr>
        <w:t>)</w:t>
      </w:r>
      <w:r>
        <w:rPr>
          <w:rFonts w:hint="default" w:ascii="Arial" w:hAnsi="Arial" w:eastAsia="宋体" w:cs="Arial"/>
          <w:b w:val="0"/>
          <w:i w:val="0"/>
          <w:caps w:val="0"/>
          <w:color w:val="000000"/>
          <w:spacing w:val="0"/>
          <w:sz w:val="24"/>
          <w:szCs w:val="24"/>
          <w:shd w:val="clear" w:fill="FFFFFF"/>
          <w:lang w:val="en-US"/>
        </w:rPr>
        <w:t> </w:t>
      </w:r>
      <w:r>
        <w:rPr>
          <w:rFonts w:hint="eastAsia" w:ascii="Arial" w:hAnsi="Arial" w:cs="Arial"/>
          <w:b w:val="0"/>
          <w:i w:val="0"/>
          <w:caps w:val="0"/>
          <w:color w:val="000000"/>
          <w:spacing w:val="0"/>
          <w:sz w:val="24"/>
          <w:szCs w:val="24"/>
          <w:shd w:val="clear" w:fill="FFFFFF"/>
          <w:lang w:val="en-US" w:eastAsia="zh-CN"/>
        </w:rPr>
        <w:t>多个</w:t>
      </w:r>
      <w:r>
        <w:rPr>
          <w:rFonts w:hint="eastAsia" w:ascii="宋体" w:hAnsi="宋体" w:eastAsia="宋体" w:cs="宋体"/>
          <w:b w:val="0"/>
          <w:i w:val="0"/>
          <w:caps w:val="0"/>
          <w:color w:val="000000"/>
          <w:spacing w:val="0"/>
          <w:sz w:val="24"/>
          <w:szCs w:val="24"/>
          <w:shd w:val="clear" w:fill="FFFFFF"/>
        </w:rPr>
        <w:t>定制键为一键操作提供条件。</w:t>
      </w:r>
      <w:r>
        <w:rPr>
          <w:rFonts w:hint="default" w:ascii="Arial" w:hAnsi="Arial" w:eastAsia="宋体" w:cs="Arial"/>
          <w:b w:val="0"/>
          <w:i w:val="0"/>
          <w:caps w:val="0"/>
          <w:color w:val="000000"/>
          <w:spacing w:val="0"/>
          <w:sz w:val="24"/>
          <w:szCs w:val="24"/>
          <w:shd w:val="clear" w:fill="FFFFFF"/>
          <w:lang w:val="en-US"/>
        </w:rPr>
        <w:t> </w:t>
      </w:r>
    </w:p>
    <w:p>
      <w:pPr>
        <w:pStyle w:val="3"/>
        <w:spacing w:line="360" w:lineRule="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2.VHF甚高频天线</w:t>
      </w:r>
    </w:p>
    <w:tbl>
      <w:tblPr>
        <w:tblStyle w:val="6"/>
        <w:tblW w:w="9000" w:type="dxa"/>
        <w:jc w:val="center"/>
        <w:tblCellSpacing w:w="0" w:type="dxa"/>
        <w:tblInd w:w="0" w:type="dxa"/>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shd w:val="clear" w:color="auto" w:fill="EBEBEB"/>
        <w:tblLayout w:type="fixed"/>
        <w:tblCellMar>
          <w:top w:w="0" w:type="dxa"/>
          <w:left w:w="0" w:type="dxa"/>
          <w:bottom w:w="0" w:type="dxa"/>
          <w:right w:w="0" w:type="dxa"/>
        </w:tblCellMar>
      </w:tblPr>
      <w:tblGrid>
        <w:gridCol w:w="4500"/>
        <w:gridCol w:w="4500"/>
      </w:tblGrid>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shd w:val="clear" w:color="auto" w:fill="EBEBEB"/>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频率范围-MHz</w:t>
            </w:r>
          </w:p>
        </w:tc>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134-173</w:t>
            </w:r>
          </w:p>
        </w:tc>
      </w:tr>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带宽-MHz</w:t>
            </w:r>
          </w:p>
        </w:tc>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8</w:t>
            </w:r>
          </w:p>
        </w:tc>
      </w:tr>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增益-dBi</w:t>
            </w:r>
          </w:p>
        </w:tc>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8.5</w:t>
            </w:r>
          </w:p>
        </w:tc>
      </w:tr>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垂直面波瓣宽度-°</w:t>
            </w:r>
          </w:p>
        </w:tc>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14.5</w:t>
            </w:r>
          </w:p>
        </w:tc>
      </w:tr>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驻波比</w:t>
            </w:r>
          </w:p>
        </w:tc>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≤1.5</w:t>
            </w:r>
          </w:p>
        </w:tc>
      </w:tr>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阻抗-Ω</w:t>
            </w:r>
          </w:p>
        </w:tc>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50</w:t>
            </w:r>
          </w:p>
        </w:tc>
      </w:tr>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极化方式</w:t>
            </w:r>
          </w:p>
        </w:tc>
        <w:tc>
          <w:tcPr>
            <w:tcW w:w="4500" w:type="dxa"/>
            <w:tcBorders>
              <w:top w:val="outset" w:color="auto" w:sz="6" w:space="0"/>
              <w:left w:val="outset" w:color="auto" w:sz="6" w:space="0"/>
              <w:bottom w:val="single" w:color="DBDBDB" w:sz="6" w:space="0"/>
              <w:right w:val="single" w:color="DBDBDB" w:sz="6" w:space="0"/>
            </w:tcBorders>
            <w:shd w:val="clear" w:color="auto" w:fill="EBEBEB"/>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垂直</w:t>
            </w:r>
          </w:p>
        </w:tc>
      </w:tr>
      <w:tr>
        <w:tblPrEx>
          <w:tblBorders>
            <w:top w:val="single" w:color="DBDBDB" w:sz="6" w:space="0"/>
            <w:left w:val="single" w:color="DBDBDB"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jc w:val="center"/>
        </w:trPr>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最大功率-W</w:t>
            </w:r>
          </w:p>
        </w:tc>
        <w:tc>
          <w:tcPr>
            <w:tcW w:w="4500" w:type="dxa"/>
            <w:tcBorders>
              <w:top w:val="outset" w:color="auto" w:sz="6" w:space="0"/>
              <w:left w:val="outset" w:color="auto" w:sz="6" w:space="0"/>
              <w:bottom w:val="single" w:color="DBDBDB" w:sz="6" w:space="0"/>
              <w:right w:val="single" w:color="DBDBDB" w:sz="6" w:space="0"/>
            </w:tcBorders>
            <w:shd w:val="clear" w:color="auto" w:fill="F5F8FC"/>
            <w:tcMar>
              <w:top w:w="45" w:type="dxa"/>
              <w:left w:w="45" w:type="dxa"/>
              <w:bottom w:w="45" w:type="dxa"/>
              <w:right w:w="45" w:type="dxa"/>
            </w:tcMar>
            <w:vAlign w:val="center"/>
          </w:tcPr>
          <w:p>
            <w:pPr>
              <w:widowControl/>
              <w:spacing w:line="360" w:lineRule="atLeast"/>
              <w:jc w:val="center"/>
              <w:rPr>
                <w:rFonts w:ascii="宋体" w:hAnsi="宋体" w:eastAsia="宋体" w:cs="宋体"/>
                <w:color w:val="545454"/>
                <w:kern w:val="0"/>
                <w:sz w:val="18"/>
                <w:szCs w:val="18"/>
              </w:rPr>
            </w:pPr>
            <w:r>
              <w:rPr>
                <w:rFonts w:hint="eastAsia" w:ascii="宋体" w:hAnsi="宋体" w:eastAsia="宋体" w:cs="宋体"/>
                <w:color w:val="545454"/>
                <w:kern w:val="0"/>
                <w:sz w:val="18"/>
                <w:szCs w:val="18"/>
              </w:rPr>
              <w:t>100</w:t>
            </w:r>
          </w:p>
        </w:tc>
      </w:tr>
    </w:tbl>
    <w:p>
      <w:pPr>
        <w:numPr>
          <w:ilvl w:val="0"/>
          <w:numId w:val="0"/>
        </w:numPr>
        <w:spacing w:line="360" w:lineRule="auto"/>
        <w:rPr>
          <w:rFonts w:hint="eastAsia" w:ascii="仿宋_GB2312" w:hAnsi="仿宋_GB2312" w:eastAsia="仿宋_GB2312" w:cs="仿宋_GB2312"/>
          <w:b/>
          <w:bCs/>
          <w:color w:val="000000"/>
          <w:sz w:val="28"/>
          <w:szCs w:val="28"/>
          <w:lang w:val="en-US" w:eastAsia="zh-CN"/>
        </w:rPr>
      </w:pPr>
    </w:p>
    <w:p>
      <w:pPr>
        <w:numPr>
          <w:ilvl w:val="0"/>
          <w:numId w:val="0"/>
        </w:numPr>
        <w:spacing w:line="360" w:lineRule="auto"/>
        <w:rPr>
          <w:rFonts w:hint="eastAsia" w:ascii="仿宋_GB2312" w:hAnsi="仿宋_GB2312" w:eastAsia="仿宋_GB2312" w:cs="仿宋_GB2312"/>
          <w:b/>
          <w:bCs/>
          <w:color w:val="000000"/>
          <w:sz w:val="28"/>
          <w:szCs w:val="28"/>
          <w:lang w:val="en-US" w:eastAsia="zh-CN"/>
        </w:rPr>
      </w:pPr>
    </w:p>
    <w:p>
      <w:pPr>
        <w:numPr>
          <w:ilvl w:val="0"/>
          <w:numId w:val="0"/>
        </w:numPr>
        <w:spacing w:line="360" w:lineRule="auto"/>
        <w:rPr>
          <w:rFonts w:hint="eastAsia" w:ascii="仿宋_GB2312" w:hAnsi="仿宋_GB2312" w:eastAsia="仿宋_GB2312" w:cs="仿宋_GB2312"/>
          <w:b/>
          <w:bCs/>
          <w:color w:val="000000"/>
          <w:sz w:val="28"/>
          <w:szCs w:val="28"/>
          <w:lang w:val="en-US" w:eastAsia="zh-CN"/>
        </w:rPr>
      </w:pPr>
    </w:p>
    <w:p>
      <w:pPr>
        <w:numPr>
          <w:ilvl w:val="0"/>
          <w:numId w:val="0"/>
        </w:numPr>
        <w:spacing w:line="360" w:lineRule="auto"/>
        <w:rPr>
          <w:rFonts w:hint="eastAsia" w:ascii="仿宋_GB2312" w:hAnsi="仿宋_GB2312" w:eastAsia="仿宋_GB2312" w:cs="仿宋_GB2312"/>
          <w:b/>
          <w:bCs/>
          <w:color w:val="000000"/>
          <w:sz w:val="28"/>
          <w:szCs w:val="28"/>
          <w:lang w:val="en-US" w:eastAsia="zh-CN"/>
        </w:rPr>
      </w:pPr>
    </w:p>
    <w:p>
      <w:pPr>
        <w:numPr>
          <w:ilvl w:val="0"/>
          <w:numId w:val="0"/>
        </w:numPr>
        <w:spacing w:line="360" w:lineRule="auto"/>
        <w:rPr>
          <w:rFonts w:hint="eastAsia" w:ascii="仿宋_GB2312" w:hAnsi="仿宋_GB2312" w:eastAsia="仿宋_GB2312" w:cs="仿宋_GB2312"/>
          <w:b/>
          <w:bCs/>
          <w:color w:val="000000"/>
          <w:sz w:val="28"/>
          <w:szCs w:val="28"/>
          <w:lang w:val="en-US" w:eastAsia="zh-CN"/>
        </w:rPr>
      </w:pPr>
    </w:p>
    <w:p>
      <w:pPr>
        <w:numPr>
          <w:ilvl w:val="0"/>
          <w:numId w:val="3"/>
        </w:numPr>
        <w:spacing w:line="360" w:lineRule="auto"/>
        <w:ind w:firstLine="281" w:firstLineChars="100"/>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报价清单</w:t>
      </w:r>
    </w:p>
    <w:p>
      <w:pPr>
        <w:widowControl w:val="0"/>
        <w:numPr>
          <w:ilvl w:val="0"/>
          <w:numId w:val="0"/>
        </w:numPr>
        <w:spacing w:line="360" w:lineRule="auto"/>
        <w:jc w:val="both"/>
        <w:rPr>
          <w:rFonts w:hint="eastAsia" w:ascii="仿宋_GB2312" w:hAnsi="仿宋_GB2312" w:eastAsia="仿宋_GB2312" w:cs="仿宋_GB2312"/>
          <w:b/>
          <w:bCs/>
          <w:color w:val="000000"/>
          <w:sz w:val="28"/>
          <w:szCs w:val="28"/>
          <w:lang w:val="en-US" w:eastAsia="zh-CN"/>
        </w:rPr>
      </w:pPr>
    </w:p>
    <w:tbl>
      <w:tblPr>
        <w:tblStyle w:val="7"/>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2182"/>
        <w:gridCol w:w="1380"/>
        <w:gridCol w:w="1006"/>
        <w:gridCol w:w="1689"/>
        <w:gridCol w:w="1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序号</w:t>
            </w:r>
          </w:p>
        </w:tc>
        <w:tc>
          <w:tcPr>
            <w:tcW w:w="2182"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设备名称</w:t>
            </w:r>
          </w:p>
        </w:tc>
        <w:tc>
          <w:tcPr>
            <w:tcW w:w="1380"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维修部位</w:t>
            </w:r>
          </w:p>
        </w:tc>
        <w:tc>
          <w:tcPr>
            <w:tcW w:w="1006"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单位</w:t>
            </w:r>
          </w:p>
        </w:tc>
        <w:tc>
          <w:tcPr>
            <w:tcW w:w="1689"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价格</w:t>
            </w:r>
          </w:p>
        </w:tc>
        <w:tc>
          <w:tcPr>
            <w:tcW w:w="1685"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 w:type="dxa"/>
          </w:tcPr>
          <w:p>
            <w:pPr>
              <w:pStyle w:val="4"/>
              <w:widowControl w:val="0"/>
              <w:numPr>
                <w:ilvl w:val="0"/>
                <w:numId w:val="0"/>
              </w:numPr>
              <w:spacing w:line="360" w:lineRule="auto"/>
              <w:jc w:val="both"/>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1</w:t>
            </w:r>
          </w:p>
        </w:tc>
        <w:tc>
          <w:tcPr>
            <w:tcW w:w="2182" w:type="dxa"/>
          </w:tcPr>
          <w:p>
            <w:pPr>
              <w:pStyle w:val="4"/>
              <w:widowControl w:val="0"/>
              <w:numPr>
                <w:ilvl w:val="0"/>
                <w:numId w:val="0"/>
              </w:numPr>
              <w:spacing w:line="360" w:lineRule="auto"/>
              <w:jc w:val="center"/>
              <w:rPr>
                <w:rFonts w:asciiTheme="minorEastAsia" w:hAnsiTheme="minorEastAsia" w:eastAsiaTheme="minorEastAsia"/>
                <w:color w:val="000000"/>
                <w:sz w:val="18"/>
                <w:szCs w:val="18"/>
                <w:vertAlign w:val="baseline"/>
              </w:rPr>
            </w:pPr>
            <w:r>
              <w:rPr>
                <w:rFonts w:hint="eastAsia" w:asciiTheme="minorEastAsia" w:hAnsiTheme="minorEastAsia" w:eastAsiaTheme="minorEastAsia"/>
                <w:color w:val="000000"/>
                <w:sz w:val="18"/>
                <w:szCs w:val="18"/>
                <w:vertAlign w:val="baseline"/>
              </w:rPr>
              <w:t>扬尘检测设备（TY-DM）</w:t>
            </w:r>
          </w:p>
        </w:tc>
        <w:tc>
          <w:tcPr>
            <w:tcW w:w="1380"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详见技术规格书</w:t>
            </w:r>
          </w:p>
        </w:tc>
        <w:tc>
          <w:tcPr>
            <w:tcW w:w="1006"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1项</w:t>
            </w:r>
          </w:p>
        </w:tc>
        <w:tc>
          <w:tcPr>
            <w:tcW w:w="1689"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35000</w:t>
            </w:r>
          </w:p>
        </w:tc>
        <w:tc>
          <w:tcPr>
            <w:tcW w:w="1685" w:type="dxa"/>
          </w:tcPr>
          <w:p>
            <w:pPr>
              <w:pStyle w:val="4"/>
              <w:widowControl w:val="0"/>
              <w:numPr>
                <w:ilvl w:val="0"/>
                <w:numId w:val="0"/>
              </w:numPr>
              <w:spacing w:line="360" w:lineRule="auto"/>
              <w:jc w:val="center"/>
              <w:rPr>
                <w:rFonts w:asciiTheme="minorEastAsia" w:hAnsiTheme="minorEastAsia" w:eastAsiaTheme="minorEastAsia"/>
                <w:color w:val="000000"/>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 w:type="dxa"/>
          </w:tcPr>
          <w:p>
            <w:pPr>
              <w:pStyle w:val="4"/>
              <w:widowControl w:val="0"/>
              <w:numPr>
                <w:ilvl w:val="0"/>
                <w:numId w:val="0"/>
              </w:numPr>
              <w:spacing w:line="360" w:lineRule="auto"/>
              <w:jc w:val="both"/>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2</w:t>
            </w:r>
          </w:p>
        </w:tc>
        <w:tc>
          <w:tcPr>
            <w:tcW w:w="2182"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VHF甚高频电台</w:t>
            </w:r>
          </w:p>
        </w:tc>
        <w:tc>
          <w:tcPr>
            <w:tcW w:w="1380"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详见技术规格书</w:t>
            </w:r>
          </w:p>
        </w:tc>
        <w:tc>
          <w:tcPr>
            <w:tcW w:w="1006"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1台</w:t>
            </w:r>
          </w:p>
        </w:tc>
        <w:tc>
          <w:tcPr>
            <w:tcW w:w="1689"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18000</w:t>
            </w:r>
          </w:p>
        </w:tc>
        <w:tc>
          <w:tcPr>
            <w:tcW w:w="1685"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含电源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 w:type="dxa"/>
          </w:tcPr>
          <w:p>
            <w:pPr>
              <w:pStyle w:val="4"/>
              <w:widowControl w:val="0"/>
              <w:numPr>
                <w:ilvl w:val="0"/>
                <w:numId w:val="0"/>
              </w:numPr>
              <w:spacing w:line="360" w:lineRule="auto"/>
              <w:jc w:val="both"/>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3</w:t>
            </w:r>
          </w:p>
        </w:tc>
        <w:tc>
          <w:tcPr>
            <w:tcW w:w="2182"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VHF甚高频天线</w:t>
            </w:r>
          </w:p>
        </w:tc>
        <w:tc>
          <w:tcPr>
            <w:tcW w:w="1380" w:type="dxa"/>
            <w:vAlign w:val="top"/>
          </w:tcPr>
          <w:p>
            <w:pPr>
              <w:pStyle w:val="4"/>
              <w:widowControl w:val="0"/>
              <w:numPr>
                <w:ilvl w:val="0"/>
                <w:numId w:val="0"/>
              </w:numPr>
              <w:spacing w:line="360" w:lineRule="auto"/>
              <w:ind w:left="0" w:leftChars="0" w:firstLine="0" w:firstLineChars="0"/>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详见技术规格书</w:t>
            </w:r>
          </w:p>
        </w:tc>
        <w:tc>
          <w:tcPr>
            <w:tcW w:w="1006"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1根</w:t>
            </w:r>
          </w:p>
        </w:tc>
        <w:tc>
          <w:tcPr>
            <w:tcW w:w="1689"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8000</w:t>
            </w:r>
          </w:p>
        </w:tc>
        <w:tc>
          <w:tcPr>
            <w:tcW w:w="1685"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含抱杆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 w:type="dxa"/>
          </w:tcPr>
          <w:p>
            <w:pPr>
              <w:pStyle w:val="4"/>
              <w:widowControl w:val="0"/>
              <w:numPr>
                <w:ilvl w:val="0"/>
                <w:numId w:val="0"/>
              </w:numPr>
              <w:spacing w:line="360" w:lineRule="auto"/>
              <w:jc w:val="both"/>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4</w:t>
            </w:r>
          </w:p>
        </w:tc>
        <w:tc>
          <w:tcPr>
            <w:tcW w:w="2182"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辅材</w:t>
            </w:r>
          </w:p>
        </w:tc>
        <w:tc>
          <w:tcPr>
            <w:tcW w:w="1380"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p>
        </w:tc>
        <w:tc>
          <w:tcPr>
            <w:tcW w:w="1006"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1项</w:t>
            </w:r>
          </w:p>
        </w:tc>
        <w:tc>
          <w:tcPr>
            <w:tcW w:w="1689"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7000</w:t>
            </w:r>
          </w:p>
        </w:tc>
        <w:tc>
          <w:tcPr>
            <w:tcW w:w="1685"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防雷、接地、防水、接头等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 w:type="dxa"/>
          </w:tcPr>
          <w:p>
            <w:pPr>
              <w:pStyle w:val="4"/>
              <w:widowControl w:val="0"/>
              <w:numPr>
                <w:ilvl w:val="0"/>
                <w:numId w:val="0"/>
              </w:numPr>
              <w:spacing w:line="360" w:lineRule="auto"/>
              <w:jc w:val="both"/>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5</w:t>
            </w:r>
          </w:p>
        </w:tc>
        <w:tc>
          <w:tcPr>
            <w:tcW w:w="2182"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合计</w:t>
            </w:r>
          </w:p>
        </w:tc>
        <w:tc>
          <w:tcPr>
            <w:tcW w:w="1380"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p>
        </w:tc>
        <w:tc>
          <w:tcPr>
            <w:tcW w:w="1006"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p>
        </w:tc>
        <w:tc>
          <w:tcPr>
            <w:tcW w:w="1689"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r>
              <w:rPr>
                <w:rFonts w:hint="eastAsia" w:asciiTheme="minorEastAsia" w:hAnsiTheme="minorEastAsia" w:eastAsiaTheme="minorEastAsia"/>
                <w:color w:val="000000"/>
                <w:sz w:val="18"/>
                <w:szCs w:val="18"/>
                <w:vertAlign w:val="baseline"/>
                <w:lang w:val="en-US" w:eastAsia="zh-CN"/>
              </w:rPr>
              <w:t>68000</w:t>
            </w:r>
          </w:p>
        </w:tc>
        <w:tc>
          <w:tcPr>
            <w:tcW w:w="1685" w:type="dxa"/>
          </w:tcPr>
          <w:p>
            <w:pPr>
              <w:pStyle w:val="4"/>
              <w:widowControl w:val="0"/>
              <w:numPr>
                <w:ilvl w:val="0"/>
                <w:numId w:val="0"/>
              </w:numPr>
              <w:spacing w:line="360" w:lineRule="auto"/>
              <w:jc w:val="center"/>
              <w:rPr>
                <w:rFonts w:hint="eastAsia" w:asciiTheme="minorEastAsia" w:hAnsiTheme="minorEastAsia" w:eastAsiaTheme="minorEastAsia"/>
                <w:color w:val="000000"/>
                <w:sz w:val="18"/>
                <w:szCs w:val="18"/>
                <w:vertAlign w:val="baseline"/>
                <w:lang w:val="en-US" w:eastAsia="zh-CN"/>
              </w:rPr>
            </w:pPr>
          </w:p>
        </w:tc>
      </w:tr>
    </w:tbl>
    <w:p>
      <w:pPr>
        <w:pStyle w:val="4"/>
        <w:widowControl w:val="0"/>
        <w:numPr>
          <w:ilvl w:val="0"/>
          <w:numId w:val="0"/>
        </w:numPr>
        <w:spacing w:line="360" w:lineRule="auto"/>
        <w:jc w:val="both"/>
        <w:rPr>
          <w:rFonts w:asciiTheme="minorEastAsia" w:hAnsiTheme="minorEastAsia" w:eastAsiaTheme="minorEastAsia"/>
          <w:color w:val="000000"/>
          <w:sz w:val="24"/>
          <w:szCs w:val="24"/>
        </w:rPr>
      </w:pPr>
    </w:p>
    <w:p>
      <w:pPr>
        <w:spacing w:line="360" w:lineRule="auto"/>
        <w:ind w:firstLine="281" w:firstLineChars="10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val="en-US" w:eastAsia="zh-CN"/>
        </w:rPr>
        <w:t>五</w:t>
      </w:r>
      <w:r>
        <w:rPr>
          <w:rFonts w:hint="eastAsia" w:ascii="仿宋_GB2312" w:hAnsi="仿宋_GB2312" w:eastAsia="仿宋_GB2312" w:cs="仿宋_GB2312"/>
          <w:b/>
          <w:bCs/>
          <w:color w:val="000000"/>
          <w:sz w:val="28"/>
          <w:szCs w:val="28"/>
        </w:rPr>
        <w:t>、项目工期</w:t>
      </w:r>
    </w:p>
    <w:p>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eastAsia="zh-CN"/>
        </w:rPr>
        <w:t>合同签订后</w:t>
      </w:r>
      <w:r>
        <w:rPr>
          <w:rFonts w:hint="eastAsia" w:asciiTheme="minorEastAsia" w:hAnsiTheme="minorEastAsia" w:cstheme="minorEastAsia"/>
          <w:color w:val="000000"/>
          <w:sz w:val="24"/>
          <w:szCs w:val="24"/>
          <w:lang w:val="en-US" w:eastAsia="zh-CN"/>
        </w:rPr>
        <w:t>15</w:t>
      </w:r>
      <w:r>
        <w:rPr>
          <w:rFonts w:hint="eastAsia" w:asciiTheme="minorEastAsia" w:hAnsiTheme="minorEastAsia" w:eastAsiaTheme="minorEastAsia" w:cstheme="minorEastAsia"/>
          <w:color w:val="000000"/>
          <w:sz w:val="24"/>
          <w:szCs w:val="24"/>
          <w:lang w:val="en-US" w:eastAsia="zh-CN"/>
        </w:rPr>
        <w:t>天。</w:t>
      </w:r>
    </w:p>
    <w:p>
      <w:pPr>
        <w:spacing w:line="360" w:lineRule="auto"/>
        <w:ind w:firstLine="281" w:firstLineChars="100"/>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val="en-US" w:eastAsia="zh-CN"/>
        </w:rPr>
        <w:t>六</w:t>
      </w:r>
      <w:r>
        <w:rPr>
          <w:rFonts w:hint="eastAsia" w:ascii="仿宋_GB2312" w:hAnsi="仿宋_GB2312" w:eastAsia="仿宋_GB2312" w:cs="仿宋_GB2312"/>
          <w:b/>
          <w:bCs/>
          <w:color w:val="000000"/>
          <w:sz w:val="28"/>
          <w:szCs w:val="28"/>
        </w:rPr>
        <w:t>、项目验收要求</w:t>
      </w:r>
    </w:p>
    <w:bookmarkEnd w:id="1"/>
    <w:bookmarkEnd w:id="2"/>
    <w:bookmarkEnd w:id="3"/>
    <w:bookmarkEnd w:id="4"/>
    <w:bookmarkEnd w:id="5"/>
    <w:bookmarkEnd w:id="6"/>
    <w:bookmarkEnd w:id="7"/>
    <w:bookmarkEnd w:id="8"/>
    <w:bookmarkEnd w:id="9"/>
    <w:bookmarkEnd w:id="10"/>
    <w:p>
      <w:pPr>
        <w:spacing w:line="360" w:lineRule="auto"/>
        <w:ind w:firstLine="48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1、小时数据有效性</w:t>
      </w:r>
    </w:p>
    <w:p>
      <w:pPr>
        <w:spacing w:line="360" w:lineRule="auto"/>
        <w:ind w:firstLine="48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小时数据传输有效率不低于95%，小时数据有效率不低于75%。</w:t>
      </w:r>
    </w:p>
    <w:p>
      <w:pPr>
        <w:spacing w:line="360" w:lineRule="auto"/>
        <w:ind w:firstLine="48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2、付款时，乙方必须开具</w:t>
      </w:r>
      <w:r>
        <w:rPr>
          <w:rFonts w:hint="eastAsia" w:asciiTheme="minorEastAsia" w:hAnsiTheme="minorEastAsia" w:cstheme="minorEastAsia"/>
          <w:color w:val="000000"/>
          <w:sz w:val="24"/>
          <w:szCs w:val="24"/>
          <w:lang w:val="en-US" w:eastAsia="zh-CN"/>
        </w:rPr>
        <w:t>甲方要求的</w:t>
      </w:r>
      <w:r>
        <w:rPr>
          <w:rFonts w:hint="eastAsia" w:asciiTheme="minorEastAsia" w:hAnsiTheme="minorEastAsia" w:eastAsiaTheme="minorEastAsia" w:cstheme="minorEastAsia"/>
          <w:color w:val="000000"/>
          <w:sz w:val="24"/>
          <w:szCs w:val="24"/>
          <w:lang w:val="en-US" w:eastAsia="zh-CN"/>
        </w:rPr>
        <w:t>增值税专用发票。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Helvetica">
    <w:altName w:val="Arial"/>
    <w:panose1 w:val="020B0504020202030204"/>
    <w:charset w:val="00"/>
    <w:family w:val="auto"/>
    <w:pitch w:val="default"/>
    <w:sig w:usb0="00000000" w:usb1="00000000" w:usb2="00000000" w:usb3="00000000" w:csb0="00000093" w:csb1="00000000"/>
  </w:font>
  <w:font w:name="Impact">
    <w:panose1 w:val="020B0806030902050204"/>
    <w:charset w:val="00"/>
    <w:family w:val="auto"/>
    <w:pitch w:val="default"/>
    <w:sig w:usb0="00000287" w:usb1="00000000" w:usb2="00000000" w:usb3="00000000" w:csb0="2000009F" w:csb1="DFD70000"/>
  </w:font>
  <w:font w:name="ITC Zapf Chancery">
    <w:altName w:val="Monotype Corsiva"/>
    <w:panose1 w:val="03010101010201010101"/>
    <w:charset w:val="00"/>
    <w:family w:val="auto"/>
    <w:pitch w:val="default"/>
    <w:sig w:usb0="00000000" w:usb1="00000000" w:usb2="00000000" w:usb3="00000000" w:csb0="00000093" w:csb1="00000000"/>
  </w:font>
  <w:font w:name="Javanese Text">
    <w:altName w:val="Wide Latin"/>
    <w:panose1 w:val="02000000000000000000"/>
    <w:charset w:val="00"/>
    <w:family w:val="auto"/>
    <w:pitch w:val="default"/>
    <w:sig w:usb0="00000000" w:usb1="00000000" w:usb2="00000000" w:usb3="00000000" w:csb0="00000001" w:csb1="00000000"/>
  </w:font>
  <w:font w:name="Leelawadee UI">
    <w:altName w:val="Leelawadee"/>
    <w:panose1 w:val="020B0502040204020203"/>
    <w:charset w:val="00"/>
    <w:family w:val="auto"/>
    <w:pitch w:val="default"/>
    <w:sig w:usb0="00000000" w:usb1="00000000" w:usb2="00010000" w:usb3="00000001" w:csb0="00010101" w:csb1="00000000"/>
  </w:font>
  <w:font w:name="Marigold">
    <w:altName w:val="Mongolian Baiti"/>
    <w:panose1 w:val="03020702040402020504"/>
    <w:charset w:val="00"/>
    <w:family w:val="auto"/>
    <w:pitch w:val="default"/>
    <w:sig w:usb0="00000000" w:usb1="00000000" w:usb2="00000000" w:usb3="00000000" w:csb0="00000093" w:csb1="00000000"/>
  </w:font>
  <w:font w:name="Marlett">
    <w:panose1 w:val="00000000000000000000"/>
    <w:charset w:val="00"/>
    <w:family w:val="auto"/>
    <w:pitch w:val="default"/>
    <w:sig w:usb0="00000000" w:usb1="00000000" w:usb2="00000000" w:usb3="00000000" w:csb0="80000000" w:csb1="00000000"/>
  </w:font>
  <w:font w:name="Microsoft Himalaya">
    <w:panose1 w:val="01010100010101010101"/>
    <w:charset w:val="00"/>
    <w:family w:val="auto"/>
    <w:pitch w:val="default"/>
    <w:sig w:usb0="80000003" w:usb1="00010000" w:usb2="00000040" w:usb3="00000000" w:csb0="00000001" w:csb1="00000000"/>
  </w:font>
  <w:font w:name="Microsoft Sans Serif">
    <w:panose1 w:val="020B0604020202020204"/>
    <w:charset w:val="00"/>
    <w:family w:val="auto"/>
    <w:pitch w:val="default"/>
    <w:sig w:usb0="E1002AFF" w:usb1="C0000002" w:usb2="00000008" w:usb3="00000000" w:csb0="200101FF" w:csb1="20280000"/>
  </w:font>
  <w:font w:name="Microsoft Tai Le">
    <w:panose1 w:val="020B0502040204020203"/>
    <w:charset w:val="00"/>
    <w:family w:val="auto"/>
    <w:pitch w:val="default"/>
    <w:sig w:usb0="00000003" w:usb1="00000000" w:usb2="40000000" w:usb3="00000000" w:csb0="00000001" w:csb1="00000000"/>
  </w:font>
  <w:font w:name="Microsoft Yi Baiti">
    <w:panose1 w:val="03000500000000000000"/>
    <w:charset w:val="00"/>
    <w:family w:val="auto"/>
    <w:pitch w:val="default"/>
    <w:sig w:usb0="80000003" w:usb1="00010402" w:usb2="00080002" w:usb3="00000000" w:csb0="00000001" w:csb1="00000000"/>
  </w:font>
  <w:font w:name="Mongolian Baiti">
    <w:panose1 w:val="03000500000000000000"/>
    <w:charset w:val="00"/>
    <w:family w:val="auto"/>
    <w:pitch w:val="default"/>
    <w:sig w:usb0="80000023" w:usb1="00000000" w:usb2="00020000" w:usb3="00000000" w:csb0="00000001" w:csb1="00000000"/>
  </w:font>
  <w:font w:name="MT Extra">
    <w:panose1 w:val="05050102010205020202"/>
    <w:charset w:val="00"/>
    <w:family w:val="auto"/>
    <w:pitch w:val="default"/>
    <w:sig w:usb0="80000000" w:usb1="00000000" w:usb2="00000000" w:usb3="00000000" w:csb0="00000000" w:csb1="00000000"/>
  </w:font>
  <w:font w:name="MV Boli">
    <w:panose1 w:val="02000500030200090000"/>
    <w:charset w:val="00"/>
    <w:family w:val="auto"/>
    <w:pitch w:val="default"/>
    <w:sig w:usb0="00000003" w:usb1="00000000" w:usb2="00000100" w:usb3="00000000" w:csb0="00000001" w:csb1="00000000"/>
  </w:font>
  <w:font w:name="Nirmala UI Semilight">
    <w:altName w:val="Vrinda"/>
    <w:panose1 w:val="020B0402040204020203"/>
    <w:charset w:val="00"/>
    <w:family w:val="auto"/>
    <w:pitch w:val="default"/>
    <w:sig w:usb0="00000000" w:usb1="00000000" w:usb2="00000200" w:usb3="00040000" w:csb0="00000001" w:csb1="00000000"/>
  </w:font>
  <w:font w:name="Palatino">
    <w:altName w:val="Palatino Linotype"/>
    <w:panose1 w:val="02040602050305020304"/>
    <w:charset w:val="00"/>
    <w:family w:val="auto"/>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Segoe MDL2 Assets">
    <w:altName w:val="Segoe Print"/>
    <w:panose1 w:val="050A0102010101010101"/>
    <w:charset w:val="00"/>
    <w:family w:val="auto"/>
    <w:pitch w:val="default"/>
    <w:sig w:usb0="00000000" w:usb1="00000000" w:usb2="00000000" w:usb3="00000000" w:csb0="00000001" w:csb1="00000000"/>
  </w:font>
  <w:font w:name="Segoe Script">
    <w:panose1 w:val="020B0504020000000003"/>
    <w:charset w:val="00"/>
    <w:family w:val="auto"/>
    <w:pitch w:val="default"/>
    <w:sig w:usb0="0000028F" w:usb1="00000000" w:usb2="00000000" w:usb3="00000000" w:csb0="0000009F" w:csb1="00000000"/>
  </w:font>
  <w:font w:name="Segoe UI Black">
    <w:altName w:val="Segoe UI"/>
    <w:panose1 w:val="020B0A02040204020203"/>
    <w:charset w:val="00"/>
    <w:family w:val="auto"/>
    <w:pitch w:val="default"/>
    <w:sig w:usb0="00000000" w:usb1="00000000" w:usb2="00000021" w:usb3="00000000" w:csb0="2000019F" w:csb1="00000000"/>
  </w:font>
  <w:font w:name="Segoe UI Emoji">
    <w:altName w:val="Segoe UI"/>
    <w:panose1 w:val="020B0502040204020203"/>
    <w:charset w:val="00"/>
    <w:family w:val="auto"/>
    <w:pitch w:val="default"/>
    <w:sig w:usb0="00000000" w:usb1="00000000" w:usb2="00000000" w:usb3="00000000" w:csb0="00000001" w:csb1="00000000"/>
  </w:font>
  <w:font w:name="Segoe UI Historic">
    <w:altName w:val="Segoe UI"/>
    <w:panose1 w:val="020B0502040204020203"/>
    <w:charset w:val="00"/>
    <w:family w:val="auto"/>
    <w:pitch w:val="default"/>
    <w:sig w:usb0="00000000" w:usb1="00000000" w:usb2="0060C080" w:usb3="00000002" w:csb0="00000001" w:csb1="40000000"/>
  </w:font>
  <w:font w:name="Segoe UI Light">
    <w:panose1 w:val="020B0502040204020203"/>
    <w:charset w:val="00"/>
    <w:family w:val="auto"/>
    <w:pitch w:val="default"/>
    <w:sig w:usb0="E00002FF" w:usb1="4000A47B" w:usb2="00000001" w:usb3="00000000" w:csb0="2000019F" w:csb1="00000000"/>
  </w:font>
  <w:font w:name="华文行楷">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姚体">
    <w:panose1 w:val="02010601030101010101"/>
    <w:charset w:val="86"/>
    <w:family w:val="auto"/>
    <w:pitch w:val="default"/>
    <w:sig w:usb0="00000003"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Malgun Gothic Semilight">
    <w:altName w:val="宋体"/>
    <w:panose1 w:val="020B0502040204020203"/>
    <w:charset w:val="86"/>
    <w:family w:val="auto"/>
    <w:pitch w:val="default"/>
    <w:sig w:usb0="00000000" w:usb1="00000000" w:usb2="00000012" w:usb3="00000000" w:csb0="203E01BD" w:csb1="D7FF0000"/>
  </w:font>
  <w:font w:name="Meiryo">
    <w:panose1 w:val="020B0604030504040204"/>
    <w:charset w:val="80"/>
    <w:family w:val="auto"/>
    <w:pitch w:val="default"/>
    <w:sig w:usb0="E10102FF" w:usb1="EAC7FFFF" w:usb2="00010012" w:usb3="00000000" w:csb0="6002009F" w:csb1="DFD70000"/>
  </w:font>
  <w:font w:name="华文隶书">
    <w:panose1 w:val="02010800040101010101"/>
    <w:charset w:val="86"/>
    <w:family w:val="auto"/>
    <w:pitch w:val="default"/>
    <w:sig w:usb0="00000001" w:usb1="080F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Meiryo UI">
    <w:panose1 w:val="020B0604030504040204"/>
    <w:charset w:val="80"/>
    <w:family w:val="auto"/>
    <w:pitch w:val="default"/>
    <w:sig w:usb0="E10102FF" w:usb1="EAC7FFFF" w:usb2="00010012" w:usb3="00000000" w:csb0="6002009F" w:csb1="DFD70000"/>
  </w:font>
  <w:font w:name="Microsoft JhengHei">
    <w:panose1 w:val="020B0604030504040204"/>
    <w:charset w:val="88"/>
    <w:family w:val="auto"/>
    <w:pitch w:val="default"/>
    <w:sig w:usb0="00000087" w:usb1="28AF4000" w:usb2="00000016" w:usb3="00000000" w:csb0="00100009" w:csb1="00000000"/>
  </w:font>
  <w:font w:name="Courier">
    <w:altName w:val="Courier New"/>
    <w:panose1 w:val="02060409020205020404"/>
    <w:charset w:val="00"/>
    <w:family w:val="auto"/>
    <w:pitch w:val="default"/>
    <w:sig w:usb0="00000000" w:usb1="00000000" w:usb2="00000000" w:usb3="00000000" w:csb0="00000093" w:csb1="00000000"/>
  </w:font>
  <w:font w:name="Leelawadee UI Semilight">
    <w:altName w:val="Leelawadee"/>
    <w:panose1 w:val="020B0402040204020203"/>
    <w:charset w:val="00"/>
    <w:family w:val="auto"/>
    <w:pitch w:val="default"/>
    <w:sig w:usb0="00000000" w:usb1="00000000" w:usb2="00010000" w:usb3="00000001" w:csb0="000101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auto"/>
    <w:pitch w:val="default"/>
    <w:sig w:usb0="E1002EFF" w:usb1="C000605B" w:usb2="00000029" w:usb3="00000000" w:csb0="200101FF" w:csb1="20280000"/>
  </w:font>
  <w:font w:name="Monotype Corsiva">
    <w:panose1 w:val="03010101010201010101"/>
    <w:charset w:val="00"/>
    <w:family w:val="auto"/>
    <w:pitch w:val="default"/>
    <w:sig w:usb0="00000287" w:usb1="00000000" w:usb2="00000000" w:usb3="00000000" w:csb0="2000009F" w:csb1="DFD70000"/>
  </w:font>
  <w:font w:name="Gloucester MT Extra Condensed">
    <w:altName w:val="MT Extra"/>
    <w:panose1 w:val="02030808020601010101"/>
    <w:charset w:val="00"/>
    <w:family w:val="auto"/>
    <w:pitch w:val="default"/>
    <w:sig w:usb0="00000000" w:usb1="00000000" w:usb2="00000000" w:usb3="00000000" w:csb0="20000001" w:csb1="00000000"/>
  </w:font>
  <w:font w:name="等线">
    <w:altName w:val="宋体"/>
    <w:panose1 w:val="02010600030101010101"/>
    <w:charset w:val="86"/>
    <w:family w:val="auto"/>
    <w:pitch w:val="default"/>
    <w:sig w:usb0="00000000" w:usb1="00000000" w:usb2="00000016" w:usb3="00000000" w:csb0="0004000F"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Yu Gothic UI">
    <w:altName w:val="Meiryo UI"/>
    <w:panose1 w:val="020B0500000000000000"/>
    <w:charset w:val="80"/>
    <w:family w:val="auto"/>
    <w:pitch w:val="default"/>
    <w:sig w:usb0="00000000" w:usb1="00000000"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22EF2"/>
    <w:multiLevelType w:val="multilevel"/>
    <w:tmpl w:val="42822EF2"/>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A20DDF2"/>
    <w:multiLevelType w:val="singleLevel"/>
    <w:tmpl w:val="5A20DDF2"/>
    <w:lvl w:ilvl="0" w:tentative="0">
      <w:start w:val="3"/>
      <w:numFmt w:val="chineseCounting"/>
      <w:suff w:val="nothing"/>
      <w:lvlText w:val="%1、"/>
      <w:lvlJc w:val="left"/>
    </w:lvl>
  </w:abstractNum>
  <w:abstractNum w:abstractNumId="2">
    <w:nsid w:val="69396E99"/>
    <w:multiLevelType w:val="multilevel"/>
    <w:tmpl w:val="69396E99"/>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362EA5"/>
    <w:rsid w:val="04524AC3"/>
    <w:rsid w:val="07186540"/>
    <w:rsid w:val="0AAE35E9"/>
    <w:rsid w:val="0EC2688C"/>
    <w:rsid w:val="16B62F27"/>
    <w:rsid w:val="18BF2723"/>
    <w:rsid w:val="18C11189"/>
    <w:rsid w:val="19E95AF4"/>
    <w:rsid w:val="1AB409E3"/>
    <w:rsid w:val="1D5D10C7"/>
    <w:rsid w:val="1DDE185B"/>
    <w:rsid w:val="2321616B"/>
    <w:rsid w:val="242F1C33"/>
    <w:rsid w:val="250000F7"/>
    <w:rsid w:val="2C362EA5"/>
    <w:rsid w:val="2C797F48"/>
    <w:rsid w:val="366614F6"/>
    <w:rsid w:val="3D936600"/>
    <w:rsid w:val="3EF51F64"/>
    <w:rsid w:val="3FF0480A"/>
    <w:rsid w:val="424F7AE1"/>
    <w:rsid w:val="42531DD2"/>
    <w:rsid w:val="44DF06C4"/>
    <w:rsid w:val="483F00F2"/>
    <w:rsid w:val="4CB92823"/>
    <w:rsid w:val="55B13CE7"/>
    <w:rsid w:val="566C1449"/>
    <w:rsid w:val="59086CD1"/>
    <w:rsid w:val="598239BC"/>
    <w:rsid w:val="5A042505"/>
    <w:rsid w:val="60596C33"/>
    <w:rsid w:val="61286FAA"/>
    <w:rsid w:val="62201C9E"/>
    <w:rsid w:val="67343B27"/>
    <w:rsid w:val="681B54F5"/>
    <w:rsid w:val="6CAE44FD"/>
    <w:rsid w:val="6DDE46DD"/>
    <w:rsid w:val="732A068F"/>
    <w:rsid w:val="7A9C5D57"/>
    <w:rsid w:val="7C4316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4">
    <w:name w:val="Normal Indent"/>
    <w:basedOn w:val="1"/>
    <w:qFormat/>
    <w:uiPriority w:val="0"/>
    <w:pPr>
      <w:ind w:firstLine="420"/>
    </w:pPr>
    <w:rPr>
      <w:rFonts w:ascii="Times New Roman" w:hAnsi="Times New Roman" w:eastAsia="宋体" w:cs="Times New Roman"/>
      <w:szCs w:val="20"/>
      <w:lang w:val="zh-C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9">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2017-11-27T07:02:00Z</dcterms:created>
  <dc:creator>杨琳玮</dc:creator>
  <cp:lastModifiedBy>管震</cp:lastModifiedBy>
  <dcterms:modified xsi:type="dcterms:W3CDTF">2017-12-02T05:52:16Z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