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425"/>
        </w:tabs>
        <w:adjustRightInd w:val="0"/>
        <w:snapToGrid w:val="0"/>
        <w:spacing w:line="560" w:lineRule="exact"/>
        <w:rPr>
          <w:szCs w:val="32"/>
        </w:rPr>
      </w:pPr>
      <w:r>
        <w:rPr>
          <w:rFonts w:hint="eastAsia"/>
          <w:szCs w:val="32"/>
        </w:rPr>
        <w:t>报价要求：</w:t>
      </w:r>
    </w:p>
    <w:p>
      <w:pPr>
        <w:pStyle w:val="5"/>
        <w:tabs>
          <w:tab w:val="left" w:pos="425"/>
        </w:tabs>
        <w:adjustRightInd w:val="0"/>
        <w:snapToGrid w:val="0"/>
        <w:spacing w:line="560" w:lineRule="exact"/>
        <w:rPr>
          <w:szCs w:val="32"/>
        </w:rPr>
      </w:pPr>
      <w:r>
        <w:rPr>
          <w:rFonts w:hint="eastAsia"/>
          <w:szCs w:val="32"/>
        </w:rPr>
        <w:t>参与本项目的供应商应综合考虑服务发生的人工、材料、机械设备及现场临建、水、电等费用综合报价（含利润、税金）等完成本项目相关工作，报价包括但不限于以下内容：</w:t>
      </w:r>
    </w:p>
    <w:p>
      <w:pPr>
        <w:pStyle w:val="5"/>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5"/>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5"/>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5"/>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5"/>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5"/>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5"/>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numPr>
          <w:ilvl w:val="0"/>
          <w:numId w:val="0"/>
        </w:numPr>
        <w:jc w:val="left"/>
        <w:rPr>
          <w:rFonts w:hint="eastAsia" w:ascii="仿宋_GB2312" w:hAnsi="微软雅黑" w:eastAsia="仿宋_GB2312" w:cs="仿宋_GB2312"/>
          <w:b/>
          <w:kern w:val="0"/>
          <w:sz w:val="32"/>
          <w:szCs w:val="32"/>
          <w:lang w:eastAsia="zh-CN"/>
        </w:rPr>
      </w:pPr>
      <w:bookmarkStart w:id="4" w:name="_GoBack"/>
      <w:bookmarkEnd w:id="4"/>
    </w:p>
    <w:p>
      <w:pPr>
        <w:spacing w:line="360" w:lineRule="auto"/>
        <w:jc w:val="center"/>
        <w:outlineLvl w:val="0"/>
        <w:rPr>
          <w:rFonts w:hint="eastAsia" w:ascii="仿宋_GB2312" w:hAnsi="微软雅黑" w:eastAsia="仿宋_GB2312" w:cs="Times New Roman"/>
          <w:sz w:val="32"/>
          <w:szCs w:val="32"/>
        </w:rPr>
      </w:pPr>
      <w:r>
        <w:rPr>
          <w:rFonts w:hint="eastAsia" w:ascii="仿宋_GB2312" w:hAnsi="微软雅黑" w:eastAsia="仿宋_GB2312" w:cs="Times New Roman"/>
          <w:sz w:val="32"/>
          <w:szCs w:val="32"/>
        </w:rPr>
        <w:br w:type="page"/>
      </w:r>
    </w:p>
    <w:p>
      <w:pPr>
        <w:jc w:val="left"/>
        <w:rPr>
          <w:rFonts w:ascii="仿宋_GB2312" w:hAnsi="微软雅黑" w:eastAsia="仿宋_GB2312" w:cs="Times New Roman"/>
          <w:sz w:val="32"/>
          <w:szCs w:val="32"/>
        </w:rPr>
      </w:pPr>
      <w:r>
        <w:rPr>
          <w:rFonts w:hint="eastAsia" w:ascii="仿宋_GB2312" w:hAnsi="微软雅黑" w:eastAsia="仿宋_GB2312" w:cs="Times New Roman"/>
          <w:sz w:val="32"/>
          <w:szCs w:val="32"/>
        </w:rPr>
        <w:t>附件1：</w:t>
      </w:r>
    </w:p>
    <w:p>
      <w:pPr>
        <w:jc w:val="both"/>
        <w:rPr>
          <w:rFonts w:hint="eastAsia" w:ascii="仿宋_GB2312" w:hAnsi="黑体" w:eastAsia="仿宋_GB2312" w:cs="黑体"/>
          <w:sz w:val="44"/>
          <w:szCs w:val="44"/>
        </w:rPr>
      </w:pPr>
    </w:p>
    <w:p>
      <w:pPr>
        <w:spacing w:line="360" w:lineRule="auto"/>
        <w:jc w:val="center"/>
        <w:outlineLvl w:val="0"/>
        <w:rPr>
          <w:rFonts w:hint="eastAsia" w:ascii="宋体" w:hAnsi="宋体"/>
          <w:b/>
          <w:sz w:val="32"/>
          <w:szCs w:val="32"/>
        </w:rPr>
      </w:pPr>
      <w:r>
        <w:rPr>
          <w:rFonts w:hint="eastAsia" w:ascii="宋体" w:hAnsi="宋体"/>
          <w:b/>
          <w:sz w:val="32"/>
          <w:szCs w:val="32"/>
        </w:rPr>
        <w:t>生产三部三期定位车制动器改造技术规格书</w:t>
      </w:r>
    </w:p>
    <w:p>
      <w:pPr>
        <w:pStyle w:val="4"/>
        <w:numPr>
          <w:ilvl w:val="0"/>
          <w:numId w:val="1"/>
        </w:numPr>
        <w:spacing w:line="360" w:lineRule="auto"/>
        <w:rPr>
          <w:rFonts w:hint="eastAsia" w:hAnsi="宋体"/>
          <w:b/>
        </w:rPr>
      </w:pPr>
      <w:r>
        <w:rPr>
          <w:rFonts w:hint="eastAsia" w:hAnsi="宋体"/>
          <w:b/>
        </w:rPr>
        <w:t>总体说明及要求</w:t>
      </w:r>
    </w:p>
    <w:p>
      <w:pPr>
        <w:pStyle w:val="4"/>
        <w:numPr>
          <w:ilvl w:val="0"/>
          <w:numId w:val="1"/>
        </w:numPr>
        <w:spacing w:line="360" w:lineRule="auto"/>
        <w:ind w:left="430" w:hanging="430"/>
        <w:rPr>
          <w:rFonts w:hint="eastAsia" w:hAnsi="宋体"/>
        </w:rPr>
      </w:pPr>
      <w:r>
        <w:rPr>
          <w:rFonts w:hint="eastAsia" w:hAnsi="宋体"/>
        </w:rPr>
        <w:t>1  所涉及到的原系统各参数需根据黄骅港现场实际情况，并以现场实际参数为准，此部分资料由承包方自行对现场进行测量取得，由于资料不详或偏差而产生的数据问题由承包方负责。</w:t>
      </w:r>
    </w:p>
    <w:p>
      <w:pPr>
        <w:pStyle w:val="4"/>
        <w:numPr>
          <w:ilvl w:val="0"/>
          <w:numId w:val="1"/>
        </w:numPr>
        <w:spacing w:line="360" w:lineRule="auto"/>
        <w:ind w:left="430" w:hanging="430"/>
        <w:rPr>
          <w:rFonts w:hint="eastAsia" w:hAnsi="宋体"/>
        </w:rPr>
      </w:pPr>
      <w:r>
        <w:rPr>
          <w:rFonts w:hint="eastAsia" w:hAnsi="宋体"/>
        </w:rPr>
        <w:t>2  本系统设备由于长年在现场环境恶劣</w:t>
      </w:r>
      <w:r>
        <w:rPr>
          <w:rFonts w:hint="eastAsia" w:hAnsi="宋体"/>
          <w:szCs w:val="24"/>
        </w:rPr>
        <w:t>、盐碱度高、湿度大的条件下工作</w:t>
      </w:r>
      <w:r>
        <w:rPr>
          <w:rFonts w:hint="eastAsia" w:hAnsi="宋体"/>
        </w:rPr>
        <w:t>，所以要保证设备的使用寿命。</w:t>
      </w:r>
    </w:p>
    <w:p>
      <w:pPr>
        <w:pStyle w:val="4"/>
        <w:numPr>
          <w:ilvl w:val="0"/>
          <w:numId w:val="1"/>
        </w:numPr>
        <w:spacing w:line="360" w:lineRule="auto"/>
        <w:ind w:left="430" w:hanging="430"/>
        <w:rPr>
          <w:rFonts w:hint="eastAsia" w:hAnsi="宋体"/>
        </w:rPr>
      </w:pPr>
      <w:r>
        <w:rPr>
          <w:rFonts w:hint="eastAsia" w:hAnsi="宋体"/>
        </w:rPr>
        <w:t>3  现场三期定位车推车机制动器为机械关闭，液压打开。改造后，仍使用原系统的制动器执行机构，仍保留机械关闭，但是需重新设计液压缸，使制动器采用液压打开和液压关闭。</w:t>
      </w:r>
    </w:p>
    <w:p>
      <w:pPr>
        <w:pStyle w:val="4"/>
        <w:numPr>
          <w:ilvl w:val="0"/>
          <w:numId w:val="2"/>
        </w:numPr>
        <w:spacing w:line="360" w:lineRule="auto"/>
        <w:rPr>
          <w:rFonts w:hint="eastAsia" w:hAnsi="宋体"/>
          <w:b/>
        </w:rPr>
      </w:pPr>
      <w:r>
        <w:rPr>
          <w:rFonts w:hint="eastAsia" w:hAnsi="宋体"/>
          <w:b/>
        </w:rPr>
        <w:t>承揽范围</w:t>
      </w:r>
    </w:p>
    <w:p>
      <w:pPr>
        <w:pStyle w:val="4"/>
        <w:numPr>
          <w:ilvl w:val="0"/>
          <w:numId w:val="3"/>
        </w:numPr>
        <w:spacing w:line="360" w:lineRule="auto"/>
        <w:rPr>
          <w:rFonts w:hint="eastAsia" w:hAnsi="宋体"/>
          <w:highlight w:val="none"/>
        </w:rPr>
      </w:pPr>
      <w:r>
        <w:rPr>
          <w:rFonts w:hint="eastAsia" w:hAnsi="宋体"/>
          <w:highlight w:val="none"/>
        </w:rPr>
        <w:t>1  生产三</w:t>
      </w:r>
      <w:r>
        <w:rPr>
          <w:rFonts w:hint="eastAsia" w:hAnsi="宋体"/>
          <w:szCs w:val="22"/>
          <w:highlight w:val="none"/>
        </w:rPr>
        <w:t>部三期定位车推车机制动器改造(4套)</w:t>
      </w:r>
      <w:r>
        <w:rPr>
          <w:rFonts w:hint="eastAsia" w:hAnsi="宋体"/>
          <w:highlight w:val="none"/>
        </w:rPr>
        <w:t xml:space="preserve"> ,包含</w:t>
      </w:r>
      <w:r>
        <w:rPr>
          <w:rFonts w:hint="eastAsia"/>
          <w:highlight w:val="none"/>
        </w:rPr>
        <w:t>设计、制造、运输、储存、保管、拆除、安装、原设备恢复、调试、试运转、验收等，并提供相应的备品备件清单和主要设备生产厂家及产地清单。</w:t>
      </w:r>
    </w:p>
    <w:p>
      <w:pPr>
        <w:pStyle w:val="4"/>
        <w:numPr>
          <w:ilvl w:val="0"/>
          <w:numId w:val="3"/>
        </w:numPr>
        <w:spacing w:line="360" w:lineRule="auto"/>
        <w:rPr>
          <w:rFonts w:hint="eastAsia" w:hAnsi="宋体"/>
        </w:rPr>
      </w:pPr>
      <w:r>
        <w:rPr>
          <w:rFonts w:hint="eastAsia" w:hAnsi="宋体"/>
        </w:rPr>
        <w:t>2  项目执行中所涉及的，但技术规格书中未能考虑到的附属材料</w:t>
      </w:r>
    </w:p>
    <w:p>
      <w:pPr>
        <w:pStyle w:val="4"/>
        <w:numPr>
          <w:ilvl w:val="0"/>
          <w:numId w:val="3"/>
        </w:numPr>
        <w:spacing w:line="360" w:lineRule="auto"/>
        <w:rPr>
          <w:rFonts w:hint="eastAsia" w:hAnsi="宋体"/>
        </w:rPr>
      </w:pPr>
      <w:r>
        <w:rPr>
          <w:rFonts w:hint="eastAsia" w:hAnsi="宋体"/>
        </w:rPr>
        <w:t>3  全部设备的售后服务</w:t>
      </w:r>
    </w:p>
    <w:p>
      <w:pPr>
        <w:pStyle w:val="4"/>
        <w:numPr>
          <w:ilvl w:val="2"/>
          <w:numId w:val="3"/>
        </w:numPr>
        <w:tabs>
          <w:tab w:val="left" w:pos="0"/>
          <w:tab w:val="clear" w:pos="1200"/>
        </w:tabs>
        <w:spacing w:line="360" w:lineRule="auto"/>
        <w:ind w:left="0" w:firstLine="0"/>
        <w:rPr>
          <w:rFonts w:hint="eastAsia" w:hAnsi="宋体"/>
          <w:b/>
        </w:rPr>
      </w:pPr>
      <w:r>
        <w:rPr>
          <w:rFonts w:hint="eastAsia" w:hAnsi="宋体"/>
          <w:b/>
        </w:rPr>
        <w:t>详细供货范围及技术要求</w:t>
      </w:r>
    </w:p>
    <w:p>
      <w:pPr>
        <w:pStyle w:val="4"/>
        <w:spacing w:line="360" w:lineRule="auto"/>
        <w:rPr>
          <w:rFonts w:hint="eastAsia" w:hAnsi="宋体"/>
          <w:b/>
        </w:rPr>
      </w:pPr>
      <w:r>
        <w:rPr>
          <w:rFonts w:hint="eastAsia" w:hAnsi="宋体"/>
          <w:b/>
        </w:rPr>
        <w:t>3. 1  详细供货范围</w:t>
      </w:r>
    </w:p>
    <w:p>
      <w:pPr>
        <w:pStyle w:val="4"/>
        <w:spacing w:line="360" w:lineRule="auto"/>
        <w:rPr>
          <w:rFonts w:hint="eastAsia" w:hAnsi="宋体"/>
        </w:rPr>
      </w:pPr>
      <w:r>
        <w:rPr>
          <w:rFonts w:hint="eastAsia" w:hAnsi="宋体"/>
          <w:b/>
        </w:rPr>
        <w:t xml:space="preserve">    </w:t>
      </w:r>
      <w:r>
        <w:rPr>
          <w:rFonts w:hint="eastAsia" w:hAnsi="宋体"/>
        </w:rPr>
        <w:t>本次改造中涉及的所有设备及附件均由承包方提供，发包方负责提供电源接口、制动夹及配合承包方进行电气接线和程序修改。</w:t>
      </w:r>
    </w:p>
    <w:p>
      <w:pPr>
        <w:pStyle w:val="4"/>
        <w:spacing w:line="360" w:lineRule="auto"/>
        <w:rPr>
          <w:rFonts w:hint="eastAsia" w:hAnsi="宋体"/>
        </w:rPr>
      </w:pPr>
      <w:r>
        <w:rPr>
          <w:rFonts w:hint="eastAsia" w:hAnsi="宋体"/>
        </w:rPr>
        <w:t xml:space="preserve">    提供优化后的设计方案，现场施工的计划进度及方案。</w:t>
      </w:r>
    </w:p>
    <w:p>
      <w:pPr>
        <w:pStyle w:val="4"/>
        <w:spacing w:line="360" w:lineRule="auto"/>
        <w:rPr>
          <w:rFonts w:hint="eastAsia" w:hAnsi="宋体"/>
        </w:rPr>
      </w:pPr>
      <w:r>
        <w:rPr>
          <w:rFonts w:hint="eastAsia" w:hAnsi="宋体"/>
        </w:rPr>
        <w:t xml:space="preserve">    承包方应提供本次改造中涉及的所有图纸及资料，要求2份纸版和2份电子版，其中电子版资料要求采用AutoCAD 2004（DWG）格式和Word 2003格式。</w:t>
      </w:r>
    </w:p>
    <w:p>
      <w:pPr>
        <w:pStyle w:val="4"/>
        <w:spacing w:line="360" w:lineRule="auto"/>
        <w:rPr>
          <w:rFonts w:hint="eastAsia" w:hAnsi="宋体"/>
          <w:b/>
        </w:rPr>
      </w:pPr>
      <w:r>
        <w:rPr>
          <w:rFonts w:hint="eastAsia" w:hAnsi="宋体"/>
          <w:b/>
        </w:rPr>
        <w:t>3. 2  设计方案及技术要求</w:t>
      </w:r>
    </w:p>
    <w:p>
      <w:pPr>
        <w:pStyle w:val="4"/>
        <w:spacing w:line="360" w:lineRule="auto"/>
        <w:rPr>
          <w:rFonts w:hint="eastAsia" w:hAnsi="宋体"/>
        </w:rPr>
      </w:pPr>
      <w:r>
        <w:rPr>
          <w:rFonts w:hint="eastAsia" w:hAnsi="宋体"/>
        </w:rPr>
        <w:t>（1）液压原理图</w:t>
      </w:r>
    </w:p>
    <w:p>
      <w:pPr>
        <w:pStyle w:val="4"/>
        <w:spacing w:line="360" w:lineRule="auto"/>
        <w:rPr>
          <w:rFonts w:hint="eastAsia" w:hAnsi="宋体"/>
          <w:b/>
        </w:rPr>
      </w:pPr>
      <w:r>
        <w:rPr>
          <w:rFonts w:hint="eastAsia" w:hAnsi="宋体"/>
          <w:b/>
        </w:rPr>
        <w:drawing>
          <wp:inline distT="0" distB="0" distL="114300" distR="114300">
            <wp:extent cx="5687060" cy="4250055"/>
            <wp:effectExtent l="0" t="0" r="889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87060" cy="4250055"/>
                    </a:xfrm>
                    <a:prstGeom prst="rect">
                      <a:avLst/>
                    </a:prstGeom>
                    <a:noFill/>
                    <a:ln w="9525">
                      <a:noFill/>
                    </a:ln>
                  </pic:spPr>
                </pic:pic>
              </a:graphicData>
            </a:graphic>
          </wp:inline>
        </w:drawing>
      </w:r>
    </w:p>
    <w:p>
      <w:pPr>
        <w:pStyle w:val="4"/>
        <w:spacing w:line="360" w:lineRule="auto"/>
        <w:rPr>
          <w:rFonts w:hint="eastAsia" w:hAnsi="宋体"/>
        </w:rPr>
      </w:pPr>
      <w:r>
        <w:rPr>
          <w:rFonts w:hint="eastAsia" w:hAnsi="宋体"/>
        </w:rPr>
        <w:t>（2）方案说明</w:t>
      </w:r>
    </w:p>
    <w:p>
      <w:pPr>
        <w:snapToGrid w:val="0"/>
        <w:spacing w:line="360" w:lineRule="auto"/>
        <w:ind w:firstLine="420" w:firstLineChars="200"/>
        <w:rPr>
          <w:rFonts w:hint="eastAsia" w:ascii="宋体" w:hAnsi="宋体"/>
          <w:strike/>
          <w:szCs w:val="24"/>
        </w:rPr>
      </w:pPr>
      <w:r>
        <w:rPr>
          <w:rFonts w:hint="eastAsia" w:ascii="宋体" w:hAnsi="宋体"/>
          <w:szCs w:val="24"/>
        </w:rPr>
        <w:t>承包方应提供一套完整的液压系统，包括必需的电机、泵、阀、过滤器、油箱、连接管路等</w:t>
      </w:r>
      <w:r>
        <w:rPr>
          <w:rFonts w:hint="eastAsia" w:ascii="宋体" w:hAnsi="宋体"/>
          <w:szCs w:val="24"/>
          <w:highlight w:val="none"/>
        </w:rPr>
        <w:t>，且各项要求不低于相关规范及标准。液压系</w:t>
      </w:r>
      <w:r>
        <w:rPr>
          <w:rFonts w:hint="eastAsia" w:ascii="宋体" w:hAnsi="宋体"/>
          <w:szCs w:val="24"/>
        </w:rPr>
        <w:t>统应无泄漏，所有元件和管路应安装牢固，不受振动影响。应设置油箱液位计，并提供适合的低液位开关以便通知操作员添加油液。应设置油箱温度开关自动控制油箱油温。过滤器应有内部旁路阀，并同时带有机械及电气发讯装置。油箱上应设置带过滤器的呼吸器。油箱内应设有足够功率的浸入式加热器，加热器应设置在一个干燥的空间中，避免与油液直接接触。若必要，还应提供一个液压油冷却器。设置一套蓄能器保压装置，延长启动液压泵的间隔时间，并在设备采购前提供蓄能器的选型计算书至发包方。为节省液压站安装空间，承包方应尽量缩小液压站的外型尺寸，且为了方便液压泵的更换，液压泵不可安装在液压油箱内。液压站安装在304不锈钢箱体内，箱体容易拆卸且不影响更换元器件。各电器元件分布均匀、距离合适方便单独安装更换。</w:t>
      </w:r>
    </w:p>
    <w:p>
      <w:pPr>
        <w:snapToGrid w:val="0"/>
        <w:spacing w:line="360" w:lineRule="auto"/>
        <w:ind w:firstLine="420" w:firstLineChars="200"/>
        <w:rPr>
          <w:rFonts w:hint="eastAsia" w:ascii="宋体" w:hAnsi="宋体"/>
          <w:szCs w:val="24"/>
        </w:rPr>
      </w:pPr>
      <w:r>
        <w:rPr>
          <w:rFonts w:hint="eastAsia" w:ascii="宋体" w:hAnsi="宋体"/>
          <w:szCs w:val="24"/>
        </w:rPr>
        <w:t>原有定位车制动器为SIBRE公司的CB5-H4-So液压制动器。单台定位车或推车机由8个制动器制动，</w:t>
      </w:r>
      <w:r>
        <w:rPr>
          <w:rFonts w:hint="eastAsia" w:ascii="宋体" w:hAnsi="宋体"/>
        </w:rPr>
        <w:t>其单个制动力矩为可调整，但应根据实际情况由承包方自行测量，</w:t>
      </w:r>
      <w:r>
        <w:rPr>
          <w:rFonts w:hint="eastAsia" w:ascii="宋体" w:hAnsi="宋体"/>
          <w:szCs w:val="24"/>
        </w:rPr>
        <w:t>要求制动器执行机构采用双作用液压缸驱动代替原有的单作用液压缸驱动，并应带有手动打开功能，其内部密封件采用进口件品牌。当采用单作用液压缸时，其无杆腔为避免进入空气及粉尘且防止内泄造成的油液溢出,要求加装回油路，直接通油箱。</w:t>
      </w:r>
    </w:p>
    <w:p>
      <w:pPr>
        <w:pStyle w:val="4"/>
        <w:spacing w:line="360" w:lineRule="auto"/>
        <w:ind w:firstLine="480"/>
        <w:rPr>
          <w:rFonts w:hint="eastAsia" w:hAnsi="宋体"/>
        </w:rPr>
      </w:pPr>
      <w:r>
        <w:rPr>
          <w:rFonts w:hint="eastAsia" w:hAnsi="宋体"/>
        </w:rPr>
        <w:t>液压系统中所有液压元件及电机均可采用国产液压元件，其中液压阀性能不低于北京华德品牌的产品，蓄能器性能不低于奥莱尔品牌的产品，液压附件性能不低于黎明品牌的产品。（每套系统主要产品型号见下表）液压油箱、管路及接头均采用316L不锈钢材质</w:t>
      </w:r>
      <w:r>
        <w:rPr>
          <w:rFonts w:hint="eastAsia" w:hAnsi="宋体"/>
          <w:highlight w:val="none"/>
        </w:rPr>
        <w:t>，油箱板材厚度不低于6mm。油箱护罩采用304不锈钢材质，厚度不小于2mm。</w:t>
      </w:r>
    </w:p>
    <w:tbl>
      <w:tblPr>
        <w:tblStyle w:val="11"/>
        <w:tblW w:w="71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2880"/>
        <w:gridCol w:w="2520"/>
        <w:gridCol w:w="1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序号</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名称</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规格型号</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c>
          <w:tcPr>
            <w:tcW w:w="2880" w:type="dxa"/>
            <w:vAlign w:val="center"/>
          </w:tcPr>
          <w:p>
            <w:pPr>
              <w:widowControl/>
              <w:spacing w:line="360" w:lineRule="auto"/>
              <w:jc w:val="center"/>
              <w:rPr>
                <w:rFonts w:ascii="宋体" w:hAnsi="宋体" w:cs="宋体"/>
                <w:bCs/>
                <w:color w:val="000000"/>
                <w:kern w:val="0"/>
                <w:szCs w:val="24"/>
              </w:rPr>
            </w:pPr>
            <w:r>
              <w:rPr>
                <w:rFonts w:hint="eastAsia" w:ascii="宋体" w:hAnsi="宋体" w:cs="宋体"/>
                <w:bCs/>
                <w:color w:val="000000"/>
                <w:kern w:val="0"/>
                <w:szCs w:val="24"/>
              </w:rPr>
              <w:t>双作用油缸</w:t>
            </w:r>
          </w:p>
        </w:tc>
        <w:tc>
          <w:tcPr>
            <w:tcW w:w="2520" w:type="dxa"/>
            <w:vAlign w:val="center"/>
          </w:tcPr>
          <w:p>
            <w:pPr>
              <w:widowControl/>
              <w:spacing w:line="360" w:lineRule="auto"/>
              <w:jc w:val="center"/>
              <w:rPr>
                <w:rFonts w:ascii="宋体" w:hAnsi="宋体" w:cs="宋体"/>
                <w:bCs/>
                <w:color w:val="000000"/>
                <w:kern w:val="0"/>
                <w:szCs w:val="24"/>
              </w:rPr>
            </w:pPr>
            <w:r>
              <w:rPr>
                <w:rFonts w:hint="eastAsia" w:ascii="宋体" w:hAnsi="宋体" w:cs="宋体"/>
                <w:bCs/>
                <w:color w:val="000000"/>
                <w:kern w:val="0"/>
                <w:szCs w:val="24"/>
              </w:rPr>
              <w:t>63/25×25</w:t>
            </w:r>
          </w:p>
        </w:tc>
        <w:tc>
          <w:tcPr>
            <w:tcW w:w="1051" w:type="dxa"/>
            <w:vAlign w:val="center"/>
          </w:tcPr>
          <w:p>
            <w:pPr>
              <w:widowControl/>
              <w:spacing w:line="360" w:lineRule="auto"/>
              <w:jc w:val="center"/>
              <w:rPr>
                <w:rFonts w:ascii="宋体" w:hAnsi="宋体" w:cs="宋体"/>
                <w:bCs/>
                <w:color w:val="000000"/>
                <w:kern w:val="0"/>
                <w:szCs w:val="24"/>
              </w:rPr>
            </w:pPr>
            <w:r>
              <w:rPr>
                <w:rFonts w:hint="eastAsia" w:ascii="宋体" w:hAnsi="宋体" w:cs="宋体"/>
                <w:bCs/>
                <w:color w:val="000000"/>
                <w:kern w:val="0"/>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2</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泵</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CBT-E310</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3</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电机</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2.2KW、4P、B5</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4</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单向阀</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RVP8</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5</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溢流阀</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DBDH6P/100</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6</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卸荷溢流阀</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DA10-1-30/160</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7</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电磁换向阀</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4WE10D10B/AG24NZ5L（电磁线圈\MFZ12C-37YC DC24V 30W）</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8</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叠加双向节流阀</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Z2FS6</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9</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蓄能器</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NXQ</w:t>
            </w:r>
            <w:r>
              <w:rPr>
                <w:rFonts w:hint="eastAsia" w:ascii="宋体" w:hAnsi="宋体" w:cs="宋体"/>
                <w:bCs/>
                <w:kern w:val="0"/>
                <w:szCs w:val="24"/>
                <w:vertAlign w:val="subscript"/>
              </w:rPr>
              <w:t>1</w:t>
            </w:r>
            <w:r>
              <w:rPr>
                <w:rFonts w:hint="eastAsia" w:ascii="宋体" w:hAnsi="宋体" w:cs="宋体"/>
                <w:bCs/>
                <w:kern w:val="0"/>
                <w:szCs w:val="24"/>
              </w:rPr>
              <w:t>-L10/H</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10</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压力传感器</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EDS345-1-400-000\DC24V</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11</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压力表总成</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Y～60,  0～16Mpa</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12</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压力管路滤油器</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QV-H25×30BDP</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13</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吸油滤器</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WV-40-100-J</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14</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空气滤器</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QVQ</w:t>
            </w:r>
            <w:r>
              <w:rPr>
                <w:rFonts w:hint="eastAsia" w:ascii="宋体" w:hAnsi="宋体" w:cs="宋体"/>
                <w:bCs/>
                <w:kern w:val="0"/>
                <w:szCs w:val="24"/>
                <w:vertAlign w:val="subscript"/>
              </w:rPr>
              <w:t>1</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15</w:t>
            </w:r>
          </w:p>
        </w:tc>
        <w:tc>
          <w:tcPr>
            <w:tcW w:w="288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液位控制继电器</w:t>
            </w:r>
          </w:p>
        </w:tc>
        <w:tc>
          <w:tcPr>
            <w:tcW w:w="2520"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YKJD24-200-50</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 w:hRule="atLeast"/>
          <w:jc w:val="center"/>
        </w:trPr>
        <w:tc>
          <w:tcPr>
            <w:tcW w:w="732"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16</w:t>
            </w:r>
          </w:p>
        </w:tc>
        <w:tc>
          <w:tcPr>
            <w:tcW w:w="2880" w:type="dxa"/>
            <w:vAlign w:val="center"/>
          </w:tcPr>
          <w:p>
            <w:pPr>
              <w:widowControl/>
              <w:spacing w:line="360" w:lineRule="auto"/>
              <w:jc w:val="center"/>
              <w:rPr>
                <w:rFonts w:ascii="宋体" w:hAnsi="宋体" w:cs="宋体"/>
                <w:bCs/>
                <w:strike/>
                <w:kern w:val="0"/>
                <w:szCs w:val="24"/>
                <w:highlight w:val="yellow"/>
              </w:rPr>
            </w:pPr>
            <w:r>
              <w:rPr>
                <w:rFonts w:hint="eastAsia" w:ascii="宋体" w:hAnsi="宋体" w:cs="宋体"/>
                <w:bCs/>
                <w:kern w:val="0"/>
                <w:szCs w:val="24"/>
              </w:rPr>
              <w:t>温度控制继电器</w:t>
            </w:r>
          </w:p>
        </w:tc>
        <w:tc>
          <w:tcPr>
            <w:tcW w:w="2520" w:type="dxa"/>
            <w:vAlign w:val="center"/>
          </w:tcPr>
          <w:p>
            <w:pPr>
              <w:widowControl/>
              <w:spacing w:line="360" w:lineRule="auto"/>
              <w:jc w:val="center"/>
              <w:rPr>
                <w:rFonts w:ascii="宋体" w:hAnsi="宋体" w:cs="宋体"/>
                <w:bCs/>
                <w:strike/>
                <w:kern w:val="0"/>
                <w:szCs w:val="24"/>
              </w:rPr>
            </w:pPr>
            <w:r>
              <w:rPr>
                <w:rFonts w:hint="eastAsia" w:ascii="宋体" w:hAnsi="宋体" w:cs="宋体"/>
                <w:bCs/>
                <w:kern w:val="0"/>
                <w:szCs w:val="24"/>
              </w:rPr>
              <w:t>ETS386-3-150\DC24V</w:t>
            </w:r>
          </w:p>
        </w:tc>
        <w:tc>
          <w:tcPr>
            <w:tcW w:w="1051" w:type="dxa"/>
            <w:vAlign w:val="center"/>
          </w:tcPr>
          <w:p>
            <w:pPr>
              <w:widowControl/>
              <w:spacing w:line="360" w:lineRule="auto"/>
              <w:jc w:val="center"/>
              <w:rPr>
                <w:rFonts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 w:hRule="atLeast"/>
          <w:jc w:val="center"/>
        </w:trPr>
        <w:tc>
          <w:tcPr>
            <w:tcW w:w="732" w:type="dxa"/>
            <w:vAlign w:val="center"/>
          </w:tcPr>
          <w:p>
            <w:pPr>
              <w:widowControl/>
              <w:spacing w:line="360" w:lineRule="auto"/>
              <w:jc w:val="center"/>
              <w:rPr>
                <w:rFonts w:hint="eastAsia" w:ascii="宋体" w:hAnsi="宋体" w:cs="宋体"/>
                <w:bCs/>
                <w:kern w:val="0"/>
                <w:szCs w:val="24"/>
              </w:rPr>
            </w:pPr>
            <w:r>
              <w:rPr>
                <w:rFonts w:hint="eastAsia" w:ascii="宋体" w:hAnsi="宋体" w:cs="宋体"/>
                <w:bCs/>
                <w:kern w:val="0"/>
                <w:szCs w:val="24"/>
              </w:rPr>
              <w:t>17</w:t>
            </w:r>
          </w:p>
        </w:tc>
        <w:tc>
          <w:tcPr>
            <w:tcW w:w="2880" w:type="dxa"/>
            <w:vAlign w:val="center"/>
          </w:tcPr>
          <w:p>
            <w:pPr>
              <w:widowControl/>
              <w:spacing w:line="360" w:lineRule="auto"/>
              <w:jc w:val="center"/>
              <w:rPr>
                <w:rFonts w:hint="eastAsia" w:ascii="宋体" w:hAnsi="宋体" w:cs="宋体"/>
                <w:bCs/>
                <w:kern w:val="0"/>
                <w:szCs w:val="24"/>
                <w:highlight w:val="yellow"/>
              </w:rPr>
            </w:pPr>
            <w:r>
              <w:rPr>
                <w:rFonts w:hint="eastAsia" w:ascii="宋体" w:hAnsi="宋体" w:cs="宋体"/>
                <w:bCs/>
                <w:kern w:val="0"/>
                <w:szCs w:val="24"/>
              </w:rPr>
              <w:t>加热器</w:t>
            </w:r>
          </w:p>
        </w:tc>
        <w:tc>
          <w:tcPr>
            <w:tcW w:w="2520" w:type="dxa"/>
            <w:vAlign w:val="center"/>
          </w:tcPr>
          <w:p>
            <w:pPr>
              <w:widowControl/>
              <w:spacing w:line="360" w:lineRule="auto"/>
              <w:jc w:val="center"/>
              <w:rPr>
                <w:rFonts w:hint="eastAsia" w:ascii="宋体" w:hAnsi="宋体" w:cs="宋体"/>
                <w:bCs/>
                <w:kern w:val="0"/>
                <w:szCs w:val="24"/>
              </w:rPr>
            </w:pPr>
            <w:r>
              <w:rPr>
                <w:rFonts w:hint="eastAsia" w:ascii="宋体" w:hAnsi="宋体" w:cs="宋体"/>
                <w:bCs/>
                <w:kern w:val="0"/>
                <w:szCs w:val="24"/>
              </w:rPr>
              <w:t>电压AC380V</w:t>
            </w:r>
          </w:p>
        </w:tc>
        <w:tc>
          <w:tcPr>
            <w:tcW w:w="1051" w:type="dxa"/>
            <w:vAlign w:val="center"/>
          </w:tcPr>
          <w:p>
            <w:pPr>
              <w:widowControl/>
              <w:spacing w:line="360" w:lineRule="auto"/>
              <w:jc w:val="center"/>
              <w:rPr>
                <w:rFonts w:hint="eastAsia" w:ascii="宋体" w:hAnsi="宋体" w:cs="宋体"/>
                <w:bCs/>
                <w:kern w:val="0"/>
                <w:szCs w:val="24"/>
              </w:rPr>
            </w:pPr>
            <w:r>
              <w:rPr>
                <w:rFonts w:hint="eastAsia" w:ascii="宋体" w:hAnsi="宋体" w:cs="宋体"/>
                <w:bCs/>
                <w:kern w:val="0"/>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 w:hRule="atLeast"/>
          <w:jc w:val="center"/>
        </w:trPr>
        <w:tc>
          <w:tcPr>
            <w:tcW w:w="732" w:type="dxa"/>
            <w:vAlign w:val="center"/>
          </w:tcPr>
          <w:p>
            <w:pPr>
              <w:widowControl/>
              <w:spacing w:line="360" w:lineRule="auto"/>
              <w:jc w:val="center"/>
              <w:rPr>
                <w:rFonts w:hint="eastAsia" w:ascii="宋体" w:hAnsi="宋体" w:cs="宋体"/>
                <w:bCs/>
                <w:kern w:val="0"/>
                <w:szCs w:val="24"/>
              </w:rPr>
            </w:pPr>
            <w:r>
              <w:rPr>
                <w:rFonts w:hint="eastAsia" w:ascii="宋体" w:hAnsi="宋体" w:cs="宋体"/>
                <w:bCs/>
                <w:kern w:val="0"/>
                <w:szCs w:val="24"/>
              </w:rPr>
              <w:t>18</w:t>
            </w:r>
          </w:p>
        </w:tc>
        <w:tc>
          <w:tcPr>
            <w:tcW w:w="2880" w:type="dxa"/>
            <w:vAlign w:val="center"/>
          </w:tcPr>
          <w:p>
            <w:pPr>
              <w:widowControl/>
              <w:spacing w:line="360" w:lineRule="auto"/>
              <w:jc w:val="center"/>
              <w:rPr>
                <w:rFonts w:hint="eastAsia" w:ascii="宋体" w:hAnsi="宋体" w:cs="宋体"/>
                <w:bCs/>
                <w:kern w:val="0"/>
                <w:szCs w:val="24"/>
              </w:rPr>
            </w:pPr>
            <w:r>
              <w:rPr>
                <w:rFonts w:hint="eastAsia" w:ascii="宋体" w:hAnsi="宋体" w:cs="宋体"/>
                <w:bCs/>
                <w:kern w:val="0"/>
                <w:szCs w:val="24"/>
              </w:rPr>
              <w:t>其它附件</w:t>
            </w:r>
          </w:p>
        </w:tc>
        <w:tc>
          <w:tcPr>
            <w:tcW w:w="2520" w:type="dxa"/>
            <w:vAlign w:val="center"/>
          </w:tcPr>
          <w:p>
            <w:pPr>
              <w:widowControl/>
              <w:spacing w:line="360" w:lineRule="auto"/>
              <w:jc w:val="center"/>
              <w:rPr>
                <w:rFonts w:hint="eastAsia" w:ascii="宋体" w:hAnsi="宋体" w:cs="宋体"/>
                <w:bCs/>
                <w:kern w:val="0"/>
                <w:szCs w:val="24"/>
              </w:rPr>
            </w:pPr>
          </w:p>
        </w:tc>
        <w:tc>
          <w:tcPr>
            <w:tcW w:w="1051" w:type="dxa"/>
            <w:vAlign w:val="center"/>
          </w:tcPr>
          <w:p>
            <w:pPr>
              <w:widowControl/>
              <w:spacing w:line="360" w:lineRule="auto"/>
              <w:jc w:val="center"/>
              <w:rPr>
                <w:rFonts w:hint="eastAsia" w:ascii="宋体" w:hAnsi="宋体" w:cs="宋体"/>
                <w:bCs/>
                <w:kern w:val="0"/>
                <w:szCs w:val="24"/>
              </w:rPr>
            </w:pPr>
            <w:r>
              <w:rPr>
                <w:rFonts w:hint="eastAsia" w:ascii="宋体" w:hAnsi="宋体" w:cs="宋体"/>
                <w:bCs/>
                <w:kern w:val="0"/>
                <w:szCs w:val="24"/>
              </w:rPr>
              <w:t>若干</w:t>
            </w:r>
          </w:p>
        </w:tc>
      </w:tr>
    </w:tbl>
    <w:p>
      <w:pPr>
        <w:spacing w:line="360" w:lineRule="auto"/>
        <w:ind w:firstLine="422" w:firstLineChars="200"/>
        <w:rPr>
          <w:rFonts w:hint="eastAsia" w:ascii="宋体" w:hAnsi="宋体"/>
          <w:b/>
        </w:rPr>
      </w:pPr>
      <w:r>
        <w:rPr>
          <w:rFonts w:hint="eastAsia" w:ascii="宋体" w:hAnsi="宋体"/>
          <w:b/>
        </w:rPr>
        <w:t>以上设计方案和元件选型仅供参考，承包方应根据黄骅港现场实际情况进行方案的细化设计或优化，包括系统元件选型、蓄能器大小选型计算、系统发热验算等，且优化方案和相关计算书需在设备采购前提交至发包方。</w:t>
      </w:r>
    </w:p>
    <w:p>
      <w:pPr>
        <w:pStyle w:val="4"/>
        <w:spacing w:line="360" w:lineRule="auto"/>
        <w:rPr>
          <w:rFonts w:hAnsi="宋体"/>
          <w:b/>
          <w:highlight w:val="none"/>
        </w:rPr>
      </w:pPr>
      <w:bookmarkStart w:id="0" w:name="_Toc351973854"/>
      <w:bookmarkStart w:id="1" w:name="_Toc351973718"/>
      <w:bookmarkStart w:id="2" w:name="_Toc351973937"/>
      <w:bookmarkStart w:id="3" w:name="_Toc351973607"/>
      <w:r>
        <w:rPr>
          <w:rFonts w:hint="eastAsia" w:hAnsi="宋体"/>
          <w:b/>
          <w:highlight w:val="none"/>
        </w:rPr>
        <w:t>4. 施工过程控制</w:t>
      </w:r>
      <w:bookmarkEnd w:id="0"/>
      <w:bookmarkEnd w:id="1"/>
      <w:bookmarkEnd w:id="2"/>
      <w:bookmarkEnd w:id="3"/>
    </w:p>
    <w:p>
      <w:pPr>
        <w:tabs>
          <w:tab w:val="left" w:pos="360"/>
        </w:tabs>
        <w:adjustRightInd w:val="0"/>
        <w:snapToGrid w:val="0"/>
        <w:spacing w:line="360" w:lineRule="auto"/>
        <w:ind w:firstLine="420" w:firstLineChars="200"/>
        <w:rPr>
          <w:rFonts w:ascii="宋体" w:hAnsi="宋体"/>
          <w:highlight w:val="none"/>
        </w:rPr>
      </w:pPr>
      <w:r>
        <w:rPr>
          <w:rFonts w:hint="eastAsia" w:ascii="宋体" w:hAnsi="宋体"/>
          <w:highlight w:val="none"/>
        </w:rPr>
        <w:t>承包方在投标时，应提供详细改造设计方案和设备选型计算资料。</w:t>
      </w:r>
    </w:p>
    <w:p>
      <w:pPr>
        <w:tabs>
          <w:tab w:val="left" w:pos="360"/>
        </w:tabs>
        <w:adjustRightInd w:val="0"/>
        <w:snapToGrid w:val="0"/>
        <w:spacing w:line="360" w:lineRule="auto"/>
        <w:ind w:firstLine="420" w:firstLineChars="200"/>
        <w:rPr>
          <w:rFonts w:ascii="宋体" w:hAnsi="宋体"/>
          <w:highlight w:val="none"/>
        </w:rPr>
      </w:pPr>
      <w:r>
        <w:rPr>
          <w:rFonts w:hint="eastAsia" w:ascii="宋体" w:hAnsi="宋体"/>
          <w:highlight w:val="none"/>
        </w:rPr>
        <w:t>承包方应在合同签订15天后，提供详细设计图纸资料及设备元件样本（含纸质4份，电子版（u盘）2份），并召开一次图纸设计联络会。</w:t>
      </w:r>
    </w:p>
    <w:p>
      <w:pPr>
        <w:tabs>
          <w:tab w:val="left" w:pos="360"/>
        </w:tabs>
        <w:adjustRightInd w:val="0"/>
        <w:snapToGrid w:val="0"/>
        <w:spacing w:line="360" w:lineRule="auto"/>
        <w:ind w:firstLine="420" w:firstLineChars="200"/>
        <w:rPr>
          <w:rFonts w:ascii="宋体" w:hAnsi="宋体"/>
          <w:highlight w:val="none"/>
        </w:rPr>
      </w:pPr>
      <w:r>
        <w:rPr>
          <w:rFonts w:hint="eastAsia" w:ascii="宋体" w:hAnsi="宋体"/>
          <w:highlight w:val="none"/>
        </w:rPr>
        <w:t>承包方应根据现场勘查结果制定施工组织方案。</w:t>
      </w:r>
    </w:p>
    <w:p>
      <w:pPr>
        <w:tabs>
          <w:tab w:val="left" w:pos="360"/>
        </w:tabs>
        <w:adjustRightInd w:val="0"/>
        <w:snapToGrid w:val="0"/>
        <w:spacing w:line="360" w:lineRule="auto"/>
        <w:ind w:firstLine="420" w:firstLineChars="200"/>
        <w:rPr>
          <w:rFonts w:ascii="宋体" w:hAnsi="宋体"/>
          <w:highlight w:val="none"/>
        </w:rPr>
      </w:pPr>
      <w:r>
        <w:rPr>
          <w:rFonts w:hint="eastAsia" w:ascii="宋体" w:hAnsi="宋体"/>
          <w:highlight w:val="none"/>
        </w:rPr>
        <w:t>在设备制造、安装及含有隐蔽工程的工作结束时，均应通知用户负责人进行现场确认和验收。在设备制造过程中，用户有权进行厂家的考察。</w:t>
      </w:r>
    </w:p>
    <w:p>
      <w:pPr>
        <w:tabs>
          <w:tab w:val="left" w:pos="360"/>
        </w:tabs>
        <w:adjustRightInd w:val="0"/>
        <w:snapToGrid w:val="0"/>
        <w:spacing w:line="360" w:lineRule="auto"/>
        <w:ind w:firstLine="420" w:firstLineChars="200"/>
        <w:rPr>
          <w:rFonts w:ascii="宋体" w:hAnsi="宋体"/>
          <w:highlight w:val="none"/>
        </w:rPr>
      </w:pPr>
      <w:r>
        <w:rPr>
          <w:rFonts w:hint="eastAsia" w:ascii="宋体" w:hAnsi="宋体"/>
          <w:highlight w:val="none"/>
        </w:rPr>
        <w:t>本项目施工总工期为6个月。</w:t>
      </w:r>
    </w:p>
    <w:p>
      <w:pPr>
        <w:pStyle w:val="4"/>
        <w:spacing w:line="360" w:lineRule="auto"/>
        <w:rPr>
          <w:rFonts w:hint="eastAsia" w:hAnsi="宋体"/>
          <w:b/>
        </w:rPr>
      </w:pPr>
      <w:r>
        <w:rPr>
          <w:rFonts w:hint="eastAsia" w:hAnsi="宋体"/>
          <w:b/>
        </w:rPr>
        <w:t>5.  项目验收</w:t>
      </w:r>
    </w:p>
    <w:p>
      <w:pPr>
        <w:tabs>
          <w:tab w:val="left" w:pos="360"/>
        </w:tabs>
        <w:adjustRightInd w:val="0"/>
        <w:snapToGrid w:val="0"/>
        <w:spacing w:line="360" w:lineRule="auto"/>
        <w:ind w:firstLine="420" w:firstLineChars="200"/>
        <w:rPr>
          <w:rFonts w:hint="eastAsia" w:ascii="宋体" w:hAnsi="宋体"/>
          <w:szCs w:val="24"/>
        </w:rPr>
      </w:pPr>
      <w:r>
        <w:rPr>
          <w:rFonts w:hint="eastAsia" w:ascii="宋体" w:hAnsi="宋体"/>
        </w:rPr>
        <w:t>改造完成后，制动器必须能在2秒内打开，在1秒之内关闭。承包方在设备改造完毕后经过1个月的试运行并且试运行效果达到使用要求后，发包方根据系统的实际运行情况和承包方提出的书面验收申请组织相关部门进行验收</w:t>
      </w:r>
      <w:r>
        <w:rPr>
          <w:rFonts w:hint="eastAsia" w:ascii="宋体" w:hAnsi="宋体"/>
          <w:szCs w:val="24"/>
        </w:rPr>
        <w:t>。如果由于承包方的原因造成设备运行不稳定或不能满足发包方技术、使用要求时，发包方有权不给予验收，直至达到要求。</w:t>
      </w:r>
    </w:p>
    <w:p>
      <w:pPr>
        <w:pStyle w:val="4"/>
        <w:spacing w:line="360" w:lineRule="auto"/>
        <w:rPr>
          <w:rFonts w:hint="eastAsia" w:hAnsi="宋体"/>
          <w:b/>
        </w:rPr>
      </w:pPr>
      <w:r>
        <w:rPr>
          <w:rFonts w:hint="eastAsia" w:hAnsi="宋体"/>
          <w:b/>
        </w:rPr>
        <w:t>6.  质量保证及服务承诺</w:t>
      </w:r>
    </w:p>
    <w:p>
      <w:pPr>
        <w:tabs>
          <w:tab w:val="left" w:pos="480"/>
        </w:tabs>
        <w:adjustRightInd w:val="0"/>
        <w:snapToGrid w:val="0"/>
        <w:spacing w:line="360" w:lineRule="auto"/>
        <w:rPr>
          <w:rFonts w:hint="eastAsia" w:ascii="宋体" w:hAnsi="宋体"/>
        </w:rPr>
      </w:pPr>
      <w:r>
        <w:rPr>
          <w:rFonts w:hint="eastAsia"/>
          <w:b/>
        </w:rPr>
        <w:t xml:space="preserve">    </w:t>
      </w:r>
      <w:r>
        <w:rPr>
          <w:rFonts w:hint="eastAsia"/>
        </w:rPr>
        <w:t>1. 凡在开箱检验、安装调试、设备试运转过程中发现的设备质量问题，由乙单位负责处理，实行包修、包换、包退直至产品符合质量要求，乙单位承担修理、调换、退货发生的一切费用和发包方的直接经济损失。</w:t>
      </w:r>
    </w:p>
    <w:p>
      <w:pPr>
        <w:pStyle w:val="4"/>
        <w:spacing w:line="360" w:lineRule="auto"/>
        <w:ind w:firstLine="480" w:firstLineChars="200"/>
        <w:rPr>
          <w:rFonts w:hint="eastAsia" w:hAnsi="宋体"/>
        </w:rPr>
      </w:pPr>
      <w:r>
        <w:rPr>
          <w:rFonts w:hint="eastAsia" w:hAnsi="宋体"/>
        </w:rPr>
        <w:t>2.质保期限为项目验收后12个月。</w:t>
      </w:r>
    </w:p>
    <w:p>
      <w:pPr>
        <w:pStyle w:val="4"/>
        <w:spacing w:line="360" w:lineRule="auto"/>
        <w:ind w:firstLine="480" w:firstLineChars="200"/>
        <w:outlineLvl w:val="0"/>
        <w:rPr>
          <w:rFonts w:hint="eastAsia" w:hAnsi="宋体"/>
        </w:rPr>
      </w:pPr>
      <w:r>
        <w:rPr>
          <w:rFonts w:hint="eastAsia" w:hAnsi="宋体"/>
        </w:rPr>
        <w:t>3.协议规定服务项目，工程交付后在保修期内出现了问题，在接到发包方通知后1天内赶到现场，无偿进行返修或返工。</w:t>
      </w:r>
    </w:p>
    <w:p>
      <w:pPr>
        <w:pStyle w:val="4"/>
        <w:spacing w:line="360" w:lineRule="auto"/>
        <w:ind w:firstLine="480" w:firstLineChars="200"/>
        <w:outlineLvl w:val="0"/>
        <w:rPr>
          <w:rFonts w:hint="eastAsia" w:hAnsi="宋体"/>
        </w:rPr>
      </w:pPr>
      <w:r>
        <w:rPr>
          <w:rFonts w:hint="eastAsia" w:hAnsi="宋体"/>
        </w:rPr>
        <w:t>4.工程交付后，主动向发包方介绍有关设备使用注意事项及保养方法，征求发包方意见，发现问题及时解决。</w:t>
      </w:r>
    </w:p>
    <w:p>
      <w:pPr>
        <w:pStyle w:val="4"/>
        <w:spacing w:line="360" w:lineRule="auto"/>
        <w:ind w:firstLine="480" w:firstLineChars="200"/>
        <w:outlineLvl w:val="0"/>
        <w:rPr>
          <w:rFonts w:hint="eastAsia" w:hAnsi="宋体" w:eastAsia="宋体"/>
          <w:b/>
          <w:bCs/>
          <w:lang w:val="en-US" w:eastAsia="zh-CN"/>
        </w:rPr>
      </w:pPr>
      <w:r>
        <w:rPr>
          <w:rFonts w:hint="eastAsia" w:hAnsi="宋体"/>
          <w:b/>
          <w:bCs/>
          <w:lang w:val="en-US" w:eastAsia="zh-CN"/>
        </w:rPr>
        <w:t>5.因港务公司生产特殊情况，投标方需严格按招标方要求时间进行停机施工，在接到招标方停机施工通知24h内到达现场组织施工。</w:t>
      </w:r>
    </w:p>
    <w:p>
      <w:pPr>
        <w:spacing w:line="360" w:lineRule="auto"/>
        <w:rPr>
          <w:rFonts w:hint="eastAsia" w:ascii="宋体" w:hAnsi="宋体"/>
        </w:rPr>
      </w:pPr>
    </w:p>
    <w:p>
      <w:pPr>
        <w:jc w:val="left"/>
        <w:rPr>
          <w:rFonts w:ascii="仿宋_GB2312" w:hAnsi="微软雅黑" w:eastAsia="仿宋_GB2312" w:cs="Times New Roman"/>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tabs>
        <w:tab w:val="left" w:pos="1603"/>
      </w:tabs>
      <w:jc w:val="left"/>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35D"/>
    <w:multiLevelType w:val="multilevel"/>
    <w:tmpl w:val="0086535D"/>
    <w:lvl w:ilvl="0" w:tentative="0">
      <w:start w:val="1"/>
      <w:numFmt w:val="none"/>
      <w:lvlText w:val="2．"/>
      <w:lvlJc w:val="left"/>
      <w:pPr>
        <w:tabs>
          <w:tab w:val="left" w:pos="360"/>
        </w:tabs>
        <w:ind w:left="360" w:hanging="360"/>
      </w:pPr>
      <w:rPr>
        <w:rFonts w:hint="eastAsia"/>
      </w:rPr>
    </w:lvl>
    <w:lvl w:ilvl="1" w:tentative="0">
      <w:start w:val="2"/>
      <w:numFmt w:val="decimal"/>
      <w:lvlText w:val="%2、"/>
      <w:lvlJc w:val="left"/>
      <w:pPr>
        <w:tabs>
          <w:tab w:val="left" w:pos="780"/>
        </w:tabs>
        <w:ind w:left="780" w:hanging="360"/>
      </w:pPr>
      <w:rPr>
        <w:rFonts w:hint="default"/>
      </w:rPr>
    </w:lvl>
    <w:lvl w:ilvl="2" w:tentative="0">
      <w:start w:val="1"/>
      <w:numFmt w:val="none"/>
      <w:lvlText w:val="3．"/>
      <w:lvlJc w:val="left"/>
      <w:pPr>
        <w:tabs>
          <w:tab w:val="left" w:pos="1200"/>
        </w:tabs>
        <w:ind w:left="1200" w:hanging="360"/>
      </w:pPr>
      <w:rPr>
        <w:rFonts w:hint="default"/>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2EB2EA5"/>
    <w:multiLevelType w:val="multilevel"/>
    <w:tmpl w:val="02EB2EA5"/>
    <w:lvl w:ilvl="0" w:tentative="0">
      <w:start w:val="1"/>
      <w:numFmt w:val="none"/>
      <w:lvlText w:val="1．"/>
      <w:lvlJc w:val="left"/>
      <w:pPr>
        <w:tabs>
          <w:tab w:val="left" w:pos="360"/>
        </w:tabs>
        <w:ind w:left="360" w:hanging="360"/>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2AA3733C"/>
    <w:multiLevelType w:val="multilevel"/>
    <w:tmpl w:val="2AA3733C"/>
    <w:lvl w:ilvl="0" w:tentative="0">
      <w:start w:val="2"/>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23B9A"/>
    <w:rsid w:val="00061C74"/>
    <w:rsid w:val="000B293D"/>
    <w:rsid w:val="00100E11"/>
    <w:rsid w:val="00123B9A"/>
    <w:rsid w:val="0015415A"/>
    <w:rsid w:val="001754F9"/>
    <w:rsid w:val="001B5B1A"/>
    <w:rsid w:val="001C76F5"/>
    <w:rsid w:val="001D2246"/>
    <w:rsid w:val="00216DBA"/>
    <w:rsid w:val="002274CF"/>
    <w:rsid w:val="00294127"/>
    <w:rsid w:val="002B59C1"/>
    <w:rsid w:val="002B714B"/>
    <w:rsid w:val="003123BF"/>
    <w:rsid w:val="003A7871"/>
    <w:rsid w:val="003C29FA"/>
    <w:rsid w:val="00450AFC"/>
    <w:rsid w:val="00531997"/>
    <w:rsid w:val="005D5820"/>
    <w:rsid w:val="00634198"/>
    <w:rsid w:val="00645841"/>
    <w:rsid w:val="00647010"/>
    <w:rsid w:val="0066212D"/>
    <w:rsid w:val="006F7D89"/>
    <w:rsid w:val="007A20F8"/>
    <w:rsid w:val="007A6559"/>
    <w:rsid w:val="007C5161"/>
    <w:rsid w:val="007F35DE"/>
    <w:rsid w:val="00813353"/>
    <w:rsid w:val="008221BA"/>
    <w:rsid w:val="00827E30"/>
    <w:rsid w:val="00870D1D"/>
    <w:rsid w:val="0091476A"/>
    <w:rsid w:val="00A31D93"/>
    <w:rsid w:val="00AD0527"/>
    <w:rsid w:val="00AE4EAE"/>
    <w:rsid w:val="00BC0B01"/>
    <w:rsid w:val="00BC40BA"/>
    <w:rsid w:val="00BC5E33"/>
    <w:rsid w:val="00C15F7F"/>
    <w:rsid w:val="00C71737"/>
    <w:rsid w:val="00C8708A"/>
    <w:rsid w:val="00CC0724"/>
    <w:rsid w:val="00D04E84"/>
    <w:rsid w:val="00D16313"/>
    <w:rsid w:val="00D23ACA"/>
    <w:rsid w:val="00D42EC5"/>
    <w:rsid w:val="00E0626A"/>
    <w:rsid w:val="00E65F69"/>
    <w:rsid w:val="00F41F5E"/>
    <w:rsid w:val="00F8100C"/>
    <w:rsid w:val="00FC11E0"/>
    <w:rsid w:val="00FD6463"/>
    <w:rsid w:val="00FF685A"/>
    <w:rsid w:val="03C47C52"/>
    <w:rsid w:val="084376EC"/>
    <w:rsid w:val="0C0C04DC"/>
    <w:rsid w:val="0D007BFC"/>
    <w:rsid w:val="0D4005AB"/>
    <w:rsid w:val="138551CE"/>
    <w:rsid w:val="13FD3507"/>
    <w:rsid w:val="187F1895"/>
    <w:rsid w:val="1E27630B"/>
    <w:rsid w:val="1E6B5B40"/>
    <w:rsid w:val="2A164206"/>
    <w:rsid w:val="2ABF6069"/>
    <w:rsid w:val="2B6B5078"/>
    <w:rsid w:val="2E5747C6"/>
    <w:rsid w:val="32860F45"/>
    <w:rsid w:val="389056B4"/>
    <w:rsid w:val="406B3343"/>
    <w:rsid w:val="44AE599E"/>
    <w:rsid w:val="4C477DDF"/>
    <w:rsid w:val="4CDD32AD"/>
    <w:rsid w:val="554E0206"/>
    <w:rsid w:val="55860A18"/>
    <w:rsid w:val="5668604D"/>
    <w:rsid w:val="5ED8551F"/>
    <w:rsid w:val="64391B28"/>
    <w:rsid w:val="660259FB"/>
    <w:rsid w:val="66970B23"/>
    <w:rsid w:val="6BD0282B"/>
    <w:rsid w:val="6C172F1F"/>
    <w:rsid w:val="735F0183"/>
    <w:rsid w:val="742F5A82"/>
    <w:rsid w:val="7AAE6E92"/>
    <w:rsid w:val="7B2455CD"/>
    <w:rsid w:val="7D180389"/>
    <w:rsid w:val="7FB4777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beforeLines="0" w:after="330" w:afterLines="0" w:line="576" w:lineRule="auto"/>
      <w:outlineLvl w:val="0"/>
    </w:pPr>
    <w:rPr>
      <w:b/>
      <w:bCs/>
      <w:kern w:val="44"/>
      <w:sz w:val="44"/>
      <w:szCs w:val="44"/>
    </w:rPr>
  </w:style>
  <w:style w:type="character" w:default="1" w:styleId="9">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17"/>
    <w:qFormat/>
    <w:uiPriority w:val="0"/>
    <w:rPr>
      <w:rFonts w:ascii="Times New Roman" w:hAnsi="Times New Roman" w:eastAsia="仿宋_GB2312" w:cs="Times New Roman"/>
      <w:sz w:val="32"/>
      <w:szCs w:val="20"/>
    </w:rPr>
  </w:style>
  <w:style w:type="paragraph" w:styleId="4">
    <w:name w:val="Plain Text"/>
    <w:basedOn w:val="1"/>
    <w:link w:val="15"/>
    <w:qFormat/>
    <w:uiPriority w:val="0"/>
    <w:rPr>
      <w:rFonts w:ascii="宋体" w:hAnsi="Courier New" w:eastAsia="宋体" w:cs="Times New Roman"/>
      <w:sz w:val="24"/>
      <w:szCs w:val="20"/>
    </w:rPr>
  </w:style>
  <w:style w:type="paragraph" w:styleId="5">
    <w:name w:val="Body Text Indent 2"/>
    <w:basedOn w:val="1"/>
    <w:link w:val="18"/>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6">
    <w:name w:val="Balloon Text"/>
    <w:basedOn w:val="1"/>
    <w:link w:val="16"/>
    <w:unhideWhenUsed/>
    <w:qFormat/>
    <w:uiPriority w:val="99"/>
    <w:rPr>
      <w:sz w:val="18"/>
      <w:szCs w:val="18"/>
    </w:rPr>
  </w:style>
  <w:style w:type="paragraph" w:styleId="7">
    <w:name w:val="footer"/>
    <w:basedOn w:val="1"/>
    <w:link w:val="13"/>
    <w:unhideWhenUsed/>
    <w:uiPriority w:val="99"/>
    <w:pPr>
      <w:tabs>
        <w:tab w:val="center" w:pos="4153"/>
        <w:tab w:val="right" w:pos="8306"/>
      </w:tabs>
      <w:snapToGrid w:val="0"/>
      <w:jc w:val="left"/>
    </w:pPr>
    <w:rPr>
      <w:sz w:val="18"/>
      <w:szCs w:val="18"/>
    </w:rPr>
  </w:style>
  <w:style w:type="paragraph" w:styleId="8">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character" w:styleId="10">
    <w:name w:val="page number"/>
    <w:basedOn w:val="9"/>
    <w:unhideWhenUsed/>
    <w:uiPriority w:val="99"/>
  </w:style>
  <w:style w:type="character" w:customStyle="1" w:styleId="12">
    <w:name w:val="页眉 Char"/>
    <w:basedOn w:val="9"/>
    <w:link w:val="8"/>
    <w:semiHidden/>
    <w:uiPriority w:val="99"/>
    <w:rPr>
      <w:sz w:val="18"/>
      <w:szCs w:val="18"/>
    </w:rPr>
  </w:style>
  <w:style w:type="character" w:customStyle="1" w:styleId="13">
    <w:name w:val="页脚 Char"/>
    <w:basedOn w:val="9"/>
    <w:link w:val="7"/>
    <w:semiHidden/>
    <w:qFormat/>
    <w:uiPriority w:val="99"/>
    <w:rPr>
      <w:sz w:val="18"/>
      <w:szCs w:val="18"/>
    </w:rPr>
  </w:style>
  <w:style w:type="paragraph" w:customStyle="1" w:styleId="14">
    <w:name w:val="p0"/>
    <w:basedOn w:val="1"/>
    <w:qFormat/>
    <w:uiPriority w:val="0"/>
    <w:pPr>
      <w:widowControl/>
      <w:jc w:val="left"/>
    </w:pPr>
    <w:rPr>
      <w:rFonts w:ascii="Times New Roman" w:hAnsi="Times New Roman" w:eastAsia="宋体" w:cs="Times New Roman"/>
      <w:szCs w:val="24"/>
    </w:rPr>
  </w:style>
  <w:style w:type="character" w:customStyle="1" w:styleId="15">
    <w:name w:val="纯文本 Char"/>
    <w:basedOn w:val="9"/>
    <w:link w:val="4"/>
    <w:uiPriority w:val="0"/>
    <w:rPr>
      <w:rFonts w:ascii="宋体" w:hAnsi="Courier New" w:eastAsia="宋体" w:cs="Times New Roman"/>
      <w:sz w:val="24"/>
      <w:szCs w:val="20"/>
    </w:rPr>
  </w:style>
  <w:style w:type="character" w:customStyle="1" w:styleId="16">
    <w:name w:val="批注框文本 Char"/>
    <w:basedOn w:val="9"/>
    <w:link w:val="6"/>
    <w:semiHidden/>
    <w:uiPriority w:val="99"/>
    <w:rPr>
      <w:sz w:val="18"/>
      <w:szCs w:val="18"/>
    </w:rPr>
  </w:style>
  <w:style w:type="character" w:customStyle="1" w:styleId="17">
    <w:name w:val="正文文本 Char"/>
    <w:basedOn w:val="9"/>
    <w:link w:val="3"/>
    <w:qFormat/>
    <w:uiPriority w:val="0"/>
    <w:rPr>
      <w:rFonts w:ascii="Times New Roman" w:hAnsi="Times New Roman" w:eastAsia="仿宋_GB2312" w:cs="Times New Roman"/>
      <w:sz w:val="32"/>
      <w:szCs w:val="20"/>
    </w:rPr>
  </w:style>
  <w:style w:type="character" w:customStyle="1" w:styleId="18">
    <w:name w:val="正文文本缩进 2 Char"/>
    <w:basedOn w:val="9"/>
    <w:link w:val="5"/>
    <w:qFormat/>
    <w:uiPriority w:val="0"/>
    <w:rPr>
      <w:rFonts w:ascii="仿宋_GB2312" w:hAnsi="宋体" w:eastAsia="仿宋_GB2312" w:cs="Times New Roman"/>
      <w:sz w:val="32"/>
      <w:szCs w:val="24"/>
    </w:rPr>
  </w:style>
  <w:style w:type="character" w:customStyle="1" w:styleId="19">
    <w:name w:val="标题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609</Words>
  <Characters>3476</Characters>
  <Lines>28</Lines>
  <Paragraphs>8</Paragraphs>
  <ScaleCrop>false</ScaleCrop>
  <LinksUpToDate>false</LinksUpToDate>
  <CharactersWithSpaces>4077</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2016-08-16T06:32:00Z</dcterms:created>
  <dc:creator>qjh</dc:creator>
  <cp:lastModifiedBy>于俊清</cp:lastModifiedBy>
  <dcterms:modified xsi:type="dcterms:W3CDTF">2017-11-28T09:19:25Z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