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autoSpaceDE/>
        <w:autoSpaceDN/>
        <w:bidi w:val="0"/>
        <w:adjustRightInd/>
        <w:snapToGrid/>
        <w:spacing w:line="600" w:lineRule="exact"/>
        <w:ind w:firstLine="157" w:firstLineChars="49"/>
        <w:jc w:val="center"/>
        <w:textAlignment w:val="auto"/>
        <w:rPr>
          <w:rFonts w:hint="eastAsia" w:ascii="仿宋_GB2312" w:hAnsi="宋体" w:eastAsia="仿宋_GB2312"/>
          <w:b/>
          <w:sz w:val="32"/>
          <w:szCs w:val="32"/>
        </w:rPr>
      </w:pPr>
      <w:r>
        <w:rPr>
          <w:rFonts w:hint="eastAsia" w:ascii="仿宋_GB2312" w:hAnsi="宋体" w:eastAsia="仿宋_GB2312"/>
          <w:b/>
          <w:sz w:val="32"/>
          <w:szCs w:val="32"/>
        </w:rPr>
        <w:t xml:space="preserve"> </w:t>
      </w:r>
      <w:r>
        <w:rPr>
          <w:rFonts w:hint="eastAsia" w:ascii="仿宋_GB2312" w:hAnsi="宋体" w:eastAsia="仿宋_GB2312"/>
          <w:b/>
          <w:sz w:val="32"/>
          <w:szCs w:val="32"/>
          <w:lang w:val="en-US" w:eastAsia="zh-CN"/>
        </w:rPr>
        <w:t>2018年黄骅港项目船舶污染物清除服务</w:t>
      </w:r>
      <w:r>
        <w:rPr>
          <w:rFonts w:hint="eastAsia" w:ascii="仿宋_GB2312" w:hAnsi="宋体" w:eastAsia="仿宋_GB2312"/>
          <w:b/>
          <w:sz w:val="32"/>
          <w:szCs w:val="32"/>
        </w:rPr>
        <w:t>密封比价文件</w:t>
      </w:r>
    </w:p>
    <w:p>
      <w:pPr>
        <w:keepNext w:val="0"/>
        <w:keepLines w:val="0"/>
        <w:pageBreakBefore w:val="0"/>
        <w:kinsoku/>
        <w:overflowPunct/>
        <w:topLinePunct w:val="0"/>
        <w:autoSpaceDE/>
        <w:autoSpaceDN/>
        <w:bidi w:val="0"/>
        <w:adjustRightInd/>
        <w:snapToGrid/>
        <w:spacing w:line="600" w:lineRule="exact"/>
        <w:ind w:firstLine="157" w:firstLineChars="49"/>
        <w:jc w:val="center"/>
        <w:textAlignment w:val="auto"/>
        <w:rPr>
          <w:rFonts w:hint="eastAsia" w:ascii="仿宋_GB2312" w:hAnsi="宋体" w:eastAsia="仿宋_GB2312"/>
          <w:b/>
          <w:sz w:val="32"/>
          <w:szCs w:val="32"/>
        </w:rPr>
      </w:pPr>
    </w:p>
    <w:p>
      <w:pPr>
        <w:keepNext w:val="0"/>
        <w:keepLines w:val="0"/>
        <w:pageBreakBefore w:val="0"/>
        <w:widowControl/>
        <w:numPr>
          <w:ilvl w:val="0"/>
          <w:numId w:val="0"/>
        </w:numPr>
        <w:tabs>
          <w:tab w:val="left" w:pos="420"/>
        </w:tabs>
        <w:kinsoku/>
        <w:overflowPunct/>
        <w:topLinePunct w:val="0"/>
        <w:autoSpaceDE/>
        <w:autoSpaceDN/>
        <w:bidi w:val="0"/>
        <w:adjustRightInd/>
        <w:snapToGrid/>
        <w:spacing w:line="600" w:lineRule="exact"/>
        <w:jc w:val="left"/>
        <w:textAlignment w:val="auto"/>
        <w:rPr>
          <w:rFonts w:hint="eastAsia" w:ascii="仿宋_GB2312" w:hAnsi="宋体" w:eastAsia="仿宋_GB2312" w:cs="宋体"/>
          <w:kern w:val="0"/>
          <w:sz w:val="24"/>
          <w:szCs w:val="21"/>
        </w:rPr>
      </w:pPr>
      <w:r>
        <w:rPr>
          <w:rFonts w:hint="eastAsia" w:ascii="仿宋_GB2312" w:hAnsi="宋体" w:eastAsia="仿宋_GB2312"/>
          <w:b/>
          <w:sz w:val="28"/>
          <w:szCs w:val="28"/>
          <w:lang w:eastAsia="zh-CN"/>
        </w:rPr>
        <w:t>一、</w:t>
      </w:r>
      <w:r>
        <w:rPr>
          <w:rFonts w:hint="eastAsia" w:ascii="仿宋_GB2312" w:hAnsi="宋体" w:eastAsia="仿宋_GB2312"/>
          <w:b/>
          <w:sz w:val="28"/>
          <w:szCs w:val="28"/>
        </w:rPr>
        <w:t>投标人资质要求</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1、具有独立法人资格，有营业执照、税务登记证、注册资金</w:t>
      </w:r>
      <w:r>
        <w:rPr>
          <w:rFonts w:ascii="仿宋_GB2312" w:hAnsi="宋体" w:eastAsia="仿宋_GB2312"/>
          <w:sz w:val="28"/>
          <w:szCs w:val="28"/>
        </w:rPr>
        <w:t>1</w:t>
      </w:r>
      <w:r>
        <w:rPr>
          <w:rFonts w:hint="eastAsia" w:ascii="仿宋_GB2312" w:hAnsi="宋体" w:eastAsia="仿宋_GB2312"/>
          <w:sz w:val="28"/>
          <w:szCs w:val="28"/>
        </w:rPr>
        <w:t>00万元（含）以上。</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ascii="仿宋_GB2312" w:eastAsia="仿宋_GB2312"/>
          <w:sz w:val="28"/>
          <w:szCs w:val="28"/>
        </w:rPr>
      </w:pPr>
      <w:r>
        <w:rPr>
          <w:rFonts w:hint="eastAsia" w:ascii="仿宋_GB2312" w:hAnsi="宋体" w:eastAsia="仿宋_GB2312"/>
          <w:sz w:val="28"/>
          <w:szCs w:val="28"/>
        </w:rPr>
        <w:t>2、</w:t>
      </w:r>
      <w:r>
        <w:rPr>
          <w:rFonts w:hint="eastAsia" w:ascii="仿宋_GB2312" w:hAnsi="宋体" w:eastAsia="仿宋_GB2312"/>
          <w:sz w:val="28"/>
          <w:szCs w:val="28"/>
          <w:lang w:eastAsia="zh-CN"/>
        </w:rPr>
        <w:t>具有海事主管机构认可的</w:t>
      </w:r>
      <w:r>
        <w:rPr>
          <w:rFonts w:hint="eastAsia" w:ascii="仿宋_GB2312" w:eastAsia="仿宋_GB2312"/>
          <w:sz w:val="28"/>
          <w:szCs w:val="28"/>
        </w:rPr>
        <w:t>提供</w:t>
      </w:r>
      <w:r>
        <w:rPr>
          <w:rFonts w:hint="eastAsia" w:ascii="仿宋_GB2312" w:eastAsia="仿宋_GB2312"/>
          <w:sz w:val="28"/>
          <w:szCs w:val="28"/>
          <w:lang w:val="en-US" w:eastAsia="zh-CN"/>
        </w:rPr>
        <w:t>船舶污染物清除</w:t>
      </w:r>
      <w:r>
        <w:rPr>
          <w:rFonts w:hint="eastAsia" w:ascii="仿宋_GB2312" w:eastAsia="仿宋_GB2312"/>
          <w:sz w:val="28"/>
          <w:szCs w:val="28"/>
        </w:rPr>
        <w:t>服务</w:t>
      </w:r>
      <w:r>
        <w:rPr>
          <w:rFonts w:hint="eastAsia" w:ascii="仿宋_GB2312" w:eastAsia="仿宋_GB2312"/>
          <w:sz w:val="28"/>
          <w:szCs w:val="28"/>
          <w:lang w:eastAsia="zh-CN"/>
        </w:rPr>
        <w:t>资质</w:t>
      </w:r>
      <w:r>
        <w:rPr>
          <w:rFonts w:hint="eastAsia" w:ascii="仿宋_GB2312" w:eastAsia="仿宋_GB2312"/>
          <w:sz w:val="28"/>
          <w:szCs w:val="28"/>
        </w:rPr>
        <w:t>。</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ascii="仿宋_GB2312" w:eastAsia="仿宋_GB2312"/>
          <w:sz w:val="28"/>
          <w:szCs w:val="28"/>
        </w:rPr>
        <w:t>3</w:t>
      </w:r>
      <w:r>
        <w:rPr>
          <w:rFonts w:hint="eastAsia" w:ascii="仿宋_GB2312" w:eastAsia="仿宋_GB2312"/>
          <w:sz w:val="28"/>
          <w:szCs w:val="28"/>
        </w:rPr>
        <w:t>、</w:t>
      </w:r>
      <w:r>
        <w:rPr>
          <w:rFonts w:hint="eastAsia" w:ascii="仿宋_GB2312" w:hAnsi="宋体" w:eastAsia="仿宋_GB2312"/>
          <w:sz w:val="28"/>
          <w:szCs w:val="28"/>
        </w:rPr>
        <w:t>在人员、设备、资金上有保障能力。</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ascii="仿宋_GB2312" w:hAnsi="宋体" w:eastAsia="仿宋_GB2312"/>
          <w:sz w:val="28"/>
          <w:szCs w:val="28"/>
        </w:rPr>
        <w:t>4</w:t>
      </w:r>
      <w:r>
        <w:rPr>
          <w:rFonts w:hint="eastAsia" w:ascii="仿宋_GB2312" w:hAnsi="宋体" w:eastAsia="仿宋_GB2312"/>
          <w:sz w:val="28"/>
          <w:szCs w:val="28"/>
        </w:rPr>
        <w:t>、</w:t>
      </w:r>
      <w:r>
        <w:rPr>
          <w:rFonts w:hint="eastAsia" w:ascii="仿宋_GB2312" w:eastAsia="仿宋_GB2312"/>
          <w:sz w:val="28"/>
          <w:szCs w:val="28"/>
        </w:rPr>
        <w:t>有过</w:t>
      </w:r>
      <w:r>
        <w:rPr>
          <w:rFonts w:hint="eastAsia" w:ascii="仿宋_GB2312" w:eastAsia="仿宋_GB2312"/>
          <w:sz w:val="28"/>
          <w:szCs w:val="28"/>
          <w:lang w:val="en-US" w:eastAsia="zh-CN"/>
        </w:rPr>
        <w:t>船舶污染物清除</w:t>
      </w:r>
      <w:r>
        <w:rPr>
          <w:rFonts w:hint="eastAsia" w:ascii="仿宋_GB2312" w:eastAsia="仿宋_GB2312"/>
          <w:sz w:val="28"/>
          <w:szCs w:val="28"/>
        </w:rPr>
        <w:t>服务经验</w:t>
      </w:r>
      <w:r>
        <w:rPr>
          <w:rFonts w:hint="eastAsia" w:ascii="仿宋_GB2312" w:hAnsi="宋体" w:eastAsia="仿宋_GB2312"/>
          <w:sz w:val="28"/>
          <w:szCs w:val="28"/>
        </w:rPr>
        <w:t>。</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5、自有船舶清单及技术资料证明等。</w:t>
      </w:r>
    </w:p>
    <w:p>
      <w:pPr>
        <w:keepNext w:val="0"/>
        <w:keepLines w:val="0"/>
        <w:pageBreakBefore w:val="0"/>
        <w:kinsoku/>
        <w:overflowPunct/>
        <w:topLinePunct w:val="0"/>
        <w:autoSpaceDE/>
        <w:autoSpaceDN/>
        <w:bidi w:val="0"/>
        <w:adjustRightInd/>
        <w:snapToGrid/>
        <w:spacing w:line="600" w:lineRule="exact"/>
        <w:textAlignment w:val="auto"/>
        <w:rPr>
          <w:rFonts w:hint="eastAsia" w:ascii="仿宋_GB2312" w:hAnsi="宋体" w:eastAsia="仿宋_GB2312"/>
          <w:b/>
          <w:sz w:val="28"/>
          <w:szCs w:val="28"/>
        </w:rPr>
      </w:pPr>
      <w:r>
        <w:rPr>
          <w:rFonts w:hint="eastAsia" w:ascii="仿宋_GB2312" w:hAnsi="宋体" w:eastAsia="仿宋_GB2312"/>
          <w:b/>
          <w:sz w:val="28"/>
          <w:szCs w:val="28"/>
        </w:rPr>
        <w:t>二、投标书需提供内容</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lang w:val="en-US" w:eastAsia="zh-CN"/>
        </w:rPr>
        <w:t>1、</w:t>
      </w:r>
      <w:r>
        <w:rPr>
          <w:rFonts w:hint="eastAsia" w:ascii="仿宋_GB2312" w:hAnsi="宋体" w:eastAsia="仿宋_GB2312"/>
          <w:sz w:val="28"/>
          <w:szCs w:val="28"/>
        </w:rPr>
        <w:t>投标方资质证明文件</w:t>
      </w:r>
    </w:p>
    <w:p>
      <w:pPr>
        <w:keepNext w:val="0"/>
        <w:keepLines w:val="0"/>
        <w:pageBreakBefore w:val="0"/>
        <w:numPr>
          <w:ilvl w:val="0"/>
          <w:numId w:val="1"/>
        </w:numPr>
        <w:kinsoku/>
        <w:overflowPunct/>
        <w:topLinePunct w:val="0"/>
        <w:autoSpaceDE/>
        <w:autoSpaceDN/>
        <w:bidi w:val="0"/>
        <w:adjustRightInd/>
        <w:snapToGrid/>
        <w:spacing w:line="600" w:lineRule="exact"/>
        <w:jc w:val="left"/>
        <w:textAlignment w:val="auto"/>
        <w:rPr>
          <w:rFonts w:ascii="仿宋_GB2312" w:hAnsi="宋体" w:eastAsia="仿宋_GB2312"/>
          <w:sz w:val="28"/>
          <w:szCs w:val="28"/>
        </w:rPr>
      </w:pPr>
      <w:r>
        <w:rPr>
          <w:rFonts w:hint="eastAsia" w:ascii="仿宋_GB2312" w:hAnsi="宋体" w:eastAsia="仿宋_GB2312"/>
          <w:sz w:val="28"/>
          <w:szCs w:val="28"/>
        </w:rPr>
        <w:t>加盖投标单位公章的法人营业执照副本复印件。</w:t>
      </w:r>
    </w:p>
    <w:p>
      <w:pPr>
        <w:keepNext w:val="0"/>
        <w:keepLines w:val="0"/>
        <w:pageBreakBefore w:val="0"/>
        <w:numPr>
          <w:ilvl w:val="0"/>
          <w:numId w:val="1"/>
        </w:numPr>
        <w:kinsoku/>
        <w:overflowPunct/>
        <w:topLinePunct w:val="0"/>
        <w:autoSpaceDE/>
        <w:autoSpaceDN/>
        <w:bidi w:val="0"/>
        <w:adjustRightInd/>
        <w:snapToGrid/>
        <w:spacing w:line="600" w:lineRule="exact"/>
        <w:jc w:val="left"/>
        <w:textAlignment w:val="auto"/>
        <w:rPr>
          <w:rFonts w:ascii="仿宋_GB2312" w:hAnsi="宋体" w:eastAsia="仿宋_GB2312"/>
          <w:sz w:val="28"/>
          <w:szCs w:val="28"/>
        </w:rPr>
      </w:pPr>
      <w:r>
        <w:rPr>
          <w:rFonts w:hint="eastAsia" w:ascii="仿宋_GB2312" w:hAnsi="宋体" w:eastAsia="仿宋_GB2312"/>
          <w:sz w:val="28"/>
          <w:szCs w:val="28"/>
        </w:rPr>
        <w:t>投标方情况介绍（加盖公章）。</w:t>
      </w:r>
    </w:p>
    <w:p>
      <w:pPr>
        <w:keepNext w:val="0"/>
        <w:keepLines w:val="0"/>
        <w:pageBreakBefore w:val="0"/>
        <w:numPr>
          <w:ilvl w:val="0"/>
          <w:numId w:val="1"/>
        </w:numPr>
        <w:kinsoku/>
        <w:overflowPunct/>
        <w:topLinePunct w:val="0"/>
        <w:autoSpaceDE/>
        <w:autoSpaceDN/>
        <w:bidi w:val="0"/>
        <w:adjustRightInd/>
        <w:snapToGrid/>
        <w:spacing w:line="600" w:lineRule="exact"/>
        <w:textAlignment w:val="auto"/>
        <w:rPr>
          <w:rFonts w:hint="eastAsia" w:ascii="仿宋_GB2312" w:eastAsia="仿宋_GB2312"/>
          <w:sz w:val="28"/>
          <w:szCs w:val="28"/>
        </w:rPr>
      </w:pPr>
      <w:r>
        <w:rPr>
          <w:rFonts w:hint="eastAsia" w:ascii="仿宋_GB2312" w:hAnsi="宋体" w:eastAsia="仿宋_GB2312"/>
          <w:spacing w:val="4"/>
          <w:sz w:val="28"/>
          <w:szCs w:val="28"/>
        </w:rPr>
        <w:t>以往有</w:t>
      </w:r>
      <w:r>
        <w:rPr>
          <w:rFonts w:hint="eastAsia" w:ascii="仿宋_GB2312" w:eastAsia="仿宋_GB2312"/>
          <w:sz w:val="28"/>
          <w:szCs w:val="28"/>
          <w:lang w:val="en-US" w:eastAsia="zh-CN"/>
        </w:rPr>
        <w:t>船舶污染物清除</w:t>
      </w:r>
      <w:r>
        <w:rPr>
          <w:rFonts w:hint="eastAsia" w:ascii="仿宋_GB2312" w:eastAsia="仿宋_GB2312"/>
          <w:sz w:val="28"/>
          <w:szCs w:val="28"/>
        </w:rPr>
        <w:t>服务的证明文件或记录（加盖公章）</w:t>
      </w:r>
      <w:r>
        <w:rPr>
          <w:rFonts w:hint="eastAsia" w:ascii="仿宋_GB2312" w:eastAsia="仿宋_GB2312"/>
          <w:sz w:val="28"/>
          <w:szCs w:val="28"/>
          <w:lang w:eastAsia="zh-CN"/>
        </w:rPr>
        <w:t>。</w:t>
      </w:r>
    </w:p>
    <w:p>
      <w:pPr>
        <w:keepNext w:val="0"/>
        <w:keepLines w:val="0"/>
        <w:pageBreakBefore w:val="0"/>
        <w:numPr>
          <w:ilvl w:val="0"/>
          <w:numId w:val="1"/>
        </w:numPr>
        <w:kinsoku/>
        <w:overflowPunct/>
        <w:topLinePunct w:val="0"/>
        <w:autoSpaceDE/>
        <w:autoSpaceDN/>
        <w:bidi w:val="0"/>
        <w:adjustRightInd/>
        <w:snapToGrid/>
        <w:spacing w:line="600" w:lineRule="exact"/>
        <w:textAlignment w:val="auto"/>
        <w:rPr>
          <w:rFonts w:hint="eastAsia" w:ascii="仿宋_GB2312" w:eastAsia="仿宋_GB2312"/>
          <w:sz w:val="28"/>
          <w:szCs w:val="28"/>
        </w:rPr>
      </w:pPr>
      <w:r>
        <w:rPr>
          <w:rFonts w:hint="eastAsia" w:ascii="仿宋_GB2312" w:hAnsi="宋体" w:eastAsia="仿宋_GB2312"/>
          <w:sz w:val="28"/>
          <w:szCs w:val="28"/>
          <w:lang w:val="en-US" w:eastAsia="zh-CN"/>
        </w:rPr>
        <w:t>专业服务船舶清单及技术资料证明等</w:t>
      </w:r>
      <w:r>
        <w:rPr>
          <w:rFonts w:hint="eastAsia" w:ascii="仿宋_GB2312" w:eastAsia="仿宋_GB2312"/>
          <w:sz w:val="28"/>
          <w:szCs w:val="28"/>
        </w:rPr>
        <w:t>（加盖公章）</w:t>
      </w:r>
      <w:r>
        <w:rPr>
          <w:rFonts w:hint="eastAsia" w:ascii="仿宋_GB2312" w:hAnsi="宋体" w:eastAsia="仿宋_GB2312"/>
          <w:sz w:val="28"/>
          <w:szCs w:val="28"/>
          <w:lang w:val="en-US" w:eastAsia="zh-CN"/>
        </w:rPr>
        <w:t>。</w:t>
      </w:r>
      <w:bookmarkStart w:id="10" w:name="_GoBack"/>
      <w:bookmarkEnd w:id="10"/>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2、报价单及相关要求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eastAsia="仿宋_GB2312"/>
          <w:sz w:val="28"/>
          <w:szCs w:val="28"/>
        </w:rPr>
      </w:pPr>
      <w:r>
        <w:rPr>
          <w:rFonts w:hint="eastAsia" w:ascii="仿宋_GB2312" w:eastAsia="仿宋_GB2312"/>
          <w:sz w:val="28"/>
          <w:szCs w:val="28"/>
          <w:lang w:val="en-US" w:eastAsia="zh-CN"/>
        </w:rPr>
        <w:t>1）</w:t>
      </w:r>
      <w:r>
        <w:rPr>
          <w:rFonts w:hint="eastAsia" w:ascii="仿宋_GB2312" w:eastAsia="仿宋_GB2312"/>
          <w:sz w:val="28"/>
          <w:szCs w:val="28"/>
          <w:lang w:eastAsia="zh-CN"/>
        </w:rPr>
        <w:t>服务船舶</w:t>
      </w:r>
      <w:r>
        <w:rPr>
          <w:rFonts w:hint="eastAsia" w:ascii="仿宋_GB2312" w:eastAsia="仿宋_GB2312"/>
          <w:sz w:val="28"/>
          <w:szCs w:val="28"/>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黄骅港项目公司自有及项目承包外来施工船舶污染物清除服务，公司所有船舶：神华浚1轮、神华浚2轮、神华浚7轮和神华交通轮及工程租赁船舶（3艘疏浚船）。</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2）服务期间：</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2018年1月1日-2018年12月31日。</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3）服务要求：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专业服务单位应具备相应的船舶污染物24小时应急清除能力，并受海事主管机构认可资质。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服务单位需自有专门进行船舶污染物清除服务的船只和海上油污应急清除能力的其它设备实施等。</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报价单</w:t>
      </w:r>
    </w:p>
    <w:tbl>
      <w:tblPr>
        <w:tblStyle w:val="4"/>
        <w:tblW w:w="8380" w:type="dxa"/>
        <w:jc w:val="center"/>
        <w:tblInd w:w="-7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2828"/>
        <w:gridCol w:w="2499"/>
        <w:gridCol w:w="2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7" w:hRule="atLeast"/>
          <w:jc w:val="center"/>
        </w:trPr>
        <w:tc>
          <w:tcPr>
            <w:tcW w:w="85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序号</w:t>
            </w:r>
          </w:p>
        </w:tc>
        <w:tc>
          <w:tcPr>
            <w:tcW w:w="282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采购事项</w:t>
            </w:r>
          </w:p>
        </w:tc>
        <w:tc>
          <w:tcPr>
            <w:tcW w:w="249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服务船舶</w:t>
            </w:r>
          </w:p>
        </w:tc>
        <w:tc>
          <w:tcPr>
            <w:tcW w:w="220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费用预算/万元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3" w:hRule="atLeast"/>
          <w:jc w:val="center"/>
        </w:trPr>
        <w:tc>
          <w:tcPr>
            <w:tcW w:w="85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1</w:t>
            </w:r>
          </w:p>
        </w:tc>
        <w:tc>
          <w:tcPr>
            <w:tcW w:w="282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船舶污染物清除服务</w:t>
            </w:r>
          </w:p>
        </w:tc>
        <w:tc>
          <w:tcPr>
            <w:tcW w:w="249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疏浚船舶6艘、交通船1艘</w:t>
            </w:r>
          </w:p>
        </w:tc>
        <w:tc>
          <w:tcPr>
            <w:tcW w:w="220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9.5万元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5" w:hRule="atLeast"/>
          <w:jc w:val="center"/>
        </w:trPr>
        <w:tc>
          <w:tcPr>
            <w:tcW w:w="85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2</w:t>
            </w:r>
          </w:p>
        </w:tc>
        <w:tc>
          <w:tcPr>
            <w:tcW w:w="282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合计</w:t>
            </w:r>
          </w:p>
        </w:tc>
        <w:tc>
          <w:tcPr>
            <w:tcW w:w="249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仿宋_GB2312" w:hAnsi="仿宋_GB2312" w:eastAsia="仿宋_GB2312" w:cs="仿宋_GB2312"/>
                <w:sz w:val="28"/>
                <w:szCs w:val="36"/>
                <w:vertAlign w:val="baseline"/>
                <w:lang w:val="en-US" w:eastAsia="zh-CN"/>
              </w:rPr>
            </w:pPr>
          </w:p>
        </w:tc>
        <w:tc>
          <w:tcPr>
            <w:tcW w:w="220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仿宋_GB2312" w:hAnsi="仿宋_GB2312" w:eastAsia="仿宋_GB2312" w:cs="仿宋_GB2312"/>
                <w:sz w:val="28"/>
                <w:szCs w:val="36"/>
                <w:vertAlign w:val="baseline"/>
                <w:lang w:val="en-US" w:eastAsia="zh-CN"/>
              </w:rPr>
            </w:pPr>
            <w:r>
              <w:rPr>
                <w:rFonts w:hint="eastAsia" w:ascii="仿宋_GB2312" w:hAnsi="仿宋_GB2312" w:eastAsia="仿宋_GB2312" w:cs="仿宋_GB2312"/>
                <w:sz w:val="28"/>
                <w:szCs w:val="36"/>
                <w:vertAlign w:val="baseline"/>
                <w:lang w:val="en-US" w:eastAsia="zh-CN"/>
              </w:rPr>
              <w:t>9.5万元</w:t>
            </w:r>
          </w:p>
        </w:tc>
      </w:tr>
    </w:tbl>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eastAsia="仿宋_GB2312"/>
          <w:sz w:val="28"/>
          <w:szCs w:val="28"/>
          <w:lang w:eastAsia="zh-CN"/>
        </w:rPr>
      </w:pPr>
      <w:r>
        <w:rPr>
          <w:rFonts w:hint="eastAsia" w:ascii="仿宋_GB2312" w:eastAsia="仿宋_GB2312"/>
          <w:sz w:val="28"/>
          <w:szCs w:val="28"/>
          <w:lang w:val="en-US" w:eastAsia="zh-CN"/>
        </w:rPr>
        <w:t>5）</w:t>
      </w:r>
      <w:r>
        <w:rPr>
          <w:rFonts w:hint="eastAsia" w:ascii="仿宋_GB2312" w:eastAsia="仿宋_GB2312"/>
          <w:sz w:val="28"/>
          <w:szCs w:val="28"/>
        </w:rPr>
        <w:t>投标方如中标，在未经</w:t>
      </w:r>
      <w:r>
        <w:rPr>
          <w:rFonts w:hint="eastAsia" w:ascii="仿宋_GB2312" w:eastAsia="仿宋_GB2312"/>
          <w:sz w:val="28"/>
          <w:szCs w:val="28"/>
          <w:lang w:eastAsia="zh-CN"/>
        </w:rPr>
        <w:t>招标</w:t>
      </w:r>
      <w:r>
        <w:rPr>
          <w:rFonts w:hint="eastAsia" w:ascii="仿宋_GB2312" w:eastAsia="仿宋_GB2312"/>
          <w:sz w:val="28"/>
          <w:szCs w:val="28"/>
        </w:rPr>
        <w:t>方同意前提下，不得将项目转包，一经发现证实，所转包项目将不予结算</w:t>
      </w:r>
      <w:r>
        <w:rPr>
          <w:rFonts w:hint="eastAsia" w:ascii="仿宋_GB2312" w:eastAsia="仿宋_GB2312"/>
          <w:sz w:val="28"/>
          <w:szCs w:val="28"/>
          <w:lang w:eastAsia="zh-CN"/>
        </w:rPr>
        <w:t>并追究相应责任。</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ascii="仿宋_GB2312" w:eastAsia="仿宋_GB2312"/>
          <w:sz w:val="28"/>
          <w:szCs w:val="28"/>
        </w:rPr>
      </w:pPr>
      <w:r>
        <w:rPr>
          <w:rFonts w:hint="eastAsia" w:ascii="仿宋_GB2312" w:eastAsia="仿宋_GB2312"/>
          <w:sz w:val="28"/>
          <w:szCs w:val="28"/>
          <w:lang w:val="en-US" w:eastAsia="zh-CN"/>
        </w:rPr>
        <w:t>6）</w:t>
      </w:r>
      <w:r>
        <w:rPr>
          <w:rFonts w:hint="eastAsia" w:ascii="仿宋_GB2312" w:eastAsia="仿宋_GB2312"/>
          <w:sz w:val="28"/>
          <w:szCs w:val="28"/>
        </w:rPr>
        <w:t>投标方如对此比价文件或项目有任何疑问，请与神华上航疏浚有限责任公司</w:t>
      </w:r>
      <w:r>
        <w:rPr>
          <w:rFonts w:hint="eastAsia" w:ascii="仿宋_GB2312" w:eastAsia="仿宋_GB2312"/>
          <w:sz w:val="28"/>
          <w:szCs w:val="28"/>
          <w:lang w:eastAsia="zh-CN"/>
        </w:rPr>
        <w:t>安全监察部</w:t>
      </w:r>
      <w:r>
        <w:rPr>
          <w:rFonts w:hint="eastAsia" w:ascii="仿宋_GB2312" w:eastAsia="仿宋_GB2312"/>
          <w:sz w:val="28"/>
          <w:szCs w:val="28"/>
        </w:rPr>
        <w:t>联系，电话：0317-5811</w:t>
      </w:r>
      <w:r>
        <w:rPr>
          <w:rFonts w:hint="eastAsia" w:ascii="仿宋_GB2312" w:eastAsia="仿宋_GB2312"/>
          <w:sz w:val="28"/>
          <w:szCs w:val="28"/>
          <w:lang w:val="en-US" w:eastAsia="zh-CN"/>
        </w:rPr>
        <w:t>935</w:t>
      </w:r>
      <w:r>
        <w:rPr>
          <w:rFonts w:hint="eastAsia" w:ascii="仿宋_GB2312" w:eastAsia="仿宋_GB2312"/>
          <w:sz w:val="28"/>
          <w:szCs w:val="28"/>
        </w:rPr>
        <w:t xml:space="preserve"> 联系人：</w:t>
      </w:r>
      <w:r>
        <w:rPr>
          <w:rFonts w:hint="eastAsia" w:ascii="仿宋_GB2312" w:eastAsia="仿宋_GB2312"/>
          <w:sz w:val="28"/>
          <w:szCs w:val="28"/>
          <w:lang w:eastAsia="zh-CN"/>
        </w:rPr>
        <w:t>苑凯强。</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3、其他文件</w:t>
      </w:r>
    </w:p>
    <w:p>
      <w:pPr>
        <w:keepNext w:val="0"/>
        <w:keepLines w:val="0"/>
        <w:pageBreakBefore w:val="0"/>
        <w:numPr>
          <w:ilvl w:val="0"/>
          <w:numId w:val="3"/>
        </w:numPr>
        <w:kinsoku/>
        <w:overflowPunct/>
        <w:topLinePunct w:val="0"/>
        <w:autoSpaceDE/>
        <w:autoSpaceDN/>
        <w:bidi w:val="0"/>
        <w:adjustRightInd/>
        <w:snapToGrid/>
        <w:spacing w:line="600" w:lineRule="exact"/>
        <w:textAlignment w:val="auto"/>
        <w:rPr>
          <w:rFonts w:hint="eastAsia" w:ascii="仿宋_GB2312" w:eastAsia="仿宋_GB2312"/>
          <w:sz w:val="28"/>
          <w:szCs w:val="28"/>
        </w:rPr>
      </w:pPr>
      <w:r>
        <w:rPr>
          <w:rFonts w:hint="eastAsia" w:ascii="仿宋_GB2312" w:eastAsia="仿宋_GB2312"/>
          <w:sz w:val="28"/>
          <w:szCs w:val="28"/>
          <w:lang w:eastAsia="zh-CN"/>
        </w:rPr>
        <w:t>服务效果</w:t>
      </w:r>
      <w:r>
        <w:rPr>
          <w:rFonts w:hint="eastAsia" w:ascii="仿宋_GB2312" w:eastAsia="仿宋_GB2312"/>
          <w:sz w:val="28"/>
          <w:szCs w:val="28"/>
        </w:rPr>
        <w:t>保证措施，加盖公章；</w:t>
      </w:r>
    </w:p>
    <w:p>
      <w:pPr>
        <w:keepNext w:val="0"/>
        <w:keepLines w:val="0"/>
        <w:pageBreakBefore w:val="0"/>
        <w:numPr>
          <w:ilvl w:val="0"/>
          <w:numId w:val="3"/>
        </w:numPr>
        <w:kinsoku/>
        <w:overflowPunct/>
        <w:topLinePunct w:val="0"/>
        <w:autoSpaceDE/>
        <w:autoSpaceDN/>
        <w:bidi w:val="0"/>
        <w:adjustRightInd/>
        <w:snapToGrid/>
        <w:spacing w:line="600" w:lineRule="exact"/>
        <w:textAlignment w:val="auto"/>
        <w:rPr>
          <w:rFonts w:ascii="仿宋_GB2312" w:eastAsia="仿宋_GB2312"/>
          <w:sz w:val="28"/>
          <w:szCs w:val="28"/>
        </w:rPr>
      </w:pPr>
      <w:r>
        <w:rPr>
          <w:rFonts w:hint="eastAsia" w:ascii="仿宋_GB2312" w:eastAsia="仿宋_GB2312"/>
          <w:sz w:val="28"/>
          <w:szCs w:val="28"/>
        </w:rPr>
        <w:t>历史业绩，加盖公章；</w:t>
      </w:r>
    </w:p>
    <w:p>
      <w:pPr>
        <w:keepNext w:val="0"/>
        <w:keepLines w:val="0"/>
        <w:pageBreakBefore w:val="0"/>
        <w:numPr>
          <w:ilvl w:val="0"/>
          <w:numId w:val="3"/>
        </w:numPr>
        <w:kinsoku/>
        <w:overflowPunct/>
        <w:topLinePunct w:val="0"/>
        <w:autoSpaceDE/>
        <w:autoSpaceDN/>
        <w:bidi w:val="0"/>
        <w:adjustRightInd/>
        <w:snapToGrid/>
        <w:spacing w:line="600" w:lineRule="exact"/>
        <w:textAlignment w:val="auto"/>
        <w:rPr>
          <w:rFonts w:ascii="仿宋_GB2312" w:eastAsia="仿宋_GB2312"/>
          <w:sz w:val="28"/>
          <w:szCs w:val="28"/>
        </w:rPr>
      </w:pPr>
      <w:r>
        <w:rPr>
          <w:rFonts w:hint="eastAsia" w:ascii="仿宋_GB2312" w:eastAsia="仿宋_GB2312"/>
          <w:sz w:val="28"/>
          <w:szCs w:val="28"/>
        </w:rPr>
        <w:t>其他投标人认为需要说明的事项。</w:t>
      </w:r>
    </w:p>
    <w:p>
      <w:pPr>
        <w:keepNext w:val="0"/>
        <w:keepLines w:val="0"/>
        <w:pageBreakBefore w:val="0"/>
        <w:numPr>
          <w:ilvl w:val="0"/>
          <w:numId w:val="0"/>
        </w:numPr>
        <w:kinsoku/>
        <w:overflowPunct/>
        <w:topLinePunct w:val="0"/>
        <w:autoSpaceDE/>
        <w:autoSpaceDN/>
        <w:bidi w:val="0"/>
        <w:adjustRightInd/>
        <w:snapToGrid/>
        <w:spacing w:line="600" w:lineRule="exact"/>
        <w:textAlignment w:val="auto"/>
        <w:rPr>
          <w:rFonts w:hint="eastAsia" w:ascii="仿宋_GB2312" w:hAnsi="宋体" w:eastAsia="仿宋_GB2312"/>
          <w:b/>
          <w:sz w:val="28"/>
          <w:szCs w:val="28"/>
        </w:rPr>
      </w:pPr>
      <w:r>
        <w:rPr>
          <w:rFonts w:hint="eastAsia" w:ascii="仿宋_GB2312" w:hAnsi="宋体" w:eastAsia="仿宋_GB2312"/>
          <w:b/>
          <w:sz w:val="28"/>
          <w:szCs w:val="28"/>
        </w:rPr>
        <w:t>三、投标文件的编制及提交</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1、投标文件由投标人参照比价文件的要求编写，采用法定计量单位、规范的中文术语，字迹清楚，涂改之处要加盖印章。</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2、投标文件须由投标单位法定代表人或其委托代理人签署并加盖法人单位公章。</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3、投标文件正本与副本均应使用不能擦去的墨水打印或书写。</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4、投标文件应按照比价文件要求的顺序装订成册；投标文件中的各种资质证明材料应一并装订。</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eastAsia="仿宋_GB2312"/>
          <w:sz w:val="28"/>
          <w:szCs w:val="28"/>
        </w:rPr>
      </w:pPr>
      <w:r>
        <w:rPr>
          <w:rFonts w:hint="eastAsia" w:ascii="仿宋_GB2312" w:hAnsi="宋体" w:eastAsia="仿宋_GB2312"/>
          <w:sz w:val="28"/>
          <w:szCs w:val="28"/>
        </w:rPr>
        <w:t>5、</w:t>
      </w:r>
      <w:r>
        <w:rPr>
          <w:rFonts w:ascii="仿宋_GB2312" w:eastAsia="仿宋_GB2312"/>
          <w:sz w:val="28"/>
          <w:szCs w:val="28"/>
        </w:rPr>
        <w:t>比价文件一式两份（正本、副本各一份，并各加盖“正本、副本”印章），胶装装订成册，不得活页装订，编制清晰目录，标注连续页码。同时</w:t>
      </w:r>
      <w:r>
        <w:rPr>
          <w:rFonts w:hint="eastAsia" w:ascii="仿宋_GB2312" w:eastAsia="仿宋_GB2312"/>
          <w:sz w:val="28"/>
          <w:szCs w:val="28"/>
        </w:rPr>
        <w:t>在开标时</w:t>
      </w:r>
      <w:r>
        <w:rPr>
          <w:rFonts w:ascii="仿宋_GB2312" w:eastAsia="仿宋_GB2312"/>
          <w:sz w:val="28"/>
          <w:szCs w:val="28"/>
        </w:rPr>
        <w:t>提交电子版比价文件一份（比价文件正本签字盖章后扫描版，PDF格式）</w:t>
      </w:r>
      <w:r>
        <w:rPr>
          <w:rFonts w:hint="eastAsia" w:ascii="仿宋_GB2312" w:eastAsia="仿宋_GB2312"/>
          <w:sz w:val="28"/>
          <w:szCs w:val="28"/>
        </w:rPr>
        <w:t>。</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6、所有投标文件必须提交1套正本与1套副本，并标注“正本”和“副本”字样。当正本和副本之间出现差异时，以正本为准。</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7、所有投标文件需委派专人送达或邮寄至神华上航疏浚公司</w:t>
      </w:r>
      <w:r>
        <w:rPr>
          <w:rFonts w:hint="eastAsia" w:ascii="仿宋_GB2312" w:hAnsi="宋体" w:eastAsia="仿宋_GB2312"/>
          <w:sz w:val="28"/>
          <w:szCs w:val="28"/>
          <w:lang w:eastAsia="zh-CN"/>
        </w:rPr>
        <w:t>安全监察</w:t>
      </w:r>
      <w:r>
        <w:rPr>
          <w:rFonts w:hint="eastAsia" w:ascii="仿宋_GB2312" w:hAnsi="宋体" w:eastAsia="仿宋_GB2312"/>
          <w:sz w:val="28"/>
          <w:szCs w:val="28"/>
        </w:rPr>
        <w:t>部。</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8、由于不可抗拒的原因或无法控制的事件导致投标文件丢失或损坏，招标方将不承担任何责任。</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9、投标文件的修改与撤回</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⑴、在投标截止时间以后，不能更改投标文件。</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⑵、投标文件送达以后，如果投标方提出修改或撤标要求，应至少在投标截止时间前两天将书面申请送达招标方，但不退还投标文件。</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10、投标报价均以人民币报价。</w:t>
      </w:r>
    </w:p>
    <w:p>
      <w:pPr>
        <w:keepNext w:val="0"/>
        <w:keepLines w:val="0"/>
        <w:pageBreakBefore w:val="0"/>
        <w:kinsoku/>
        <w:overflowPunct/>
        <w:topLinePunct w:val="0"/>
        <w:autoSpaceDE/>
        <w:autoSpaceDN/>
        <w:bidi w:val="0"/>
        <w:adjustRightInd/>
        <w:snapToGrid/>
        <w:spacing w:line="600" w:lineRule="exact"/>
        <w:textAlignment w:val="auto"/>
        <w:rPr>
          <w:rFonts w:hint="eastAsia" w:ascii="仿宋_GB2312" w:hAnsi="宋体" w:eastAsia="仿宋_GB2312"/>
          <w:b/>
          <w:sz w:val="28"/>
          <w:szCs w:val="28"/>
        </w:rPr>
      </w:pPr>
      <w:r>
        <w:rPr>
          <w:rFonts w:hint="eastAsia" w:ascii="仿宋_GB2312" w:hAnsi="宋体" w:eastAsia="仿宋_GB2312"/>
          <w:b/>
          <w:sz w:val="28"/>
          <w:szCs w:val="28"/>
        </w:rPr>
        <w:t>四、开标</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1、开标会议由招标方确定时间、地点、方式。</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2、投标文件有下列情况之一者将视为无效。</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1)、投标文件未按规定标注、密封。</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2)、未按规定的格式填写，内容不全或字迹模糊辨认不清。</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3)、任何不完整或不满足比价要求的投标书。</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 开标时，招标方有权就投标文件中含混之处向投标方提出询问或澄清要求。</w:t>
      </w:r>
    </w:p>
    <w:p>
      <w:pPr>
        <w:keepNext w:val="0"/>
        <w:keepLines w:val="0"/>
        <w:pageBreakBefore w:val="0"/>
        <w:kinsoku/>
        <w:overflowPunct/>
        <w:topLinePunct w:val="0"/>
        <w:autoSpaceDE/>
        <w:autoSpaceDN/>
        <w:bidi w:val="0"/>
        <w:adjustRightInd/>
        <w:snapToGrid/>
        <w:spacing w:line="600" w:lineRule="exact"/>
        <w:textAlignment w:val="auto"/>
        <w:rPr>
          <w:rFonts w:hint="eastAsia" w:ascii="仿宋_GB2312" w:hAnsi="宋体" w:eastAsia="仿宋_GB2312"/>
          <w:b/>
          <w:sz w:val="28"/>
          <w:szCs w:val="28"/>
        </w:rPr>
      </w:pPr>
      <w:r>
        <w:rPr>
          <w:rFonts w:hint="eastAsia" w:ascii="仿宋_GB2312" w:hAnsi="宋体" w:eastAsia="仿宋_GB2312"/>
          <w:b/>
          <w:sz w:val="28"/>
          <w:szCs w:val="28"/>
        </w:rPr>
        <w:t>五、评标标准</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1、评标办法</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ascii="仿宋_GB2312" w:hAnsi="宋体" w:eastAsia="仿宋_GB2312"/>
          <w:kern w:val="0"/>
          <w:sz w:val="28"/>
          <w:szCs w:val="28"/>
        </w:rPr>
      </w:pPr>
      <w:r>
        <w:rPr>
          <w:rFonts w:hint="eastAsia" w:ascii="仿宋_GB2312" w:hAnsi="宋体" w:eastAsia="仿宋_GB2312"/>
          <w:sz w:val="28"/>
          <w:szCs w:val="28"/>
        </w:rPr>
        <w:t>本项目评标</w:t>
      </w:r>
      <w:r>
        <w:rPr>
          <w:rFonts w:hint="eastAsia" w:ascii="仿宋_GB2312" w:hAnsi="宋体" w:eastAsia="仿宋_GB2312"/>
          <w:kern w:val="0"/>
          <w:sz w:val="28"/>
          <w:szCs w:val="28"/>
        </w:rPr>
        <w:t>采用</w:t>
      </w:r>
      <w:r>
        <w:rPr>
          <w:rFonts w:hint="eastAsia" w:ascii="仿宋_GB2312" w:hAnsi="宋体" w:eastAsia="仿宋_GB2312"/>
          <w:sz w:val="28"/>
          <w:szCs w:val="28"/>
        </w:rPr>
        <w:t>最低价中标法</w:t>
      </w:r>
      <w:r>
        <w:rPr>
          <w:rFonts w:hint="eastAsia" w:ascii="仿宋_GB2312" w:hAnsi="宋体" w:eastAsia="仿宋_GB2312"/>
          <w:kern w:val="0"/>
          <w:sz w:val="28"/>
          <w:szCs w:val="28"/>
        </w:rPr>
        <w:t>，</w:t>
      </w: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对满足比价文件实质要求的投标文件，按照评标价由低到高确认中标</w:t>
      </w:r>
      <w:r>
        <w:rPr>
          <w:rFonts w:hint="eastAsia" w:ascii="仿宋_GB2312" w:eastAsia="仿宋_GB2312"/>
          <w:color w:val="000000"/>
          <w:sz w:val="28"/>
          <w:szCs w:val="28"/>
          <w:lang w:eastAsia="zh-CN"/>
        </w:rPr>
        <w:t>服务商</w:t>
      </w:r>
      <w:r>
        <w:rPr>
          <w:rFonts w:hint="eastAsia" w:ascii="仿宋_GB2312" w:eastAsia="仿宋_GB2312"/>
          <w:color w:val="000000"/>
          <w:sz w:val="28"/>
          <w:szCs w:val="28"/>
        </w:rPr>
        <w:t>，投标报价相等的，由评标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根据</w:t>
      </w:r>
      <w:r>
        <w:rPr>
          <w:rFonts w:hint="eastAsia" w:ascii="仿宋_GB2312" w:eastAsia="仿宋_GB2312"/>
          <w:color w:val="000000"/>
          <w:sz w:val="28"/>
          <w:szCs w:val="28"/>
          <w:lang w:eastAsia="zh-CN"/>
        </w:rPr>
        <w:t>投标方服务项目资历的</w:t>
      </w:r>
      <w:r>
        <w:rPr>
          <w:rFonts w:hint="eastAsia" w:ascii="仿宋_GB2312" w:eastAsia="仿宋_GB2312"/>
          <w:color w:val="000000"/>
          <w:sz w:val="28"/>
          <w:szCs w:val="28"/>
        </w:rPr>
        <w:t>优劣程度确定最终中标</w:t>
      </w:r>
      <w:r>
        <w:rPr>
          <w:rFonts w:hint="eastAsia" w:ascii="仿宋_GB2312" w:eastAsia="仿宋_GB2312"/>
          <w:color w:val="000000"/>
          <w:sz w:val="28"/>
          <w:szCs w:val="28"/>
          <w:lang w:eastAsia="zh-CN"/>
        </w:rPr>
        <w:t>服务商</w:t>
      </w:r>
      <w:r>
        <w:rPr>
          <w:rFonts w:hint="eastAsia" w:ascii="仿宋_GB2312" w:eastAsia="仿宋_GB2312"/>
          <w:color w:val="000000"/>
          <w:sz w:val="28"/>
          <w:szCs w:val="28"/>
        </w:rPr>
        <w:t>。</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2、评标程序</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w:t>
      </w:r>
      <w:r>
        <w:rPr>
          <w:rFonts w:hint="eastAsia" w:ascii="仿宋_GB2312" w:eastAsia="仿宋_GB2312" w:cs="宋体"/>
          <w:color w:val="000000"/>
          <w:sz w:val="28"/>
          <w:szCs w:val="28"/>
        </w:rPr>
        <w:t>初步评审</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可以要求投标人提交投标内容中要求“资格证明文件”规定的有关证明和证件的原件，以便核验。评标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依据投标内容中要求的“资格证明文件”标准对投标文件进行初步评审。有一项不符合评审标准的，作废标处理。</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hAnsi="宋体" w:eastAsia="仿宋_GB2312"/>
          <w:sz w:val="28"/>
          <w:szCs w:val="28"/>
        </w:rPr>
        <w:t>2)</w:t>
      </w:r>
      <w:r>
        <w:rPr>
          <w:rFonts w:hint="eastAsia" w:ascii="仿宋_GB2312" w:eastAsia="仿宋_GB2312"/>
          <w:color w:val="000000"/>
          <w:sz w:val="28"/>
          <w:szCs w:val="28"/>
        </w:rPr>
        <w:t>投标人有以下情形之一的，其投标作废标处理：</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1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①</w:t>
      </w:r>
      <w:r>
        <w:rPr>
          <w:rFonts w:ascii="仿宋_GB2312" w:eastAsia="仿宋_GB2312"/>
          <w:color w:val="000000"/>
          <w:sz w:val="28"/>
          <w:szCs w:val="28"/>
        </w:rPr>
        <w:fldChar w:fldCharType="end"/>
      </w:r>
      <w:r>
        <w:rPr>
          <w:rFonts w:hint="eastAsia" w:ascii="仿宋_GB2312" w:eastAsia="仿宋_GB2312"/>
          <w:color w:val="000000"/>
          <w:sz w:val="28"/>
          <w:szCs w:val="28"/>
        </w:rPr>
        <w:t>比价文件第四项第2条规定的任何一种情形的；</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2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②</w:t>
      </w:r>
      <w:r>
        <w:rPr>
          <w:rFonts w:ascii="仿宋_GB2312" w:eastAsia="仿宋_GB2312"/>
          <w:color w:val="000000"/>
          <w:sz w:val="28"/>
          <w:szCs w:val="28"/>
        </w:rPr>
        <w:fldChar w:fldCharType="end"/>
      </w:r>
      <w:r>
        <w:rPr>
          <w:rFonts w:hint="eastAsia" w:ascii="仿宋_GB2312" w:eastAsia="仿宋_GB2312"/>
          <w:color w:val="000000"/>
          <w:sz w:val="28"/>
          <w:szCs w:val="28"/>
        </w:rPr>
        <w:t>串通投标或弄虚作假或有其他违法行为的；</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3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③</w:t>
      </w:r>
      <w:r>
        <w:rPr>
          <w:rFonts w:ascii="仿宋_GB2312" w:eastAsia="仿宋_GB2312"/>
          <w:color w:val="000000"/>
          <w:sz w:val="28"/>
          <w:szCs w:val="28"/>
        </w:rPr>
        <w:fldChar w:fldCharType="end"/>
      </w:r>
      <w:r>
        <w:rPr>
          <w:rFonts w:hint="eastAsia" w:ascii="仿宋_GB2312" w:eastAsia="仿宋_GB2312"/>
          <w:color w:val="000000"/>
          <w:sz w:val="28"/>
          <w:szCs w:val="28"/>
        </w:rPr>
        <w:t>不按评标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要求澄清、说明或补正的。</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hAnsi="宋体" w:eastAsia="仿宋_GB2312"/>
          <w:sz w:val="28"/>
          <w:szCs w:val="28"/>
        </w:rPr>
        <w:t>3)</w:t>
      </w:r>
      <w:r>
        <w:rPr>
          <w:rFonts w:hint="eastAsia" w:ascii="仿宋_GB2312" w:eastAsia="仿宋_GB2312"/>
          <w:color w:val="000000"/>
          <w:sz w:val="28"/>
          <w:szCs w:val="28"/>
        </w:rPr>
        <w:t>投标报价有算术错误的，评标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按以下原则对投标报价进行修正，修正的价格经投标人书面确认后具有约束力。投标人不接受修正价格的，其投标作废标处理。</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1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①</w:t>
      </w:r>
      <w:r>
        <w:rPr>
          <w:rFonts w:ascii="仿宋_GB2312" w:eastAsia="仿宋_GB2312"/>
          <w:color w:val="000000"/>
          <w:sz w:val="28"/>
          <w:szCs w:val="28"/>
        </w:rPr>
        <w:fldChar w:fldCharType="end"/>
      </w:r>
      <w:r>
        <w:rPr>
          <w:rFonts w:hint="eastAsia" w:ascii="仿宋_GB2312" w:eastAsia="仿宋_GB2312"/>
          <w:color w:val="000000"/>
          <w:sz w:val="28"/>
          <w:szCs w:val="28"/>
        </w:rPr>
        <w:t>投标文件中的大写金额与小写金额不一致的，以大写金额为准；</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2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②</w:t>
      </w:r>
      <w:r>
        <w:rPr>
          <w:rFonts w:ascii="仿宋_GB2312" w:eastAsia="仿宋_GB2312"/>
          <w:color w:val="000000"/>
          <w:sz w:val="28"/>
          <w:szCs w:val="28"/>
        </w:rPr>
        <w:fldChar w:fldCharType="end"/>
      </w:r>
      <w:r>
        <w:rPr>
          <w:rFonts w:hint="eastAsia" w:ascii="仿宋_GB2312" w:eastAsia="仿宋_GB2312"/>
          <w:color w:val="000000"/>
          <w:sz w:val="28"/>
          <w:szCs w:val="28"/>
        </w:rPr>
        <w:t>总价金额与依据单价计算出的结果不一致的，以单价金额为准修正总价，但单价金额小数点有明显错误的除外。</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ascii="仿宋_GB2312" w:eastAsia="仿宋_GB2312"/>
          <w:color w:val="000000"/>
          <w:sz w:val="28"/>
          <w:szCs w:val="28"/>
        </w:rPr>
      </w:pPr>
      <w:r>
        <w:rPr>
          <w:rFonts w:hint="eastAsia" w:ascii="仿宋_GB2312" w:eastAsia="仿宋_GB2312"/>
          <w:color w:val="000000"/>
          <w:sz w:val="28"/>
          <w:szCs w:val="28"/>
        </w:rPr>
        <w:t>算术性错误修正后的价格作为投标价。</w:t>
      </w:r>
      <w:bookmarkStart w:id="0" w:name="_Toc152042372"/>
      <w:bookmarkStart w:id="1" w:name="_Toc152045595"/>
      <w:bookmarkStart w:id="2" w:name="_Toc144974562"/>
      <w:bookmarkStart w:id="3" w:name="_Toc179632613"/>
      <w:bookmarkStart w:id="4" w:name="_Toc439752072"/>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hAnsi="宋体" w:eastAsia="仿宋_GB2312"/>
          <w:sz w:val="28"/>
          <w:szCs w:val="28"/>
        </w:rPr>
        <w:t>4)</w:t>
      </w:r>
      <w:r>
        <w:rPr>
          <w:rFonts w:hint="eastAsia" w:ascii="仿宋_GB2312" w:eastAsia="仿宋_GB2312" w:cs="宋体"/>
          <w:color w:val="000000"/>
          <w:sz w:val="28"/>
          <w:szCs w:val="28"/>
        </w:rPr>
        <w:t>详细评审</w:t>
      </w:r>
      <w:bookmarkEnd w:id="0"/>
      <w:bookmarkEnd w:id="1"/>
      <w:bookmarkEnd w:id="2"/>
      <w:bookmarkEnd w:id="3"/>
      <w:bookmarkEnd w:id="4"/>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ascii="仿宋_GB2312" w:eastAsia="仿宋_GB2312"/>
          <w:color w:val="000000"/>
          <w:sz w:val="28"/>
          <w:szCs w:val="28"/>
        </w:rPr>
      </w:pP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发现投标人的报价明显低于其他投标报价，或者在设有标底时明显低于标底，使得其投标报价可能低于其成本的，应当要求该投标人作出书面说明并提供相应的证明材料。投标人不能合理说明或者不能提供相应证明材料的，由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认定该投标人以低于成本报价竞标，其投标作废标处理。</w:t>
      </w:r>
      <w:bookmarkStart w:id="5" w:name="_Toc144974563"/>
      <w:bookmarkStart w:id="6" w:name="_Toc439752073"/>
      <w:bookmarkStart w:id="7" w:name="_Toc152042373"/>
      <w:bookmarkStart w:id="8" w:name="_Toc179632614"/>
      <w:bookmarkStart w:id="9" w:name="_Toc152045596"/>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hAnsi="宋体" w:eastAsia="仿宋_GB2312"/>
          <w:sz w:val="28"/>
          <w:szCs w:val="28"/>
        </w:rPr>
        <w:t>5</w:t>
      </w:r>
      <w:r>
        <w:rPr>
          <w:rFonts w:hint="eastAsia" w:ascii="仿宋_GB2312" w:hAnsi="宋体" w:eastAsia="仿宋_GB2312"/>
          <w:sz w:val="28"/>
          <w:szCs w:val="28"/>
        </w:rPr>
        <w:t>)</w:t>
      </w:r>
      <w:r>
        <w:rPr>
          <w:rFonts w:hint="eastAsia" w:ascii="仿宋_GB2312" w:eastAsia="仿宋_GB2312" w:cs="宋体"/>
          <w:color w:val="000000"/>
          <w:sz w:val="28"/>
          <w:szCs w:val="28"/>
        </w:rPr>
        <w:t>投标文件的澄清</w:t>
      </w:r>
      <w:bookmarkEnd w:id="5"/>
      <w:r>
        <w:rPr>
          <w:rFonts w:hint="eastAsia" w:ascii="仿宋_GB2312" w:eastAsia="仿宋_GB2312" w:cs="宋体"/>
          <w:color w:val="000000"/>
          <w:sz w:val="28"/>
          <w:szCs w:val="28"/>
        </w:rPr>
        <w:t>和补正</w:t>
      </w:r>
      <w:bookmarkEnd w:id="6"/>
      <w:bookmarkEnd w:id="7"/>
      <w:bookmarkEnd w:id="8"/>
      <w:bookmarkEnd w:id="9"/>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1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①</w:t>
      </w:r>
      <w:r>
        <w:rPr>
          <w:rFonts w:ascii="仿宋_GB2312" w:eastAsia="仿宋_GB2312"/>
          <w:color w:val="000000"/>
          <w:sz w:val="28"/>
          <w:szCs w:val="28"/>
        </w:rPr>
        <w:fldChar w:fldCharType="end"/>
      </w:r>
      <w:r>
        <w:rPr>
          <w:rFonts w:hint="eastAsia" w:ascii="仿宋_GB2312" w:eastAsia="仿宋_GB2312"/>
          <w:color w:val="000000"/>
          <w:sz w:val="28"/>
          <w:szCs w:val="28"/>
        </w:rPr>
        <w:t>在评标过程中，评标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可以书面形式要求投标人对所提交的投标文件中不明确的内容进行书面澄清或说明，或者对细微偏差进行补正。评标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不接受投标人主动提出的澄清、说明或补正。</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2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②</w:t>
      </w:r>
      <w:r>
        <w:rPr>
          <w:rFonts w:ascii="仿宋_GB2312" w:eastAsia="仿宋_GB2312"/>
          <w:color w:val="000000"/>
          <w:sz w:val="28"/>
          <w:szCs w:val="28"/>
        </w:rPr>
        <w:fldChar w:fldCharType="end"/>
      </w:r>
      <w:r>
        <w:rPr>
          <w:rFonts w:hint="eastAsia" w:ascii="仿宋_GB2312" w:eastAsia="仿宋_GB2312"/>
          <w:color w:val="000000"/>
          <w:sz w:val="28"/>
          <w:szCs w:val="28"/>
        </w:rPr>
        <w:t>澄清、说明和补正不得改变投标文件的实质性内容（算术性错误修正的除外）。投标人的书面澄清、说明和补正属于投标文件的组成部分。</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hAnsi="宋体" w:eastAsia="仿宋_GB2312"/>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3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③</w:t>
      </w:r>
      <w:r>
        <w:rPr>
          <w:rFonts w:ascii="仿宋_GB2312" w:eastAsia="仿宋_GB2312"/>
          <w:color w:val="000000"/>
          <w:sz w:val="28"/>
          <w:szCs w:val="28"/>
        </w:rPr>
        <w:fldChar w:fldCharType="end"/>
      </w: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对投标人提交的澄清、说明或补正有疑问的，可以要求投标人进一步澄清、说明或补正，直至满足评标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的要求。</w:t>
      </w:r>
    </w:p>
    <w:p>
      <w:pPr>
        <w:keepNext w:val="0"/>
        <w:keepLines w:val="0"/>
        <w:pageBreakBefore w:val="0"/>
        <w:kinsoku/>
        <w:overflowPunct/>
        <w:topLinePunct w:val="0"/>
        <w:autoSpaceDE/>
        <w:autoSpaceDN/>
        <w:bidi w:val="0"/>
        <w:adjustRightInd/>
        <w:snapToGrid/>
        <w:spacing w:line="600" w:lineRule="exact"/>
        <w:textAlignment w:val="auto"/>
        <w:rPr>
          <w:rFonts w:hint="eastAsia" w:ascii="仿宋_GB2312" w:hAnsi="宋体" w:eastAsia="仿宋_GB2312"/>
          <w:b/>
          <w:sz w:val="28"/>
          <w:szCs w:val="28"/>
        </w:rPr>
      </w:pPr>
      <w:r>
        <w:rPr>
          <w:rFonts w:hint="eastAsia" w:ascii="仿宋_GB2312" w:hAnsi="宋体" w:eastAsia="仿宋_GB2312"/>
          <w:b/>
          <w:sz w:val="28"/>
          <w:szCs w:val="28"/>
        </w:rPr>
        <w:t>六、结算方式</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60" w:firstLineChars="200"/>
        <w:jc w:val="both"/>
        <w:textAlignment w:val="auto"/>
        <w:outlineLvl w:val="9"/>
        <w:rPr>
          <w:rFonts w:hint="eastAsia" w:ascii="仿宋_GB2312" w:hAnsi="宋体" w:eastAsia="仿宋_GB2312"/>
          <w:sz w:val="28"/>
          <w:szCs w:val="28"/>
          <w:lang w:eastAsia="zh-CN"/>
        </w:rPr>
      </w:pPr>
      <w:r>
        <w:rPr>
          <w:rFonts w:hint="eastAsia" w:ascii="仿宋_GB2312" w:hAnsi="宋体" w:eastAsia="仿宋_GB2312"/>
          <w:sz w:val="28"/>
          <w:szCs w:val="28"/>
        </w:rPr>
        <w:t>此</w:t>
      </w:r>
      <w:r>
        <w:rPr>
          <w:rFonts w:hint="eastAsia" w:ascii="仿宋_GB2312" w:hAnsi="宋体" w:eastAsia="仿宋_GB2312"/>
          <w:sz w:val="28"/>
          <w:szCs w:val="28"/>
          <w:lang w:eastAsia="zh-CN"/>
        </w:rPr>
        <w:t>项船舶污染物清除服务期限为</w:t>
      </w:r>
      <w:r>
        <w:rPr>
          <w:rFonts w:hint="eastAsia" w:ascii="仿宋_GB2312" w:hAnsi="宋体" w:eastAsia="仿宋_GB2312"/>
          <w:sz w:val="28"/>
          <w:szCs w:val="28"/>
          <w:lang w:val="en-US" w:eastAsia="zh-CN"/>
        </w:rPr>
        <w:t>2018年全年度</w:t>
      </w:r>
      <w:r>
        <w:rPr>
          <w:rFonts w:hint="eastAsia" w:ascii="仿宋_GB2312" w:hAnsi="宋体" w:eastAsia="仿宋_GB2312"/>
          <w:sz w:val="28"/>
          <w:szCs w:val="28"/>
        </w:rPr>
        <w:t>，</w:t>
      </w:r>
      <w:r>
        <w:rPr>
          <w:rFonts w:hint="eastAsia" w:ascii="仿宋_GB2312" w:hAnsi="宋体" w:eastAsia="仿宋_GB2312"/>
          <w:sz w:val="28"/>
          <w:szCs w:val="28"/>
          <w:lang w:eastAsia="zh-CN"/>
        </w:rPr>
        <w:t>中标方在签订完成服务协议后一次性结算服务款，服务商</w:t>
      </w:r>
      <w:r>
        <w:rPr>
          <w:rFonts w:hint="eastAsia" w:ascii="仿宋_GB2312" w:hAnsi="宋体" w:eastAsia="仿宋_GB2312"/>
          <w:sz w:val="28"/>
          <w:szCs w:val="28"/>
        </w:rPr>
        <w:t>开具</w:t>
      </w:r>
      <w:r>
        <w:rPr>
          <w:rFonts w:ascii="仿宋_GB2312" w:hAnsi="宋体" w:eastAsia="仿宋_GB2312"/>
          <w:sz w:val="28"/>
          <w:szCs w:val="28"/>
        </w:rPr>
        <w:t>增值税专用发票后</w:t>
      </w:r>
      <w:r>
        <w:rPr>
          <w:rFonts w:hint="eastAsia" w:ascii="仿宋_GB2312" w:hAnsi="宋体" w:eastAsia="仿宋_GB2312"/>
          <w:sz w:val="28"/>
          <w:szCs w:val="28"/>
        </w:rPr>
        <w:t>1个月内支付</w:t>
      </w:r>
      <w:r>
        <w:rPr>
          <w:rFonts w:hint="eastAsia" w:ascii="仿宋_GB2312" w:hAnsi="宋体" w:eastAsia="仿宋_GB2312"/>
          <w:sz w:val="28"/>
          <w:szCs w:val="28"/>
          <w:lang w:eastAsia="zh-CN"/>
        </w:rPr>
        <w:t>费用账款</w:t>
      </w:r>
      <w:r>
        <w:rPr>
          <w:rFonts w:hint="eastAsia" w:ascii="仿宋_GB2312" w:hAnsi="宋体" w:eastAsia="仿宋_GB2312"/>
          <w:sz w:val="28"/>
          <w:szCs w:val="28"/>
        </w:rPr>
        <w:t>。</w:t>
      </w:r>
    </w:p>
    <w:p>
      <w:pPr>
        <w:keepNext w:val="0"/>
        <w:keepLines w:val="0"/>
        <w:pageBreakBefore w:val="0"/>
        <w:kinsoku/>
        <w:overflowPunct/>
        <w:topLinePunct w:val="0"/>
        <w:autoSpaceDE/>
        <w:autoSpaceDN/>
        <w:bidi w:val="0"/>
        <w:adjustRightInd/>
        <w:snapToGrid/>
        <w:spacing w:line="600" w:lineRule="exact"/>
        <w:jc w:val="right"/>
        <w:textAlignment w:val="auto"/>
        <w:rPr>
          <w:rFonts w:hint="eastAsia" w:ascii="仿宋_GB2312" w:hAnsi="宋体" w:eastAsia="仿宋_GB2312"/>
          <w:sz w:val="28"/>
          <w:szCs w:val="28"/>
        </w:rPr>
      </w:pPr>
      <w:r>
        <w:rPr>
          <w:rFonts w:hint="eastAsia" w:ascii="仿宋_GB2312" w:hAnsi="宋体" w:eastAsia="仿宋_GB2312"/>
          <w:sz w:val="28"/>
          <w:szCs w:val="28"/>
          <w:lang w:eastAsia="zh-CN"/>
        </w:rPr>
        <w:t>神华上航疏浚有限责任公司安全监察</w:t>
      </w:r>
      <w:r>
        <w:rPr>
          <w:rFonts w:hint="eastAsia" w:ascii="仿宋_GB2312" w:hAnsi="宋体" w:eastAsia="仿宋_GB2312"/>
          <w:sz w:val="28"/>
          <w:szCs w:val="28"/>
        </w:rPr>
        <w:t>部</w:t>
      </w:r>
    </w:p>
    <w:p>
      <w:pPr>
        <w:keepNext w:val="0"/>
        <w:keepLines w:val="0"/>
        <w:pageBreakBefore w:val="0"/>
        <w:kinsoku/>
        <w:wordWrap/>
        <w:overflowPunct/>
        <w:topLinePunct w:val="0"/>
        <w:autoSpaceDE/>
        <w:autoSpaceDN/>
        <w:bidi w:val="0"/>
        <w:adjustRightInd/>
        <w:snapToGrid/>
        <w:spacing w:line="600" w:lineRule="exact"/>
        <w:ind w:firstLine="599" w:firstLineChars="214"/>
        <w:jc w:val="left"/>
        <w:textAlignment w:val="auto"/>
        <w:rPr>
          <w:rFonts w:hint="eastAsia" w:ascii="仿宋_GB2312" w:hAnsi="PMingLiU" w:eastAsia="仿宋_GB2312"/>
          <w:spacing w:val="8"/>
          <w:sz w:val="28"/>
          <w:szCs w:val="28"/>
        </w:rPr>
      </w:pPr>
      <w:r>
        <w:rPr>
          <w:rFonts w:hint="eastAsia" w:ascii="仿宋_GB2312" w:hAnsi="宋体" w:eastAsia="仿宋_GB2312"/>
          <w:sz w:val="28"/>
          <w:szCs w:val="28"/>
        </w:rPr>
        <w:t xml:space="preserve">                        </w:t>
      </w:r>
      <w:r>
        <w:rPr>
          <w:rFonts w:hint="eastAsia" w:ascii="仿宋_GB2312" w:hAnsi="宋体" w:eastAsia="仿宋_GB2312"/>
          <w:sz w:val="28"/>
          <w:szCs w:val="28"/>
          <w:lang w:val="en-US" w:eastAsia="zh-CN"/>
        </w:rPr>
        <w:t xml:space="preserve">      </w:t>
      </w:r>
      <w:r>
        <w:rPr>
          <w:rFonts w:hint="eastAsia" w:ascii="仿宋_GB2312" w:hAnsi="PMingLiU" w:eastAsia="仿宋_GB2312"/>
          <w:spacing w:val="8"/>
          <w:sz w:val="30"/>
          <w:szCs w:val="30"/>
          <w:lang w:val="en-US" w:eastAsia="zh-CN"/>
        </w:rPr>
        <w:t>2017年12月26日</w:t>
      </w:r>
    </w:p>
    <w:p>
      <w:pPr>
        <w:keepNext w:val="0"/>
        <w:keepLines w:val="0"/>
        <w:pageBreakBefore w:val="0"/>
        <w:kinsoku/>
        <w:overflowPunct/>
        <w:topLinePunct w:val="0"/>
        <w:autoSpaceDE/>
        <w:autoSpaceDN/>
        <w:bidi w:val="0"/>
        <w:adjustRightInd/>
        <w:snapToGrid/>
        <w:spacing w:line="600" w:lineRule="exact"/>
        <w:ind w:right="632" w:firstLine="599" w:firstLineChars="214"/>
        <w:jc w:val="center"/>
        <w:textAlignment w:val="auto"/>
        <w:rPr>
          <w:rFonts w:hint="eastAsia" w:ascii="仿宋_GB2312" w:hAnsi="宋体" w:eastAsia="仿宋_GB2312" w:cs="宋体"/>
          <w:color w:val="000000"/>
          <w:kern w:val="0"/>
          <w:sz w:val="28"/>
          <w:szCs w:val="28"/>
        </w:rPr>
      </w:pPr>
    </w:p>
    <w:p>
      <w:pPr>
        <w:keepNext w:val="0"/>
        <w:keepLines w:val="0"/>
        <w:pageBreakBefore w:val="0"/>
        <w:kinsoku/>
        <w:overflowPunct/>
        <w:topLinePunct w:val="0"/>
        <w:autoSpaceDE/>
        <w:autoSpaceDN/>
        <w:bidi w:val="0"/>
        <w:adjustRightInd/>
        <w:snapToGrid/>
        <w:spacing w:line="600" w:lineRule="exact"/>
        <w:textAlignment w:val="auto"/>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00"/>
    <w:family w:val="swiss"/>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PMingLiU">
    <w:panose1 w:val="02020500000000000000"/>
    <w:charset w:val="88"/>
    <w:family w:val="roman"/>
    <w:pitch w:val="default"/>
    <w:sig w:usb0="A00002FF" w:usb1="2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方正小标宋简体">
    <w:panose1 w:val="03000509000000000000"/>
    <w:charset w:val="86"/>
    <w:family w:val="auto"/>
    <w:pitch w:val="default"/>
    <w:sig w:usb0="00000001" w:usb1="080E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4E12C3"/>
    <w:multiLevelType w:val="multilevel"/>
    <w:tmpl w:val="364E12C3"/>
    <w:lvl w:ilvl="0" w:tentative="0">
      <w:start w:val="1"/>
      <w:numFmt w:val="decimal"/>
      <w:lvlText w:val="%1)"/>
      <w:lvlJc w:val="left"/>
      <w:pPr>
        <w:ind w:left="1120" w:hanging="420"/>
      </w:pPr>
    </w:lvl>
    <w:lvl w:ilvl="1" w:tentative="0">
      <w:start w:val="1"/>
      <w:numFmt w:val="lowerLetter"/>
      <w:lvlText w:val="%2)"/>
      <w:lvlJc w:val="left"/>
      <w:pPr>
        <w:ind w:left="1540" w:hanging="420"/>
      </w:pPr>
    </w:lvl>
    <w:lvl w:ilvl="2" w:tentative="0">
      <w:start w:val="1"/>
      <w:numFmt w:val="lowerRoman"/>
      <w:lvlText w:val="%3."/>
      <w:lvlJc w:val="right"/>
      <w:pPr>
        <w:ind w:left="1960" w:hanging="420"/>
      </w:pPr>
    </w:lvl>
    <w:lvl w:ilvl="3" w:tentative="0">
      <w:start w:val="1"/>
      <w:numFmt w:val="decimal"/>
      <w:lvlText w:val="%4."/>
      <w:lvlJc w:val="left"/>
      <w:pPr>
        <w:ind w:left="2380" w:hanging="420"/>
      </w:pPr>
    </w:lvl>
    <w:lvl w:ilvl="4" w:tentative="0">
      <w:start w:val="1"/>
      <w:numFmt w:val="lowerLetter"/>
      <w:lvlText w:val="%5)"/>
      <w:lvlJc w:val="left"/>
      <w:pPr>
        <w:ind w:left="2800" w:hanging="420"/>
      </w:pPr>
    </w:lvl>
    <w:lvl w:ilvl="5" w:tentative="0">
      <w:start w:val="1"/>
      <w:numFmt w:val="lowerRoman"/>
      <w:lvlText w:val="%6."/>
      <w:lvlJc w:val="right"/>
      <w:pPr>
        <w:ind w:left="3220" w:hanging="420"/>
      </w:pPr>
    </w:lvl>
    <w:lvl w:ilvl="6" w:tentative="0">
      <w:start w:val="1"/>
      <w:numFmt w:val="decimal"/>
      <w:lvlText w:val="%7."/>
      <w:lvlJc w:val="left"/>
      <w:pPr>
        <w:ind w:left="3640" w:hanging="420"/>
      </w:pPr>
    </w:lvl>
    <w:lvl w:ilvl="7" w:tentative="0">
      <w:start w:val="1"/>
      <w:numFmt w:val="lowerLetter"/>
      <w:lvlText w:val="%8)"/>
      <w:lvlJc w:val="left"/>
      <w:pPr>
        <w:ind w:left="4060" w:hanging="420"/>
      </w:pPr>
    </w:lvl>
    <w:lvl w:ilvl="8" w:tentative="0">
      <w:start w:val="1"/>
      <w:numFmt w:val="lowerRoman"/>
      <w:lvlText w:val="%9."/>
      <w:lvlJc w:val="right"/>
      <w:pPr>
        <w:ind w:left="4480" w:hanging="420"/>
      </w:pPr>
    </w:lvl>
  </w:abstractNum>
  <w:abstractNum w:abstractNumId="1">
    <w:nsid w:val="5A3B37A4"/>
    <w:multiLevelType w:val="singleLevel"/>
    <w:tmpl w:val="5A3B37A4"/>
    <w:lvl w:ilvl="0" w:tentative="0">
      <w:start w:val="4"/>
      <w:numFmt w:val="decimal"/>
      <w:suff w:val="nothing"/>
      <w:lvlText w:val="%1）"/>
      <w:lvlJc w:val="left"/>
    </w:lvl>
  </w:abstractNum>
  <w:abstractNum w:abstractNumId="2">
    <w:nsid w:val="716B6D0B"/>
    <w:multiLevelType w:val="multilevel"/>
    <w:tmpl w:val="716B6D0B"/>
    <w:lvl w:ilvl="0" w:tentative="0">
      <w:start w:val="1"/>
      <w:numFmt w:val="decimal"/>
      <w:lvlText w:val="%1)"/>
      <w:lvlJc w:val="left"/>
      <w:pPr>
        <w:ind w:left="1050" w:hanging="420"/>
      </w:pPr>
      <w:rPr>
        <w:rFonts w:hint="eastAsia"/>
      </w:rPr>
    </w:lvl>
    <w:lvl w:ilvl="1" w:tentative="0">
      <w:start w:val="1"/>
      <w:numFmt w:val="lowerLetter"/>
      <w:lvlText w:val="%2)"/>
      <w:lvlJc w:val="left"/>
      <w:pPr>
        <w:ind w:left="761" w:hanging="420"/>
      </w:pPr>
    </w:lvl>
    <w:lvl w:ilvl="2" w:tentative="0">
      <w:start w:val="1"/>
      <w:numFmt w:val="lowerRoman"/>
      <w:lvlText w:val="%3."/>
      <w:lvlJc w:val="right"/>
      <w:pPr>
        <w:ind w:left="1181" w:hanging="420"/>
      </w:pPr>
    </w:lvl>
    <w:lvl w:ilvl="3" w:tentative="0">
      <w:start w:val="1"/>
      <w:numFmt w:val="decimal"/>
      <w:lvlText w:val="%4."/>
      <w:lvlJc w:val="left"/>
      <w:pPr>
        <w:ind w:left="1601" w:hanging="420"/>
      </w:pPr>
    </w:lvl>
    <w:lvl w:ilvl="4" w:tentative="0">
      <w:start w:val="1"/>
      <w:numFmt w:val="lowerLetter"/>
      <w:lvlText w:val="%5)"/>
      <w:lvlJc w:val="left"/>
      <w:pPr>
        <w:ind w:left="2021" w:hanging="420"/>
      </w:pPr>
    </w:lvl>
    <w:lvl w:ilvl="5" w:tentative="0">
      <w:start w:val="1"/>
      <w:numFmt w:val="lowerRoman"/>
      <w:lvlText w:val="%6."/>
      <w:lvlJc w:val="right"/>
      <w:pPr>
        <w:ind w:left="2441" w:hanging="420"/>
      </w:pPr>
    </w:lvl>
    <w:lvl w:ilvl="6" w:tentative="0">
      <w:start w:val="1"/>
      <w:numFmt w:val="decimal"/>
      <w:lvlText w:val="%7."/>
      <w:lvlJc w:val="left"/>
      <w:pPr>
        <w:ind w:left="2861" w:hanging="420"/>
      </w:pPr>
    </w:lvl>
    <w:lvl w:ilvl="7" w:tentative="0">
      <w:start w:val="1"/>
      <w:numFmt w:val="lowerLetter"/>
      <w:lvlText w:val="%8)"/>
      <w:lvlJc w:val="left"/>
      <w:pPr>
        <w:ind w:left="3281" w:hanging="420"/>
      </w:pPr>
    </w:lvl>
    <w:lvl w:ilvl="8" w:tentative="0">
      <w:start w:val="1"/>
      <w:numFmt w:val="lowerRoman"/>
      <w:lvlText w:val="%9."/>
      <w:lvlJc w:val="right"/>
      <w:pPr>
        <w:ind w:left="3701"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0E00AA"/>
    <w:rsid w:val="080E00AA"/>
    <w:rsid w:val="26A13E27"/>
    <w:rsid w:val="45343648"/>
    <w:rsid w:val="47A96FB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uiPriority w:val="0"/>
    <w:tblPr>
      <w:tblLayout w:type="fixed"/>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2017-12-21T02:36:00Z</dcterms:created>
  <dc:creator>苑凯强</dc:creator>
  <cp:lastModifiedBy>苑凯强</cp:lastModifiedBy>
  <dcterms:modified xsi:type="dcterms:W3CDTF">2017-12-26T03:35:09Z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