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6" w:firstLineChars="49"/>
        <w:jc w:val="center"/>
        <w:rPr>
          <w:rFonts w:ascii="仿宋_GB2312" w:hAnsi="宋体" w:eastAsia="仿宋_GB2312" w:cs="Times New Roman"/>
          <w:b/>
          <w:color w:val="auto"/>
          <w:sz w:val="32"/>
          <w:szCs w:val="32"/>
        </w:rPr>
      </w:pPr>
      <w:bookmarkStart w:id="0" w:name="_GoBack"/>
      <w:r>
        <w:rPr>
          <w:rFonts w:hint="eastAsia" w:ascii="仿宋_GB2312" w:hAnsi="宋体" w:eastAsia="仿宋_GB2312" w:cs="Times New Roman"/>
          <w:b/>
          <w:color w:val="auto"/>
          <w:sz w:val="32"/>
          <w:szCs w:val="32"/>
        </w:rPr>
        <w:t>神华上航疏浚有限责任公司“神华浚</w:t>
      </w:r>
      <w:r>
        <w:rPr>
          <w:rFonts w:hint="eastAsia" w:ascii="仿宋_GB2312" w:hAnsi="宋体" w:eastAsia="仿宋_GB2312" w:cs="Times New Roman"/>
          <w:b/>
          <w:color w:val="auto"/>
          <w:sz w:val="32"/>
          <w:szCs w:val="32"/>
          <w:lang w:val="en-US" w:eastAsia="zh-CN"/>
        </w:rPr>
        <w:t>7</w:t>
      </w:r>
      <w:r>
        <w:rPr>
          <w:rFonts w:hint="eastAsia" w:ascii="仿宋_GB2312" w:hAnsi="宋体" w:eastAsia="仿宋_GB2312" w:cs="Times New Roman"/>
          <w:b/>
          <w:color w:val="auto"/>
          <w:sz w:val="32"/>
          <w:szCs w:val="32"/>
        </w:rPr>
        <w:t>”轮</w:t>
      </w:r>
      <w:r>
        <w:rPr>
          <w:rFonts w:hint="eastAsia" w:ascii="仿宋_GB2312" w:hAnsi="宋体" w:eastAsia="仿宋_GB2312" w:cs="Times New Roman"/>
          <w:b/>
          <w:color w:val="auto"/>
          <w:sz w:val="32"/>
          <w:szCs w:val="32"/>
          <w:lang w:eastAsia="zh-CN"/>
        </w:rPr>
        <w:t>码头服务</w:t>
      </w:r>
      <w:r>
        <w:rPr>
          <w:rFonts w:ascii="仿宋_GB2312" w:hAnsi="宋体" w:eastAsia="仿宋_GB2312" w:cs="Times New Roman"/>
          <w:b/>
          <w:color w:val="auto"/>
          <w:sz w:val="32"/>
          <w:szCs w:val="32"/>
        </w:rPr>
        <w:t>项目</w:t>
      </w:r>
      <w:r>
        <w:rPr>
          <w:rFonts w:hint="eastAsia" w:ascii="仿宋_GB2312" w:hAnsi="宋体" w:eastAsia="仿宋_GB2312" w:cs="Times New Roman"/>
          <w:b/>
          <w:color w:val="auto"/>
          <w:sz w:val="32"/>
          <w:szCs w:val="32"/>
        </w:rPr>
        <w:t>密封比价文件</w:t>
      </w:r>
    </w:p>
    <w:p>
      <w:pPr>
        <w:ind w:firstLine="156" w:firstLineChars="49"/>
        <w:jc w:val="center"/>
        <w:rPr>
          <w:rFonts w:ascii="仿宋_GB2312" w:hAnsi="宋体" w:eastAsia="仿宋_GB2312" w:cs="Times New Roman"/>
          <w:b/>
          <w:color w:val="auto"/>
          <w:sz w:val="32"/>
          <w:szCs w:val="32"/>
        </w:rPr>
      </w:pPr>
    </w:p>
    <w:p>
      <w:pPr>
        <w:widowControl/>
        <w:numPr>
          <w:ilvl w:val="0"/>
          <w:numId w:val="1"/>
        </w:numPr>
        <w:tabs>
          <w:tab w:val="left" w:pos="420"/>
        </w:tabs>
        <w:spacing w:line="500" w:lineRule="exact"/>
        <w:jc w:val="left"/>
        <w:rPr>
          <w:rFonts w:ascii="仿宋_GB2312" w:hAnsi="宋体" w:eastAsia="仿宋_GB2312" w:cs="宋体"/>
          <w:color w:val="auto"/>
          <w:kern w:val="0"/>
          <w:sz w:val="24"/>
          <w:szCs w:val="21"/>
        </w:rPr>
      </w:pPr>
      <w:r>
        <w:rPr>
          <w:rFonts w:hint="eastAsia" w:ascii="仿宋_GB2312" w:hAnsi="宋体" w:eastAsia="仿宋_GB2312" w:cs="Times New Roman"/>
          <w:b/>
          <w:color w:val="auto"/>
          <w:sz w:val="28"/>
          <w:szCs w:val="28"/>
        </w:rPr>
        <w:t>投标人资质要求</w:t>
      </w:r>
    </w:p>
    <w:p>
      <w:pPr>
        <w:ind w:left="420" w:left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1、具有独立法人资格，有营业执照、税务登记证、注册资金</w:t>
      </w:r>
      <w:r>
        <w:rPr>
          <w:rFonts w:hint="eastAsia" w:ascii="仿宋_GB2312" w:hAnsi="宋体" w:eastAsia="仿宋_GB2312" w:cs="Times New Roman"/>
          <w:color w:val="auto"/>
          <w:sz w:val="28"/>
          <w:szCs w:val="28"/>
          <w:lang w:val="en-US" w:eastAsia="zh-CN"/>
        </w:rPr>
        <w:t>1</w:t>
      </w:r>
      <w:r>
        <w:rPr>
          <w:rFonts w:hint="eastAsia" w:ascii="仿宋_GB2312" w:hAnsi="宋体" w:eastAsia="仿宋_GB2312" w:cs="Times New Roman"/>
          <w:color w:val="auto"/>
          <w:sz w:val="28"/>
          <w:szCs w:val="28"/>
        </w:rPr>
        <w:t>00万元（含）以上。</w:t>
      </w:r>
    </w:p>
    <w:p>
      <w:pPr>
        <w:ind w:left="420" w:leftChars="200"/>
        <w:rPr>
          <w:rFonts w:ascii="仿宋_GB2312" w:hAnsi="宋体" w:eastAsia="仿宋_GB2312" w:cs="Times New Roman"/>
          <w:color w:val="auto"/>
          <w:sz w:val="28"/>
          <w:szCs w:val="28"/>
        </w:rPr>
      </w:pPr>
      <w:r>
        <w:rPr>
          <w:rFonts w:ascii="仿宋_GB2312" w:hAnsi="宋体" w:eastAsia="仿宋_GB2312" w:cs="Times New Roman"/>
          <w:color w:val="auto"/>
          <w:sz w:val="28"/>
          <w:szCs w:val="28"/>
        </w:rPr>
        <w:t>2</w:t>
      </w:r>
      <w:r>
        <w:rPr>
          <w:rFonts w:hint="eastAsia" w:ascii="仿宋_GB2312" w:hAnsi="宋体" w:eastAsia="仿宋_GB2312" w:cs="Times New Roman"/>
          <w:color w:val="auto"/>
          <w:sz w:val="28"/>
          <w:szCs w:val="28"/>
        </w:rPr>
        <w:t>、在人员、设备、资金上有保障能力。</w:t>
      </w:r>
    </w:p>
    <w:p>
      <w:pPr>
        <w:ind w:left="700" w:leftChars="200" w:hanging="280" w:hangingChars="10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二、标书需提供内容</w:t>
      </w:r>
    </w:p>
    <w:p>
      <w:pPr>
        <w:numPr>
          <w:ilvl w:val="0"/>
          <w:numId w:val="2"/>
        </w:numPr>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投标方资质证明文件</w:t>
      </w:r>
    </w:p>
    <w:p>
      <w:pPr>
        <w:numPr>
          <w:ilvl w:val="0"/>
          <w:numId w:val="3"/>
        </w:numPr>
        <w:jc w:val="left"/>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加盖投标单位公章的法人营业执照副本复印件。</w:t>
      </w:r>
    </w:p>
    <w:p>
      <w:pPr>
        <w:numPr>
          <w:ilvl w:val="0"/>
          <w:numId w:val="3"/>
        </w:numPr>
        <w:jc w:val="left"/>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投标方情况介绍（加盖公章）。</w:t>
      </w:r>
    </w:p>
    <w:p>
      <w:pPr>
        <w:pStyle w:val="109"/>
        <w:numPr>
          <w:ilvl w:val="0"/>
          <w:numId w:val="2"/>
        </w:numPr>
        <w:ind w:firstLineChars="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报价单及相关要求</w:t>
      </w:r>
    </w:p>
    <w:p>
      <w:pPr>
        <w:ind w:left="735" w:leftChars="350"/>
        <w:jc w:val="left"/>
        <w:rPr>
          <w:rFonts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lang w:val="en-US" w:eastAsia="zh-CN"/>
        </w:rPr>
        <w:t>1）</w:t>
      </w:r>
      <w:r>
        <w:rPr>
          <w:rFonts w:hint="eastAsia" w:ascii="仿宋_GB2312" w:hAnsi="Times New Roman" w:eastAsia="仿宋_GB2312" w:cs="Times New Roman"/>
          <w:color w:val="auto"/>
          <w:sz w:val="28"/>
          <w:szCs w:val="28"/>
        </w:rPr>
        <w:t>报价请严格按照修理单要求，逐项报单价、总价及汇总价格，不得漏项，漏报，不得出现“待定”、“暂定”或“现场定”等类似字样，投标方应充分考虑项目明细及所需附加工程和修理所需材料；</w:t>
      </w:r>
    </w:p>
    <w:p>
      <w:pPr>
        <w:ind w:firstLine="840" w:firstLineChars="300"/>
        <w:jc w:val="left"/>
        <w:rPr>
          <w:rFonts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lang w:val="en-US" w:eastAsia="zh-CN"/>
        </w:rPr>
        <w:t>2）</w:t>
      </w:r>
      <w:r>
        <w:rPr>
          <w:rFonts w:hint="eastAsia" w:ascii="仿宋_GB2312" w:hAnsi="Times New Roman" w:eastAsia="仿宋_GB2312" w:cs="Times New Roman"/>
          <w:color w:val="auto"/>
          <w:sz w:val="28"/>
          <w:szCs w:val="28"/>
        </w:rPr>
        <w:t>投标方如中标，在未经船东方同意前提下，不得随意将项目转包，一经发现证实，所转包项目将不予结算；</w:t>
      </w:r>
    </w:p>
    <w:p>
      <w:pPr>
        <w:ind w:left="709"/>
        <w:jc w:val="left"/>
        <w:rPr>
          <w:rFonts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lang w:val="en-US" w:eastAsia="zh-CN"/>
        </w:rPr>
        <w:t>3）</w:t>
      </w:r>
      <w:r>
        <w:rPr>
          <w:rFonts w:hint="eastAsia" w:ascii="仿宋_GB2312" w:hAnsi="Times New Roman" w:eastAsia="仿宋_GB2312" w:cs="Times New Roman"/>
          <w:color w:val="auto"/>
          <w:sz w:val="28"/>
          <w:szCs w:val="28"/>
        </w:rPr>
        <w:t>投标方如对此比价文件或项目有任何疑问或需要现场勘验，请与神华上航疏浚有限责任公司设备管理部联系，电话：0317-58119</w:t>
      </w:r>
      <w:r>
        <w:rPr>
          <w:rFonts w:hint="eastAsia" w:ascii="仿宋_GB2312" w:hAnsi="Times New Roman" w:eastAsia="仿宋_GB2312" w:cs="Times New Roman"/>
          <w:color w:val="auto"/>
          <w:sz w:val="28"/>
          <w:szCs w:val="28"/>
          <w:lang w:val="en-US" w:eastAsia="zh-CN"/>
        </w:rPr>
        <w:t>2</w:t>
      </w:r>
      <w:r>
        <w:rPr>
          <w:rFonts w:hint="eastAsia" w:ascii="仿宋_GB2312" w:hAnsi="Times New Roman" w:eastAsia="仿宋_GB2312" w:cs="Times New Roman"/>
          <w:color w:val="auto"/>
          <w:sz w:val="28"/>
          <w:szCs w:val="28"/>
        </w:rPr>
        <w:t xml:space="preserve">0 </w:t>
      </w:r>
      <w:r>
        <w:rPr>
          <w:rFonts w:hint="eastAsia" w:ascii="仿宋_GB2312" w:hAnsi="Times New Roman" w:eastAsia="仿宋_GB2312" w:cs="Times New Roman"/>
          <w:color w:val="auto"/>
          <w:sz w:val="28"/>
          <w:szCs w:val="28"/>
          <w:lang w:val="en-US" w:eastAsia="zh-CN"/>
        </w:rPr>
        <w:t xml:space="preserve">     </w:t>
      </w:r>
      <w:r>
        <w:rPr>
          <w:rFonts w:hint="eastAsia" w:ascii="仿宋_GB2312" w:hAnsi="Times New Roman" w:eastAsia="仿宋_GB2312" w:cs="Times New Roman"/>
          <w:color w:val="auto"/>
          <w:sz w:val="28"/>
          <w:szCs w:val="28"/>
        </w:rPr>
        <w:t>联系人：</w:t>
      </w:r>
      <w:r>
        <w:rPr>
          <w:rFonts w:hint="eastAsia" w:ascii="仿宋_GB2312" w:hAnsi="Times New Roman" w:eastAsia="仿宋_GB2312" w:cs="Times New Roman"/>
          <w:color w:val="auto"/>
          <w:sz w:val="28"/>
          <w:szCs w:val="28"/>
          <w:lang w:eastAsia="zh-CN"/>
        </w:rPr>
        <w:t>马大付</w:t>
      </w:r>
      <w:r>
        <w:rPr>
          <w:rFonts w:hint="eastAsia" w:ascii="仿宋_GB2312" w:hAnsi="Times New Roman" w:eastAsia="仿宋_GB2312" w:cs="Times New Roman"/>
          <w:color w:val="auto"/>
          <w:sz w:val="28"/>
          <w:szCs w:val="28"/>
        </w:rPr>
        <w:t>；</w:t>
      </w:r>
    </w:p>
    <w:p>
      <w:pPr>
        <w:rPr>
          <w:rFonts w:ascii="仿宋_GB2312" w:hAnsi="Times New Roman" w:eastAsia="仿宋_GB2312" w:cs="Times New Roman"/>
          <w:color w:val="auto"/>
          <w:sz w:val="28"/>
          <w:szCs w:val="28"/>
        </w:rPr>
      </w:pPr>
      <w:r>
        <w:rPr>
          <w:rFonts w:hint="eastAsia" w:ascii="仿宋_GB2312" w:hAnsi="宋体" w:eastAsia="仿宋_GB2312" w:cs="Times New Roman"/>
          <w:color w:val="auto"/>
          <w:sz w:val="28"/>
          <w:szCs w:val="28"/>
        </w:rPr>
        <w:t xml:space="preserve">   </w:t>
      </w:r>
    </w:p>
    <w:p>
      <w:pPr>
        <w:ind w:firstLine="280" w:firstLineChars="10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三、投标文件的编制及提交</w:t>
      </w:r>
    </w:p>
    <w:p>
      <w:pPr>
        <w:ind w:left="560" w:leftChars="200" w:hanging="140" w:hangingChars="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1、投标文件由投标人参照招标文件的要求编写，采用法定计量单位、规范的中文术语，字迹清楚，涂改之处要加盖印章。</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2、投标文件须由投标单位法定代表人或其委托代理人签署并加盖法人单位公章。</w:t>
      </w:r>
    </w:p>
    <w:p>
      <w:pPr>
        <w:ind w:firstLine="420" w:firstLineChars="1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3、投标文件正本与副本均应使用不能擦去的墨水打印或书写。</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4、投标文件应按照招标文件要求的顺序装订成册；投标文件中的各种资质证明材料应一并装订。</w:t>
      </w:r>
    </w:p>
    <w:p>
      <w:pPr>
        <w:ind w:left="373" w:leftChars="178"/>
        <w:rPr>
          <w:rFonts w:ascii="仿宋_GB2312" w:hAnsi="Times New Roman" w:eastAsia="仿宋_GB2312" w:cs="Times New Roman"/>
          <w:color w:val="auto"/>
          <w:sz w:val="28"/>
          <w:szCs w:val="28"/>
        </w:rPr>
      </w:pPr>
      <w:r>
        <w:rPr>
          <w:rFonts w:hint="eastAsia" w:ascii="仿宋_GB2312" w:hAnsi="宋体" w:eastAsia="仿宋_GB2312" w:cs="Times New Roman"/>
          <w:color w:val="auto"/>
          <w:sz w:val="28"/>
          <w:szCs w:val="28"/>
        </w:rPr>
        <w:t>5、</w:t>
      </w:r>
      <w:r>
        <w:rPr>
          <w:rFonts w:ascii="仿宋_GB2312" w:hAnsi="Times New Roman" w:eastAsia="仿宋_GB2312" w:cs="Times New Roman"/>
          <w:color w:val="auto"/>
          <w:sz w:val="28"/>
          <w:szCs w:val="28"/>
        </w:rPr>
        <w:t>比价文件一式两份（正本、副本各一份，并各加盖“正本、副本”印章），胶装装订成册，不得活页装订，编制清晰目录，标注连续页码。同时</w:t>
      </w:r>
      <w:r>
        <w:rPr>
          <w:rFonts w:hint="eastAsia" w:ascii="仿宋_GB2312" w:hAnsi="Times New Roman" w:eastAsia="仿宋_GB2312" w:cs="Times New Roman"/>
          <w:color w:val="auto"/>
          <w:sz w:val="28"/>
          <w:szCs w:val="28"/>
        </w:rPr>
        <w:t>在开标时</w:t>
      </w:r>
      <w:r>
        <w:rPr>
          <w:rFonts w:ascii="仿宋_GB2312" w:hAnsi="Times New Roman" w:eastAsia="仿宋_GB2312" w:cs="Times New Roman"/>
          <w:color w:val="auto"/>
          <w:sz w:val="28"/>
          <w:szCs w:val="28"/>
        </w:rPr>
        <w:t>提交电子版比价文件一份（比价文件正本签字盖章后扫描版，PDF格式）</w:t>
      </w:r>
      <w:r>
        <w:rPr>
          <w:rFonts w:hint="eastAsia" w:ascii="仿宋_GB2312" w:hAnsi="Times New Roman" w:eastAsia="仿宋_GB2312" w:cs="Times New Roman"/>
          <w:color w:val="auto"/>
          <w:sz w:val="28"/>
          <w:szCs w:val="28"/>
        </w:rPr>
        <w:t>。</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6、所有投标文件必须提交1套正本与1套副本，并标注“正本”和“副本”字样。当正本和副本之间出现差异时，以正本为准。</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7、所有投标文件需委派专人送达或邮寄至神华上航疏浚公司设备管理部。</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8、由于不可抗拒的原因或无法控制的事件导致投标文件丢失或损坏，招标方将不承担任何责任。</w:t>
      </w:r>
    </w:p>
    <w:p>
      <w:pPr>
        <w:ind w:left="525" w:leftChars="2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9、投标文件的修改与撤回</w:t>
      </w:r>
    </w:p>
    <w:p>
      <w:pPr>
        <w:ind w:firstLine="700" w:firstLineChars="2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⑴、在投标截止时间以后，不能更改投标文件。</w:t>
      </w:r>
    </w:p>
    <w:p>
      <w:pPr>
        <w:ind w:left="701" w:leftChars="334"/>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⑵、投标文件送达以后，如果投标方提出修改或撤标要求，应至少在投标截止时间前两天将书面申请送达招标方，但不退还投标文件。</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10、投标报价均以人民币报价。</w:t>
      </w:r>
    </w:p>
    <w:p>
      <w:pPr>
        <w:ind w:firstLine="548" w:firstLineChars="196"/>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四、开标</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1、开标会议由招标方确定时间、地点、方式。</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2、投标文件有下列情况之一者将视为无效。</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1)、投标文件未按规定标注、密封。</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2)、未按规定的格式填写，内容不全或字迹模糊辨认不清。</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3)、任何不完整或不满足招标要求的投标书。</w:t>
      </w:r>
    </w:p>
    <w:p>
      <w:pPr>
        <w:ind w:left="700" w:leftChars="267" w:hanging="140" w:hangingChars="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3、 开标时，招标方有权就招标文件中含混之处向投标方提出询问或澄清要求。</w:t>
      </w:r>
    </w:p>
    <w:p>
      <w:pPr>
        <w:ind w:left="700" w:leftChars="267" w:hanging="140" w:hangingChars="5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五、评标标准</w:t>
      </w:r>
    </w:p>
    <w:p>
      <w:pPr>
        <w:spacing w:line="360" w:lineRule="auto"/>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1、评标办法</w:t>
      </w:r>
    </w:p>
    <w:p>
      <w:pPr>
        <w:spacing w:line="360" w:lineRule="auto"/>
        <w:ind w:left="420" w:leftChars="200"/>
        <w:rPr>
          <w:rFonts w:ascii="仿宋_GB2312" w:hAnsi="宋体" w:eastAsia="仿宋_GB2312"/>
          <w:color w:val="auto"/>
          <w:kern w:val="0"/>
          <w:sz w:val="28"/>
          <w:szCs w:val="28"/>
        </w:rPr>
      </w:pPr>
      <w:r>
        <w:rPr>
          <w:rFonts w:hint="eastAsia" w:ascii="仿宋_GB2312" w:hAnsi="宋体" w:eastAsia="仿宋_GB2312"/>
          <w:color w:val="auto"/>
          <w:sz w:val="28"/>
          <w:szCs w:val="28"/>
        </w:rPr>
        <w:t>本项目评标</w:t>
      </w:r>
      <w:r>
        <w:rPr>
          <w:rFonts w:hint="eastAsia" w:ascii="仿宋_GB2312" w:hAnsi="宋体" w:eastAsia="仿宋_GB2312"/>
          <w:color w:val="auto"/>
          <w:kern w:val="0"/>
          <w:sz w:val="28"/>
          <w:szCs w:val="28"/>
        </w:rPr>
        <w:t>采用</w:t>
      </w:r>
      <w:r>
        <w:rPr>
          <w:rFonts w:hint="eastAsia" w:ascii="仿宋_GB2312" w:hAnsi="宋体" w:eastAsia="仿宋_GB2312"/>
          <w:color w:val="auto"/>
          <w:sz w:val="28"/>
          <w:szCs w:val="28"/>
        </w:rPr>
        <w:t>最低价中标法</w:t>
      </w:r>
      <w:r>
        <w:rPr>
          <w:rFonts w:hint="eastAsia" w:ascii="仿宋_GB2312" w:hAnsi="宋体" w:eastAsia="仿宋_GB2312"/>
          <w:color w:val="auto"/>
          <w:kern w:val="0"/>
          <w:sz w:val="28"/>
          <w:szCs w:val="28"/>
        </w:rPr>
        <w:t>，</w:t>
      </w:r>
      <w:r>
        <w:rPr>
          <w:rFonts w:hint="eastAsia" w:ascii="仿宋_GB2312" w:eastAsia="仿宋_GB2312"/>
          <w:color w:val="auto"/>
          <w:sz w:val="28"/>
          <w:szCs w:val="28"/>
        </w:rPr>
        <w:t>评标委员会对满足招标文件实质要求的投标文件，按照评标价由低到高确认中标厂家，</w:t>
      </w:r>
      <w:r>
        <w:rPr>
          <w:rFonts w:hint="eastAsia" w:ascii="仿宋_GB2312" w:eastAsia="仿宋_GB2312"/>
          <w:color w:val="auto"/>
          <w:sz w:val="28"/>
          <w:szCs w:val="28"/>
        </w:rPr>
        <w:t>投标报价相等的，由评标委员会根据确定</w:t>
      </w:r>
      <w:r>
        <w:rPr>
          <w:rFonts w:hint="eastAsia" w:ascii="仿宋_GB2312" w:eastAsia="仿宋_GB2312"/>
          <w:color w:val="auto"/>
          <w:sz w:val="28"/>
          <w:szCs w:val="28"/>
          <w:lang w:eastAsia="zh-CN"/>
        </w:rPr>
        <w:t>报价合理性</w:t>
      </w:r>
      <w:r>
        <w:rPr>
          <w:rFonts w:hint="eastAsia" w:ascii="仿宋_GB2312" w:eastAsia="仿宋_GB2312"/>
          <w:color w:val="auto"/>
          <w:sz w:val="28"/>
          <w:szCs w:val="28"/>
        </w:rPr>
        <w:t>最终中标</w:t>
      </w:r>
      <w:r>
        <w:rPr>
          <w:rFonts w:ascii="仿宋_GB2312" w:eastAsia="仿宋_GB2312"/>
          <w:color w:val="auto"/>
          <w:sz w:val="28"/>
          <w:szCs w:val="28"/>
        </w:rPr>
        <w:t>厂家</w:t>
      </w:r>
      <w:r>
        <w:rPr>
          <w:rFonts w:hint="eastAsia" w:ascii="仿宋_GB2312" w:eastAsia="仿宋_GB2312"/>
          <w:color w:val="auto"/>
          <w:sz w:val="28"/>
          <w:szCs w:val="28"/>
        </w:rPr>
        <w:t>。</w:t>
      </w:r>
    </w:p>
    <w:p>
      <w:pPr>
        <w:ind w:firstLine="411" w:firstLineChars="147"/>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六、结算方式</w:t>
      </w:r>
    </w:p>
    <w:p>
      <w:pPr>
        <w:ind w:left="28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 xml:space="preserve">       </w:t>
      </w:r>
      <w:r>
        <w:rPr>
          <w:rFonts w:hint="eastAsia" w:ascii="仿宋_GB2312" w:hAnsi="宋体" w:eastAsia="仿宋_GB2312" w:cs="Times New Roman"/>
          <w:color w:val="auto"/>
          <w:sz w:val="28"/>
          <w:szCs w:val="28"/>
        </w:rPr>
        <w:t xml:space="preserve"> 此次“神华浚7”轮码头服务</w:t>
      </w:r>
      <w:r>
        <w:rPr>
          <w:rFonts w:hint="eastAsia" w:ascii="仿宋_GB2312" w:hAnsi="宋体" w:eastAsia="仿宋_GB2312" w:cs="Times New Roman"/>
          <w:color w:val="auto"/>
          <w:sz w:val="28"/>
          <w:szCs w:val="28"/>
          <w:lang w:eastAsia="zh-CN"/>
        </w:rPr>
        <w:t>项目完成后，按实际核算的费用金额，开具增值税专用发票，支付全款</w:t>
      </w:r>
      <w:r>
        <w:rPr>
          <w:rFonts w:hint="eastAsia" w:ascii="仿宋_GB2312" w:hAnsi="宋体" w:eastAsia="仿宋_GB2312" w:cs="Times New Roman"/>
          <w:color w:val="auto"/>
          <w:sz w:val="28"/>
          <w:szCs w:val="28"/>
        </w:rPr>
        <w:t>。</w:t>
      </w:r>
    </w:p>
    <w:p>
      <w:pPr>
        <w:ind w:left="280" w:hanging="280" w:hangingChars="100"/>
        <w:rPr>
          <w:rFonts w:ascii="仿宋_GB2312" w:hAnsi="宋体" w:eastAsia="仿宋_GB2312" w:cs="Times New Roman"/>
          <w:color w:val="auto"/>
          <w:sz w:val="28"/>
          <w:szCs w:val="28"/>
        </w:rPr>
      </w:pPr>
    </w:p>
    <w:p>
      <w:pPr>
        <w:ind w:left="280" w:hanging="280" w:hangingChars="100"/>
        <w:rPr>
          <w:rFonts w:ascii="仿宋_GB2312" w:hAnsi="宋体" w:eastAsia="仿宋_GB2312" w:cs="Times New Roman"/>
          <w:color w:val="auto"/>
          <w:sz w:val="28"/>
          <w:szCs w:val="28"/>
        </w:rPr>
      </w:pPr>
    </w:p>
    <w:p>
      <w:pPr>
        <w:ind w:left="280" w:hanging="280" w:hangingChars="100"/>
        <w:rPr>
          <w:rFonts w:ascii="仿宋_GB2312" w:hAnsi="宋体" w:eastAsia="仿宋_GB2312" w:cs="Times New Roman"/>
          <w:color w:val="auto"/>
          <w:sz w:val="28"/>
          <w:szCs w:val="28"/>
        </w:rPr>
      </w:pPr>
    </w:p>
    <w:bookmarkEnd w:id="0"/>
    <w:tbl>
      <w:tblPr>
        <w:tblStyle w:val="8"/>
        <w:tblpPr w:leftFromText="180" w:rightFromText="180" w:vertAnchor="text" w:horzAnchor="page" w:tblpX="970" w:tblpY="1052"/>
        <w:tblOverlap w:val="never"/>
        <w:tblW w:w="1012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55"/>
        <w:gridCol w:w="3057"/>
        <w:gridCol w:w="1020"/>
        <w:gridCol w:w="1110"/>
        <w:gridCol w:w="930"/>
        <w:gridCol w:w="1035"/>
        <w:gridCol w:w="2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jc w:val="center"/>
        </w:trPr>
        <w:tc>
          <w:tcPr>
            <w:tcW w:w="10129" w:type="dxa"/>
            <w:gridSpan w:val="7"/>
            <w:vMerge w:val="restart"/>
            <w:shd w:val="clear" w:color="auto" w:fill="auto"/>
            <w:vAlign w:val="bottom"/>
          </w:tcPr>
          <w:p>
            <w:pPr>
              <w:keepNext w:val="0"/>
              <w:keepLines w:val="0"/>
              <w:widowControl/>
              <w:suppressLineNumbers w:val="0"/>
              <w:jc w:val="center"/>
              <w:textAlignment w:val="bottom"/>
              <w:rPr>
                <w:rFonts w:ascii="楷体_GB2312" w:hAnsi="宋体" w:eastAsia="楷体_GB2312" w:cs="楷体_GB2312"/>
                <w:b/>
                <w:i w:val="0"/>
                <w:color w:val="000000"/>
                <w:sz w:val="48"/>
                <w:szCs w:val="48"/>
                <w:u w:val="none"/>
              </w:rPr>
            </w:pPr>
            <w:r>
              <w:rPr>
                <w:rFonts w:hint="default" w:ascii="楷体_GB2312" w:hAnsi="宋体" w:eastAsia="楷体_GB2312" w:cs="楷体_GB2312"/>
                <w:b/>
                <w:i w:val="0"/>
                <w:color w:val="000000"/>
                <w:kern w:val="0"/>
                <w:sz w:val="48"/>
                <w:szCs w:val="48"/>
                <w:u w:val="none"/>
                <w:lang w:val="en-US" w:eastAsia="zh-CN" w:bidi="ar"/>
              </w:rPr>
              <w:t>“神华浚7”</w:t>
            </w:r>
            <w:r>
              <w:rPr>
                <w:rFonts w:hint="eastAsia" w:ascii="楷体_GB2312" w:hAnsi="宋体" w:eastAsia="楷体_GB2312" w:cs="楷体_GB2312"/>
                <w:b/>
                <w:i w:val="0"/>
                <w:color w:val="000000"/>
                <w:kern w:val="0"/>
                <w:sz w:val="48"/>
                <w:szCs w:val="48"/>
                <w:u w:val="none"/>
                <w:lang w:val="en-US" w:eastAsia="zh-CN" w:bidi="ar"/>
              </w:rPr>
              <w:t>码头服务项目</w:t>
            </w:r>
            <w:r>
              <w:rPr>
                <w:rFonts w:hint="default" w:ascii="楷体_GB2312" w:hAnsi="宋体" w:eastAsia="楷体_GB2312" w:cs="楷体_GB2312"/>
                <w:b/>
                <w:i w:val="0"/>
                <w:color w:val="000000"/>
                <w:kern w:val="0"/>
                <w:sz w:val="48"/>
                <w:szCs w:val="48"/>
                <w:u w:val="none"/>
                <w:lang w:val="en-US" w:eastAsia="zh-CN" w:bidi="ar"/>
              </w:rPr>
              <w:t>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10129" w:type="dxa"/>
            <w:gridSpan w:val="7"/>
            <w:vMerge w:val="continue"/>
            <w:shd w:val="clear" w:color="auto" w:fill="auto"/>
            <w:vAlign w:val="bottom"/>
          </w:tcPr>
          <w:p>
            <w:pPr>
              <w:jc w:val="center"/>
              <w:rPr>
                <w:rFonts w:hint="default" w:ascii="楷体_GB2312" w:hAnsi="宋体" w:eastAsia="楷体_GB2312" w:cs="楷体_GB2312"/>
                <w:b/>
                <w:i w:val="0"/>
                <w:color w:val="000000"/>
                <w:sz w:val="48"/>
                <w:szCs w:val="4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10129" w:type="dxa"/>
            <w:gridSpan w:val="7"/>
            <w:vMerge w:val="continue"/>
            <w:shd w:val="clear" w:color="auto" w:fill="auto"/>
            <w:vAlign w:val="bottom"/>
          </w:tcPr>
          <w:p>
            <w:pPr>
              <w:jc w:val="center"/>
              <w:rPr>
                <w:rFonts w:hint="default" w:ascii="楷体_GB2312" w:hAnsi="宋体" w:eastAsia="楷体_GB2312" w:cs="楷体_GB2312"/>
                <w:b/>
                <w:i w:val="0"/>
                <w:color w:val="000000"/>
                <w:sz w:val="48"/>
                <w:szCs w:val="4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序号</w:t>
            </w:r>
          </w:p>
        </w:tc>
        <w:tc>
          <w:tcPr>
            <w:tcW w:w="3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工     程   内    容</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单位</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数量</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单价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合计</w:t>
            </w:r>
          </w:p>
        </w:tc>
        <w:tc>
          <w:tcPr>
            <w:tcW w:w="21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2" w:hRule="atLeast"/>
          <w:jc w:val="center"/>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top"/>
          </w:tcPr>
          <w:p>
            <w:pPr>
              <w:jc w:val="center"/>
              <w:rPr>
                <w:rFonts w:hint="default" w:ascii="楷体_GB2312" w:hAnsi="宋体" w:eastAsia="楷体_GB2312" w:cs="楷体_GB2312"/>
                <w:i w:val="0"/>
                <w:color w:val="000000"/>
                <w:sz w:val="24"/>
                <w:szCs w:val="24"/>
                <w:u w:val="none"/>
              </w:rPr>
            </w:pPr>
          </w:p>
        </w:tc>
        <w:tc>
          <w:tcPr>
            <w:tcW w:w="3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c>
          <w:tcPr>
            <w:tcW w:w="2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楷体_GB2312" w:hAnsi="宋体" w:eastAsia="楷体_GB2312" w:cs="楷体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码头费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天</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消防值班费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天</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消防巡回检查费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天</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清除生活垃圾费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天</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5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提供垃圾处理证明费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份</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供电费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度</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18000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 </w:t>
            </w: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供船淡水费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吨</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30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总计</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pPr>
        <w:rPr>
          <w:rFonts w:ascii="仿宋_GB2312" w:hAnsi="宋体" w:eastAsia="仿宋_GB2312" w:cs="Times New Roman"/>
          <w:sz w:val="28"/>
          <w:szCs w:val="28"/>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D665A"/>
    <w:multiLevelType w:val="multilevel"/>
    <w:tmpl w:val="347D665A"/>
    <w:lvl w:ilvl="0" w:tentative="0">
      <w:start w:val="1"/>
      <w:numFmt w:val="japaneseCounting"/>
      <w:lvlText w:val="%1、"/>
      <w:lvlJc w:val="left"/>
      <w:pPr>
        <w:ind w:left="1013" w:hanging="600"/>
      </w:pPr>
      <w:rPr>
        <w:rFonts w:hint="default" w:ascii="宋体" w:hAnsi="宋体" w:eastAsia="宋体" w:cs="Times New Roman"/>
        <w:b/>
        <w:sz w:val="28"/>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1">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2">
    <w:nsid w:val="62AE6DC0"/>
    <w:multiLevelType w:val="multilevel"/>
    <w:tmpl w:val="62AE6DC0"/>
    <w:lvl w:ilvl="0" w:tentative="0">
      <w:start w:val="1"/>
      <w:numFmt w:val="decimal"/>
      <w:lvlText w:val="%1、"/>
      <w:lvlJc w:val="left"/>
      <w:pPr>
        <w:ind w:left="1287" w:hanging="720"/>
      </w:pPr>
      <w:rPr>
        <w:rFonts w:hint="default"/>
        <w:b/>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EA"/>
    <w:rsid w:val="00035BB1"/>
    <w:rsid w:val="000B7311"/>
    <w:rsid w:val="00177B12"/>
    <w:rsid w:val="001817EA"/>
    <w:rsid w:val="001B2A09"/>
    <w:rsid w:val="001D7A49"/>
    <w:rsid w:val="00204D70"/>
    <w:rsid w:val="002337F1"/>
    <w:rsid w:val="002A67E1"/>
    <w:rsid w:val="002A7B90"/>
    <w:rsid w:val="00311B29"/>
    <w:rsid w:val="0032418B"/>
    <w:rsid w:val="00351AF8"/>
    <w:rsid w:val="00381149"/>
    <w:rsid w:val="0038265E"/>
    <w:rsid w:val="00393A8D"/>
    <w:rsid w:val="003D1D36"/>
    <w:rsid w:val="003E104C"/>
    <w:rsid w:val="00412B51"/>
    <w:rsid w:val="00465A0F"/>
    <w:rsid w:val="004E1EC1"/>
    <w:rsid w:val="0050282B"/>
    <w:rsid w:val="00535962"/>
    <w:rsid w:val="005413C1"/>
    <w:rsid w:val="00552FED"/>
    <w:rsid w:val="005811D6"/>
    <w:rsid w:val="00586A71"/>
    <w:rsid w:val="005873F0"/>
    <w:rsid w:val="005E1FB4"/>
    <w:rsid w:val="0060569D"/>
    <w:rsid w:val="0061371B"/>
    <w:rsid w:val="00667F72"/>
    <w:rsid w:val="006741EA"/>
    <w:rsid w:val="00682044"/>
    <w:rsid w:val="006A21A3"/>
    <w:rsid w:val="006B2B01"/>
    <w:rsid w:val="00746565"/>
    <w:rsid w:val="00770CE6"/>
    <w:rsid w:val="007A606F"/>
    <w:rsid w:val="007D3A5B"/>
    <w:rsid w:val="0087213D"/>
    <w:rsid w:val="008872EE"/>
    <w:rsid w:val="008C776A"/>
    <w:rsid w:val="008F6152"/>
    <w:rsid w:val="00A25111"/>
    <w:rsid w:val="00A34E10"/>
    <w:rsid w:val="00AB76B1"/>
    <w:rsid w:val="00AD49F0"/>
    <w:rsid w:val="00AF061A"/>
    <w:rsid w:val="00B51951"/>
    <w:rsid w:val="00B76D12"/>
    <w:rsid w:val="00B8477C"/>
    <w:rsid w:val="00B95E2D"/>
    <w:rsid w:val="00BE5816"/>
    <w:rsid w:val="00C76BE0"/>
    <w:rsid w:val="00DD7606"/>
    <w:rsid w:val="00E30B03"/>
    <w:rsid w:val="00E553E6"/>
    <w:rsid w:val="00E821FA"/>
    <w:rsid w:val="00F53972"/>
    <w:rsid w:val="00FA67C7"/>
    <w:rsid w:val="06134F50"/>
    <w:rsid w:val="0D456F46"/>
    <w:rsid w:val="10305B08"/>
    <w:rsid w:val="23DC61D5"/>
    <w:rsid w:val="2E801AA0"/>
    <w:rsid w:val="3E1A2E63"/>
    <w:rsid w:val="5EDE267F"/>
    <w:rsid w:val="5FE21D14"/>
    <w:rsid w:val="72697C2B"/>
    <w:rsid w:val="7B5E0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08"/>
    <w:unhideWhenUsed/>
    <w:uiPriority w:val="99"/>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unhideWhenUsed/>
    <w:qFormat/>
    <w:uiPriority w:val="99"/>
    <w:rPr>
      <w:color w:val="954F72"/>
      <w:u w:val="single"/>
    </w:rPr>
  </w:style>
  <w:style w:type="character" w:styleId="7">
    <w:name w:val="Hyperlink"/>
    <w:unhideWhenUsed/>
    <w:qFormat/>
    <w:uiPriority w:val="99"/>
    <w:rPr>
      <w:color w:val="0563C1"/>
      <w:u w:val="single"/>
    </w:rPr>
  </w:style>
  <w:style w:type="table" w:styleId="9">
    <w:name w:val="Table Grid"/>
    <w:basedOn w:val="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link w:val="4"/>
    <w:qFormat/>
    <w:uiPriority w:val="0"/>
    <w:rPr>
      <w:sz w:val="18"/>
      <w:szCs w:val="18"/>
    </w:rPr>
  </w:style>
  <w:style w:type="character" w:customStyle="1" w:styleId="11">
    <w:name w:val="页眉 Char1"/>
    <w:basedOn w:val="5"/>
    <w:semiHidden/>
    <w:qFormat/>
    <w:uiPriority w:val="99"/>
    <w:rPr>
      <w:sz w:val="18"/>
      <w:szCs w:val="18"/>
    </w:rPr>
  </w:style>
  <w:style w:type="character" w:customStyle="1" w:styleId="12">
    <w:name w:val="页脚 Char"/>
    <w:link w:val="3"/>
    <w:qFormat/>
    <w:uiPriority w:val="0"/>
    <w:rPr>
      <w:sz w:val="18"/>
      <w:szCs w:val="18"/>
    </w:rPr>
  </w:style>
  <w:style w:type="character" w:customStyle="1" w:styleId="13">
    <w:name w:val="页脚 Char1"/>
    <w:basedOn w:val="5"/>
    <w:semiHidden/>
    <w:qFormat/>
    <w:uiPriority w:val="99"/>
    <w:rPr>
      <w:sz w:val="18"/>
      <w:szCs w:val="18"/>
    </w:rPr>
  </w:style>
  <w:style w:type="paragraph" w:customStyle="1" w:styleId="14">
    <w:name w:val="列出段落1"/>
    <w:qFormat/>
    <w:uiPriority w:val="0"/>
    <w:pPr>
      <w:ind w:firstLine="420" w:firstLineChars="200"/>
    </w:pPr>
    <w:rPr>
      <w:rFonts w:ascii="Times New Roman" w:hAnsi="Times New Roman" w:eastAsia="宋体" w:cs="Times New Roman"/>
      <w:kern w:val="0"/>
      <w:sz w:val="20"/>
      <w:szCs w:val="20"/>
      <w:lang w:val="en-US" w:eastAsia="zh-CN" w:bidi="ar-SA"/>
    </w:rPr>
  </w:style>
  <w:style w:type="paragraph" w:customStyle="1" w:styleId="15">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font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7">
    <w:name w:val="font6"/>
    <w:basedOn w:val="1"/>
    <w:qFormat/>
    <w:uiPriority w:val="0"/>
    <w:pPr>
      <w:widowControl/>
      <w:spacing w:before="100" w:beforeAutospacing="1" w:after="100" w:afterAutospacing="1"/>
      <w:jc w:val="left"/>
    </w:pPr>
    <w:rPr>
      <w:rFonts w:ascii="仿宋_GB2312" w:hAnsi="宋体" w:eastAsia="仿宋_GB2312" w:cs="宋体"/>
      <w:kern w:val="0"/>
      <w:sz w:val="24"/>
      <w:szCs w:val="24"/>
    </w:rPr>
  </w:style>
  <w:style w:type="paragraph" w:customStyle="1" w:styleId="18">
    <w:name w:val="font7"/>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9">
    <w:name w:val="font8"/>
    <w:basedOn w:val="1"/>
    <w:qFormat/>
    <w:uiPriority w:val="0"/>
    <w:pPr>
      <w:widowControl/>
      <w:spacing w:before="100" w:beforeAutospacing="1" w:after="100" w:afterAutospacing="1"/>
      <w:jc w:val="left"/>
    </w:pPr>
    <w:rPr>
      <w:rFonts w:ascii="宋体" w:hAnsi="宋体" w:eastAsia="宋体" w:cs="宋体"/>
      <w:b/>
      <w:bCs/>
      <w:kern w:val="0"/>
      <w:sz w:val="24"/>
      <w:szCs w:val="24"/>
      <w:u w:val="single"/>
    </w:rPr>
  </w:style>
  <w:style w:type="paragraph" w:customStyle="1" w:styleId="20">
    <w:name w:val="font9"/>
    <w:basedOn w:val="1"/>
    <w:qFormat/>
    <w:uiPriority w:val="0"/>
    <w:pPr>
      <w:widowControl/>
      <w:spacing w:before="100" w:beforeAutospacing="1" w:after="100" w:afterAutospacing="1"/>
      <w:jc w:val="left"/>
    </w:pPr>
    <w:rPr>
      <w:rFonts w:ascii="Arial" w:hAnsi="Arial" w:eastAsia="宋体" w:cs="Arial"/>
      <w:kern w:val="0"/>
      <w:sz w:val="24"/>
      <w:szCs w:val="24"/>
    </w:rPr>
  </w:style>
  <w:style w:type="paragraph" w:customStyle="1" w:styleId="21">
    <w:name w:val="font10"/>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2">
    <w:name w:val="font11"/>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3">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font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
    <w:name w:val="xl6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2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3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b/>
      <w:bCs/>
      <w:kern w:val="0"/>
      <w:sz w:val="24"/>
      <w:szCs w:val="24"/>
    </w:rPr>
  </w:style>
  <w:style w:type="paragraph" w:customStyle="1" w:styleId="3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4"/>
      <w:szCs w:val="24"/>
    </w:rPr>
  </w:style>
  <w:style w:type="paragraph" w:customStyle="1" w:styleId="3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eastAsia="宋体" w:cs="宋体"/>
      <w:kern w:val="0"/>
      <w:sz w:val="24"/>
      <w:szCs w:val="24"/>
    </w:rPr>
  </w:style>
  <w:style w:type="paragraph" w:customStyle="1" w:styleId="3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4"/>
      <w:szCs w:val="24"/>
    </w:rPr>
  </w:style>
  <w:style w:type="paragraph" w:customStyle="1" w:styleId="3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3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4"/>
      <w:szCs w:val="24"/>
    </w:rPr>
  </w:style>
  <w:style w:type="paragraph" w:customStyle="1" w:styleId="40">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宋体" w:cs="Times New Roman"/>
      <w:kern w:val="0"/>
      <w:sz w:val="24"/>
      <w:szCs w:val="24"/>
    </w:rPr>
  </w:style>
  <w:style w:type="paragraph" w:customStyle="1" w:styleId="4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24"/>
      <w:szCs w:val="24"/>
    </w:rPr>
  </w:style>
  <w:style w:type="paragraph" w:customStyle="1" w:styleId="42">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43">
    <w:name w:val="xl81"/>
    <w:basedOn w:val="1"/>
    <w:qFormat/>
    <w:uiPriority w:val="0"/>
    <w:pPr>
      <w:widowControl/>
      <w:pBdr>
        <w:top w:val="single" w:color="auto" w:sz="4" w:space="0"/>
        <w:left w:val="single" w:color="auto" w:sz="4" w:space="31"/>
        <w:bottom w:val="single" w:color="auto" w:sz="4" w:space="0"/>
        <w:right w:val="single" w:color="auto" w:sz="4" w:space="0"/>
      </w:pBdr>
      <w:spacing w:before="100" w:beforeAutospacing="1" w:after="100" w:afterAutospacing="1"/>
      <w:ind w:firstLine="200" w:firstLineChars="200"/>
      <w:jc w:val="left"/>
    </w:pPr>
    <w:rPr>
      <w:rFonts w:ascii="宋体" w:hAnsi="宋体" w:eastAsia="宋体" w:cs="宋体"/>
      <w:kern w:val="0"/>
      <w:sz w:val="24"/>
      <w:szCs w:val="24"/>
    </w:rPr>
  </w:style>
  <w:style w:type="paragraph" w:customStyle="1" w:styleId="4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szCs w:val="24"/>
    </w:rPr>
  </w:style>
  <w:style w:type="paragraph" w:customStyle="1" w:styleId="45">
    <w:name w:val="xl83"/>
    <w:basedOn w:val="1"/>
    <w:qFormat/>
    <w:uiPriority w:val="0"/>
    <w:pPr>
      <w:widowControl/>
      <w:pBdr>
        <w:bottom w:val="single" w:color="000000" w:sz="4" w:space="0"/>
        <w:right w:val="single" w:color="000000" w:sz="4" w:space="0"/>
      </w:pBdr>
      <w:spacing w:before="100" w:beforeAutospacing="1" w:after="100" w:afterAutospacing="1"/>
      <w:jc w:val="left"/>
    </w:pPr>
    <w:rPr>
      <w:rFonts w:ascii="仿宋_GB2312" w:hAnsi="宋体" w:eastAsia="仿宋_GB2312" w:cs="宋体"/>
      <w:kern w:val="0"/>
      <w:sz w:val="24"/>
      <w:szCs w:val="24"/>
    </w:rPr>
  </w:style>
  <w:style w:type="paragraph" w:customStyle="1" w:styleId="46">
    <w:name w:val="xl84"/>
    <w:basedOn w:val="1"/>
    <w:qFormat/>
    <w:uiPriority w:val="0"/>
    <w:pPr>
      <w:widowControl/>
      <w:pBdr>
        <w:bottom w:val="single" w:color="000000" w:sz="4" w:space="0"/>
        <w:right w:val="single" w:color="000000" w:sz="4" w:space="0"/>
      </w:pBdr>
      <w:spacing w:before="100" w:beforeAutospacing="1" w:after="100" w:afterAutospacing="1"/>
    </w:pPr>
    <w:rPr>
      <w:rFonts w:ascii="仿宋_GB2312" w:hAnsi="宋体" w:eastAsia="仿宋_GB2312" w:cs="宋体"/>
      <w:kern w:val="0"/>
      <w:sz w:val="24"/>
      <w:szCs w:val="24"/>
    </w:rPr>
  </w:style>
  <w:style w:type="paragraph" w:customStyle="1" w:styleId="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24"/>
      <w:szCs w:val="24"/>
    </w:rPr>
  </w:style>
  <w:style w:type="paragraph" w:customStyle="1" w:styleId="4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40"/>
      <w:szCs w:val="40"/>
    </w:rPr>
  </w:style>
  <w:style w:type="paragraph" w:customStyle="1" w:styleId="4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5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5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5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5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sz w:val="16"/>
      <w:szCs w:val="16"/>
    </w:rPr>
  </w:style>
  <w:style w:type="paragraph" w:customStyle="1" w:styleId="5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57">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ED7D31"/>
      <w:kern w:val="0"/>
      <w:sz w:val="16"/>
      <w:szCs w:val="16"/>
    </w:rPr>
  </w:style>
  <w:style w:type="paragraph" w:customStyle="1" w:styleId="5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5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0">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6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2">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2"/>
      <w:szCs w:val="12"/>
    </w:rPr>
  </w:style>
  <w:style w:type="paragraph" w:customStyle="1" w:styleId="6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9">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7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7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16"/>
      <w:szCs w:val="16"/>
    </w:rPr>
  </w:style>
  <w:style w:type="paragraph" w:customStyle="1" w:styleId="73">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7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7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1">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6"/>
      <w:szCs w:val="16"/>
    </w:rPr>
  </w:style>
  <w:style w:type="paragraph" w:customStyle="1" w:styleId="82">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8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16"/>
      <w:szCs w:val="16"/>
    </w:rPr>
  </w:style>
  <w:style w:type="paragraph" w:customStyle="1" w:styleId="8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9">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1">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9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93">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5">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2"/>
    </w:rPr>
  </w:style>
  <w:style w:type="paragraph" w:customStyle="1" w:styleId="96">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7">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8">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9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102">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10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04">
    <w:name w:val="xl1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05">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6"/>
      <w:szCs w:val="16"/>
    </w:rPr>
  </w:style>
  <w:style w:type="paragraph" w:customStyle="1" w:styleId="106">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10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character" w:customStyle="1" w:styleId="108">
    <w:name w:val="批注框文本 Char"/>
    <w:basedOn w:val="5"/>
    <w:link w:val="2"/>
    <w:semiHidden/>
    <w:qFormat/>
    <w:uiPriority w:val="99"/>
    <w:rPr>
      <w:sz w:val="18"/>
      <w:szCs w:val="18"/>
    </w:rPr>
  </w:style>
  <w:style w:type="paragraph" w:customStyle="1" w:styleId="109">
    <w:name w:val="List Paragraph"/>
    <w:basedOn w:val="1"/>
    <w:qFormat/>
    <w:uiPriority w:val="34"/>
    <w:pPr>
      <w:ind w:firstLine="420" w:firstLineChars="200"/>
    </w:pPr>
  </w:style>
  <w:style w:type="character" w:customStyle="1" w:styleId="110">
    <w:name w:val="font41"/>
    <w:basedOn w:val="5"/>
    <w:qFormat/>
    <w:uiPriority w:val="0"/>
    <w:rPr>
      <w:rFonts w:hint="eastAsia" w:ascii="宋体" w:hAnsi="宋体" w:eastAsia="宋体" w:cs="宋体"/>
      <w:color w:val="000000"/>
      <w:sz w:val="22"/>
      <w:szCs w:val="22"/>
      <w:u w:val="none"/>
    </w:rPr>
  </w:style>
  <w:style w:type="character" w:customStyle="1" w:styleId="111">
    <w:name w:val="font10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527</Words>
  <Characters>3009</Characters>
  <Lines>25</Lines>
  <Paragraphs>7</Paragraphs>
  <ScaleCrop>false</ScaleCrop>
  <LinksUpToDate>false</LinksUpToDate>
  <CharactersWithSpaces>3529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2017-02-23T07:04:00Z</dcterms:created>
  <dc:creator>魏今朝</dc:creator>
  <cp:lastModifiedBy>魏今朝</cp:lastModifiedBy>
  <cp:lastPrinted>2017-02-24T02:11:00Z</cp:lastPrinted>
  <dcterms:modified xsi:type="dcterms:W3CDTF">2018-01-03T09:04:20Z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