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left="678" w:hanging="678" w:hangingChars="150"/>
        <w:jc w:val="center"/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>神华黄骅港务公司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  <w:lang w:val="en-US" w:eastAsia="zh-CN"/>
        </w:rPr>
        <w:t>安川高压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 xml:space="preserve">电机       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>维修项目技术规格书</w:t>
      </w:r>
    </w:p>
    <w:p>
      <w:pPr>
        <w:snapToGrid w:val="0"/>
        <w:ind w:left="678" w:hanging="678" w:hangingChars="150"/>
        <w:jc w:val="center"/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</w:pPr>
      <w:bookmarkStart w:id="0" w:name="_GoBack"/>
      <w:bookmarkEnd w:id="0"/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一、项目内容及范围：</w:t>
      </w:r>
    </w:p>
    <w:p>
      <w:pPr>
        <w:snapToGrid w:val="0"/>
        <w:spacing w:line="560" w:lineRule="exact"/>
        <w:ind w:firstLine="624" w:firstLineChars="200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神华黄骅港务公司</w:t>
      </w: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5台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安川高压</w:t>
      </w:r>
      <w:r>
        <w:rPr>
          <w:rFonts w:hint="eastAsia" w:ascii="仿宋_GB2312" w:hAnsi="宋体" w:eastAsia="仿宋_GB2312"/>
          <w:spacing w:val="6"/>
          <w:sz w:val="30"/>
          <w:szCs w:val="30"/>
        </w:rPr>
        <w:t>电机的维修。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二、</w:t>
      </w:r>
      <w:r>
        <w:rPr>
          <w:rFonts w:hint="eastAsia" w:ascii="仿宋_GB2312" w:hAnsi="Times New Roman" w:eastAsia="仿宋_GB2312"/>
          <w:b/>
          <w:sz w:val="30"/>
          <w:szCs w:val="30"/>
          <w:lang w:eastAsia="zh-CN"/>
        </w:rPr>
        <w:t>工</w:t>
      </w:r>
      <w:r>
        <w:rPr>
          <w:rFonts w:hint="eastAsia" w:ascii="仿宋_GB2312" w:hAnsi="Times New Roman" w:eastAsia="仿宋_GB2312"/>
          <w:b/>
          <w:sz w:val="30"/>
          <w:szCs w:val="30"/>
        </w:rPr>
        <w:t>期</w:t>
      </w:r>
      <w:r>
        <w:rPr>
          <w:rFonts w:hint="eastAsia" w:ascii="仿宋_GB2312" w:hAnsi="Times New Roman" w:eastAsia="仿宋_GB2312"/>
          <w:b/>
          <w:sz w:val="30"/>
          <w:szCs w:val="30"/>
          <w:lang w:eastAsia="zh-CN"/>
        </w:rPr>
        <w:t>要求</w:t>
      </w:r>
      <w:r>
        <w:rPr>
          <w:rFonts w:hint="eastAsia" w:ascii="仿宋_GB2312" w:hAnsi="Times New Roman" w:eastAsia="仿宋_GB2312"/>
          <w:b/>
          <w:sz w:val="30"/>
          <w:szCs w:val="30"/>
        </w:rPr>
        <w:t>：</w:t>
      </w:r>
    </w:p>
    <w:p>
      <w:pPr>
        <w:snapToGrid w:val="0"/>
        <w:spacing w:line="360" w:lineRule="auto"/>
        <w:ind w:firstLine="624" w:firstLineChars="200"/>
        <w:jc w:val="left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从合同签订之日起</w:t>
      </w: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3个月内</w:t>
      </w:r>
      <w:r>
        <w:rPr>
          <w:rFonts w:hint="eastAsia" w:ascii="仿宋_GB2312" w:hAnsi="宋体" w:eastAsia="仿宋_GB2312"/>
          <w:spacing w:val="6"/>
          <w:sz w:val="30"/>
          <w:szCs w:val="30"/>
        </w:rPr>
        <w:t>。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电机维修</w:t>
      </w:r>
      <w:r>
        <w:rPr>
          <w:rFonts w:hint="eastAsia" w:ascii="仿宋_GB2312" w:hAnsi="宋体" w:eastAsia="仿宋_GB2312"/>
          <w:spacing w:val="6"/>
          <w:sz w:val="30"/>
          <w:szCs w:val="30"/>
        </w:rPr>
        <w:t>分项报价表参见附件1。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三、技术要求：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1</w:t>
      </w:r>
      <w:r>
        <w:rPr>
          <w:rFonts w:hint="eastAsia" w:ascii="仿宋_GB2312" w:hAnsi="宋体" w:eastAsia="仿宋_GB2312"/>
          <w:spacing w:val="6"/>
          <w:sz w:val="30"/>
          <w:szCs w:val="30"/>
        </w:rPr>
        <w:t>、</w:t>
      </w:r>
      <w:r>
        <w:rPr>
          <w:rFonts w:hint="eastAsia" w:ascii="仿宋_GB2312" w:eastAsia="仿宋_GB2312"/>
          <w:spacing w:val="6"/>
          <w:sz w:val="30"/>
          <w:szCs w:val="30"/>
        </w:rPr>
        <w:t>承包方对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招标方提供的安川电机</w:t>
      </w:r>
      <w:r>
        <w:rPr>
          <w:rFonts w:hint="eastAsia" w:ascii="仿宋_GB2312" w:eastAsia="仿宋_GB2312"/>
          <w:spacing w:val="6"/>
          <w:sz w:val="30"/>
          <w:szCs w:val="30"/>
        </w:rPr>
        <w:t>进行</w:t>
      </w:r>
      <w:r>
        <w:rPr>
          <w:rFonts w:hint="eastAsia" w:ascii="仿宋_GB2312" w:eastAsia="仿宋_GB2312"/>
          <w:spacing w:val="6"/>
          <w:sz w:val="30"/>
          <w:szCs w:val="30"/>
          <w:lang w:eastAsia="zh-CN"/>
        </w:rPr>
        <w:t>整机拆检维修</w:t>
      </w:r>
      <w:r>
        <w:rPr>
          <w:rFonts w:hint="eastAsia" w:ascii="仿宋_GB2312" w:hAnsi="宋体" w:eastAsia="仿宋_GB2312"/>
          <w:spacing w:val="6"/>
          <w:sz w:val="30"/>
          <w:szCs w:val="30"/>
        </w:rPr>
        <w:t>，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拆检要求见附件</w:t>
      </w: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/>
          <w:spacing w:val="6"/>
          <w:sz w:val="30"/>
          <w:szCs w:val="30"/>
        </w:rPr>
        <w:t>。</w:t>
      </w:r>
    </w:p>
    <w:p>
      <w:pPr>
        <w:snapToGrid w:val="0"/>
        <w:spacing w:line="360" w:lineRule="auto"/>
        <w:ind w:firstLine="624" w:firstLineChars="200"/>
        <w:jc w:val="left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2</w:t>
      </w:r>
      <w:r>
        <w:rPr>
          <w:rFonts w:hint="eastAsia" w:ascii="仿宋_GB2312" w:hAnsi="宋体" w:eastAsia="仿宋_GB2312"/>
          <w:spacing w:val="6"/>
          <w:sz w:val="30"/>
          <w:szCs w:val="30"/>
        </w:rPr>
        <w:t>、承包方负责损坏电机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部件的更换及</w:t>
      </w:r>
      <w:r>
        <w:rPr>
          <w:rFonts w:hint="eastAsia" w:ascii="仿宋_GB2312" w:hAnsi="宋体" w:eastAsia="仿宋_GB2312"/>
          <w:spacing w:val="6"/>
          <w:sz w:val="30"/>
          <w:szCs w:val="30"/>
        </w:rPr>
        <w:t>维修，包括绕组、轴承、鼠笼、冷却系统(风扇)、定转子铁芯、转轴及接线端子等辅件的维修更换。轴承选用SKF品牌轴承。</w:t>
      </w:r>
    </w:p>
    <w:p>
      <w:pPr>
        <w:snapToGrid w:val="0"/>
        <w:spacing w:line="360" w:lineRule="auto"/>
        <w:ind w:firstLine="624" w:firstLineChars="200"/>
        <w:jc w:val="left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3</w:t>
      </w:r>
      <w:r>
        <w:rPr>
          <w:rFonts w:hint="eastAsia" w:ascii="仿宋_GB2312" w:hAnsi="宋体" w:eastAsia="仿宋_GB2312"/>
          <w:spacing w:val="6"/>
          <w:sz w:val="30"/>
          <w:szCs w:val="30"/>
        </w:rPr>
        <w:t>、电机的维修应遵循现行的国家标准、行业标准，满足《大型三项异步电机基本系列技术条件》GBT 13957-2008</w:t>
      </w:r>
    </w:p>
    <w:p>
      <w:pPr>
        <w:snapToGrid w:val="0"/>
        <w:spacing w:line="360" w:lineRule="auto"/>
        <w:jc w:val="left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《三项异步电动机试验方法》GBT 1032-1012及《变频调速专用三相异步电动机技术条件》JB/T7118-2004的相关要求。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eastAsia="仿宋_GB2312"/>
          <w:spacing w:val="6"/>
          <w:sz w:val="30"/>
          <w:szCs w:val="30"/>
        </w:rPr>
      </w:pPr>
      <w:r>
        <w:rPr>
          <w:rFonts w:hint="eastAsia" w:ascii="仿宋_GB2312" w:eastAsia="仿宋_GB2312"/>
          <w:spacing w:val="6"/>
          <w:sz w:val="30"/>
          <w:szCs w:val="30"/>
        </w:rPr>
        <w:t>4、验收标准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1）手动盘车正常，无异响；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 xml:space="preserve">2）测量电机及电缆绝缘、电机直流电阻值等应符合国标； 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 xml:space="preserve">3）电机接线盒及格兰头锁紧完好，接线盒结合面涂防水胶，机身接地良好； 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4）空载测试振动、窜动值应符合标准、三相电流平衡、噪音、温升等合格；出具出厂检测报告；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5）对电机进行耐压试验，试验电压执行GB755-2008规定；</w:t>
      </w:r>
    </w:p>
    <w:p>
      <w:pPr>
        <w:snapToGrid w:val="0"/>
        <w:spacing w:line="360" w:lineRule="auto"/>
        <w:ind w:firstLine="624" w:firstLineChars="200"/>
        <w:jc w:val="left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6）启动电流、启动时间同出厂数据相符。</w:t>
      </w:r>
    </w:p>
    <w:p>
      <w:pPr>
        <w:snapToGrid w:val="0"/>
        <w:spacing w:line="360" w:lineRule="auto"/>
        <w:ind w:firstLine="624" w:firstLineChars="200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5</w:t>
      </w:r>
      <w:r>
        <w:rPr>
          <w:rFonts w:hint="eastAsia" w:ascii="仿宋_GB2312" w:hAnsi="宋体" w:eastAsia="仿宋_GB2312"/>
          <w:spacing w:val="6"/>
          <w:sz w:val="30"/>
          <w:szCs w:val="30"/>
        </w:rPr>
        <w:t>、承包方有义务提供现场电机安装技术指导。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四、报价及结算方式</w:t>
      </w:r>
    </w:p>
    <w:p>
      <w:pPr>
        <w:snapToGrid w:val="0"/>
        <w:spacing w:line="360" w:lineRule="auto"/>
        <w:ind w:firstLine="624" w:firstLineChars="200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1、电机维修报价采用单价形式进行报价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。</w:t>
      </w:r>
    </w:p>
    <w:p>
      <w:pPr>
        <w:snapToGrid w:val="0"/>
        <w:spacing w:line="360" w:lineRule="auto"/>
        <w:ind w:firstLine="624" w:firstLineChars="200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2、最终工程结算以实际发生工程量进行结算，即：工程结算价 = ∑实际发生项目数量×该项投标单价。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结算时</w:t>
      </w:r>
      <w:r>
        <w:rPr>
          <w:rFonts w:hint="eastAsia" w:ascii="仿宋_GB2312" w:hAnsi="宋体" w:eastAsia="仿宋_GB2312"/>
          <w:spacing w:val="6"/>
          <w:sz w:val="30"/>
          <w:szCs w:val="30"/>
        </w:rPr>
        <w:t>承包方需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提前</w:t>
      </w:r>
      <w:r>
        <w:rPr>
          <w:rFonts w:hint="eastAsia" w:ascii="仿宋_GB2312" w:hAnsi="宋体" w:eastAsia="仿宋_GB2312"/>
          <w:spacing w:val="6"/>
          <w:sz w:val="30"/>
          <w:szCs w:val="30"/>
        </w:rPr>
        <w:t>提供增值税专用发票。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五、项目质保：</w:t>
      </w:r>
    </w:p>
    <w:p>
      <w:pPr>
        <w:snapToGrid w:val="0"/>
        <w:spacing w:line="360" w:lineRule="auto"/>
        <w:ind w:left="-315" w:leftChars="-150" w:firstLine="936" w:firstLineChars="300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</w:rPr>
        <w:t>1、维修后电机质保期为</w:t>
      </w: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12</w:t>
      </w:r>
      <w:r>
        <w:rPr>
          <w:rFonts w:hint="eastAsia" w:ascii="仿宋_GB2312" w:hAnsi="宋体" w:eastAsia="仿宋_GB2312"/>
          <w:spacing w:val="6"/>
          <w:sz w:val="30"/>
          <w:szCs w:val="30"/>
        </w:rPr>
        <w:t>个月，质保期范围内若电机不能满足现场运行条件，承包方须重新对电机进行返厂维修，直至电机满足运行条件为止。</w:t>
      </w:r>
    </w:p>
    <w:p>
      <w:pPr>
        <w:jc w:val="center"/>
        <w:rPr>
          <w:rFonts w:ascii="宋体" w:hAnsi="宋体" w:cs="宋体"/>
          <w:b/>
          <w:bCs/>
          <w:sz w:val="28"/>
          <w:szCs w:val="28"/>
        </w:rPr>
      </w:pPr>
    </w:p>
    <w:p>
      <w:pPr>
        <w:jc w:val="center"/>
        <w:rPr>
          <w:rFonts w:ascii="宋体" w:hAnsi="宋体" w:cs="宋体"/>
          <w:b/>
          <w:bCs/>
          <w:sz w:val="28"/>
          <w:szCs w:val="28"/>
        </w:rPr>
      </w:pPr>
    </w:p>
    <w:p>
      <w:pPr>
        <w:rPr>
          <w:rFonts w:ascii="宋体" w:hAnsi="宋体" w:cs="宋体"/>
          <w:b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附件1：</w:t>
      </w:r>
    </w:p>
    <w:p>
      <w:pPr>
        <w:jc w:val="center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高压电机维修分项报价单</w:t>
      </w:r>
    </w:p>
    <w:p>
      <w:pPr>
        <w:jc w:val="center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                                       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单位：元</w:t>
      </w:r>
    </w:p>
    <w:tbl>
      <w:tblPr>
        <w:tblStyle w:val="14"/>
        <w:tblW w:w="11342" w:type="dxa"/>
        <w:jc w:val="center"/>
        <w:tblInd w:w="-2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1"/>
        <w:gridCol w:w="1220"/>
        <w:gridCol w:w="941"/>
        <w:gridCol w:w="3363"/>
        <w:gridCol w:w="1096"/>
        <w:gridCol w:w="1064"/>
        <w:gridCol w:w="969"/>
        <w:gridCol w:w="969"/>
        <w:gridCol w:w="9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功率（KW）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分项单价控制价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分项单价投标报价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概率权重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实际投标控制价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实际投标报价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3台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1、整机拆检维修费</w:t>
            </w:r>
          </w:p>
        </w:tc>
        <w:tc>
          <w:tcPr>
            <w:tcW w:w="10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2、高压电机更换转轴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3、高压电机转轴磨损喷涂修复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4、高压电机轴承座修复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5、更换定子线圈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6、更换转子铜排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7、更换定子绕组引出线3根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8、定子铁芯修复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9、转子铁芯修复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10、更换轴承测温元件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11、更换绕组加热带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12、更换定子高压接线瓷瓶3个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13、更换绕组六组测温元件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1、整机拆检维修费</w:t>
            </w:r>
          </w:p>
        </w:tc>
        <w:tc>
          <w:tcPr>
            <w:tcW w:w="10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2、高压电机更换转轴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3、高压电机转轴磨损喷涂修复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4、高压电机轴承座修复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5、更换定子线圈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6、更换转子铜排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7、更换定子绕组引出线3根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8、定子铁芯修复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9、转子铁芯修复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10、更换轴承测温元件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11、更换绕组加热带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12、更换定子高压接线瓷瓶3个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13、更换绕组六组测温元件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1、整机拆检维修费</w:t>
            </w:r>
          </w:p>
        </w:tc>
        <w:tc>
          <w:tcPr>
            <w:tcW w:w="10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2、高压电机更换转轴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3、高压电机转轴磨损喷涂修复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4、高压电机轴承座修复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5、更换定子线圈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6、更换转子铜排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7、更换定子绕组引出线3根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8、定子铁芯修复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9、转子铁芯修复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10、更换轴承测温元件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11、更换绕组加热带 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12、更换定子高压接线瓷瓶3个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13、更换绕组六组测温元件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444520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left"/>
        <w:rPr>
          <w:rFonts w:hint="eastAsia" w:ascii="宋体" w:hAnsi="宋体" w:cs="宋体"/>
          <w:b/>
          <w:bCs/>
          <w:sz w:val="28"/>
          <w:szCs w:val="28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备注：</w:t>
      </w: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1、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高压电机维修包含整机拆检维修费及单独部件维修费两部分。其中整机拆检维修为必做项目，单独部件维修以电机拆检报告、检测报告、故障分析等相关材料为依据选择性发生或不发生。其余未列的维修项目由投标方负责免费维修，招标方不再另行支付。</w:t>
      </w:r>
    </w:p>
    <w:p>
      <w:pPr>
        <w:snapToGrid w:val="0"/>
        <w:spacing w:line="360" w:lineRule="auto"/>
        <w:ind w:firstLine="936" w:firstLineChars="300"/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2、</w:t>
      </w:r>
      <w:r>
        <w:rPr>
          <w:rFonts w:hint="eastAsia" w:ascii="仿宋_GB2312" w:hAnsi="宋体" w:eastAsia="仿宋_GB2312"/>
          <w:spacing w:val="6"/>
          <w:sz w:val="30"/>
          <w:szCs w:val="30"/>
          <w:lang w:eastAsia="zh-CN"/>
        </w:rPr>
        <w:t>电机整机拆检维修项目清单</w:t>
      </w:r>
    </w:p>
    <w:tbl>
      <w:tblPr>
        <w:tblStyle w:val="14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1、电机解体，整体清洗灰尘、污垢，防腐处理；清理电机内部灰尘及铜屑，定子、转子、及其它配件清洗，烘干。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2、鼠笼、转子铁芯补焊修复。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3、全套轴承的更换。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4、定子绕组VPI真空压力浸漆，烘干。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5、转子动平衡校验。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6、定子绕组对地耐压试验，匝间耐压试验。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7、检查定子槽楔，绑扎是否松动。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8、冷却系统及散热器的清理和防腐。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9、电气预防性试验，绕组的绝缘电阻和吸收比；绕组的直流电阻；定子绕组泄露电流和直流耐压试验、定子绕组的交流耐压试验；检查定子绕组极性等项目。执行国标GB50150-91。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10、电机装配，试车。试验合格后出具详细的试验报告、拆检报告及故障原因分析。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/>
                <w:spacing w:val="6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6"/>
                <w:sz w:val="30"/>
                <w:szCs w:val="30"/>
                <w:lang w:val="en-US" w:eastAsia="zh-CN"/>
              </w:rPr>
              <w:t>11、保养维护工时费及运输费。</w:t>
            </w:r>
          </w:p>
        </w:tc>
      </w:tr>
    </w:tbl>
    <w:p>
      <w:pPr>
        <w:spacing w:line="440" w:lineRule="exact"/>
        <w:ind w:firstLine="936" w:firstLineChars="300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3</w:t>
      </w:r>
      <w:r>
        <w:rPr>
          <w:rFonts w:hint="eastAsia" w:ascii="仿宋_GB2312" w:hAnsi="宋体" w:eastAsia="仿宋_GB2312"/>
          <w:spacing w:val="6"/>
          <w:sz w:val="30"/>
          <w:szCs w:val="30"/>
        </w:rPr>
        <w:t>、要求投标人单项投标报价均不得高于表中本单项控制价，投标价总计= ∑该项投标单价</w:t>
      </w:r>
      <w:r>
        <w:rPr>
          <w:rFonts w:hint="eastAsia" w:ascii="仿宋_GB2312" w:hAnsi="宋体" w:eastAsia="仿宋_GB2312"/>
          <w:spacing w:val="6"/>
          <w:sz w:val="30"/>
          <w:szCs w:val="30"/>
          <w:lang w:val="en-US" w:eastAsia="zh-CN"/>
        </w:rPr>
        <w:t>*概率权重*数量</w:t>
      </w:r>
      <w:r>
        <w:rPr>
          <w:rFonts w:hint="eastAsia" w:ascii="仿宋_GB2312" w:hAnsi="宋体" w:eastAsia="仿宋_GB2312"/>
          <w:spacing w:val="6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/>
          <w:szCs w:val="32"/>
          <w:lang w:eastAsia="zh-CN"/>
        </w:rPr>
      </w:pPr>
    </w:p>
    <w:sectPr>
      <w:pgSz w:w="11906" w:h="16838"/>
      <w:pgMar w:top="2098" w:right="1474" w:bottom="1985" w:left="1588" w:header="851" w:footer="992" w:gutter="56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G Times"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RomanD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全真中明體">
    <w:altName w:val="MingLiU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CG Omega">
    <w:panose1 w:val="020B0502050508020304"/>
    <w:charset w:val="00"/>
    <w:family w:val="swiss"/>
    <w:pitch w:val="default"/>
    <w:sig w:usb0="00000000" w:usb1="00000000" w:usb2="00000000" w:usb3="00000000" w:csb0="00000093" w:csb1="00000000"/>
  </w:font>
  <w:font w:name="Abadi MT Condensed Light">
    <w:altName w:val="MV Boli"/>
    <w:panose1 w:val="020B0306030101010103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tique Olive Roma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(W1)">
    <w:altName w:val="Arial"/>
    <w:panose1 w:val="020B0604020202020204"/>
    <w:charset w:val="00"/>
    <w:family w:val="swiss"/>
    <w:pitch w:val="default"/>
    <w:sig w:usb0="00000000" w:usb1="00000000" w:usb2="00000008" w:usb3="00000000" w:csb0="000001FF" w:csb1="00000000"/>
  </w:font>
  <w:font w:name="Times New (W1)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8E5"/>
    <w:rsid w:val="00040DAC"/>
    <w:rsid w:val="00040F8B"/>
    <w:rsid w:val="00064136"/>
    <w:rsid w:val="000676D4"/>
    <w:rsid w:val="0007275A"/>
    <w:rsid w:val="00072840"/>
    <w:rsid w:val="00094887"/>
    <w:rsid w:val="000D58E5"/>
    <w:rsid w:val="000E634A"/>
    <w:rsid w:val="000F4BA1"/>
    <w:rsid w:val="0011014F"/>
    <w:rsid w:val="00113D04"/>
    <w:rsid w:val="00144456"/>
    <w:rsid w:val="0019000B"/>
    <w:rsid w:val="001A2F03"/>
    <w:rsid w:val="001B02C9"/>
    <w:rsid w:val="001C7AA0"/>
    <w:rsid w:val="001E13F8"/>
    <w:rsid w:val="001F1AA1"/>
    <w:rsid w:val="001F42C5"/>
    <w:rsid w:val="001F6DB6"/>
    <w:rsid w:val="00203DB3"/>
    <w:rsid w:val="00207BAD"/>
    <w:rsid w:val="0025154F"/>
    <w:rsid w:val="00263238"/>
    <w:rsid w:val="002650BE"/>
    <w:rsid w:val="0027393E"/>
    <w:rsid w:val="002A586F"/>
    <w:rsid w:val="002C758E"/>
    <w:rsid w:val="002D0E42"/>
    <w:rsid w:val="0030640B"/>
    <w:rsid w:val="00312518"/>
    <w:rsid w:val="003225C0"/>
    <w:rsid w:val="00391BD3"/>
    <w:rsid w:val="003A215E"/>
    <w:rsid w:val="003B3DD8"/>
    <w:rsid w:val="003B4E8D"/>
    <w:rsid w:val="003C1FF4"/>
    <w:rsid w:val="003C57D9"/>
    <w:rsid w:val="003C5B4D"/>
    <w:rsid w:val="003D3CAB"/>
    <w:rsid w:val="00415586"/>
    <w:rsid w:val="00417ACF"/>
    <w:rsid w:val="00421C77"/>
    <w:rsid w:val="004238B9"/>
    <w:rsid w:val="004A2E74"/>
    <w:rsid w:val="004B3D50"/>
    <w:rsid w:val="004D3290"/>
    <w:rsid w:val="004F16DF"/>
    <w:rsid w:val="0050313E"/>
    <w:rsid w:val="00507B55"/>
    <w:rsid w:val="00512A35"/>
    <w:rsid w:val="00553CCA"/>
    <w:rsid w:val="00570FEC"/>
    <w:rsid w:val="0057226C"/>
    <w:rsid w:val="00572A6F"/>
    <w:rsid w:val="00597B2F"/>
    <w:rsid w:val="005A6BCB"/>
    <w:rsid w:val="005C31A8"/>
    <w:rsid w:val="00603296"/>
    <w:rsid w:val="006207AF"/>
    <w:rsid w:val="006513C2"/>
    <w:rsid w:val="00685315"/>
    <w:rsid w:val="00692BFD"/>
    <w:rsid w:val="006939C6"/>
    <w:rsid w:val="006C6E51"/>
    <w:rsid w:val="006E4603"/>
    <w:rsid w:val="0073657D"/>
    <w:rsid w:val="00795677"/>
    <w:rsid w:val="007A2854"/>
    <w:rsid w:val="007A5BFC"/>
    <w:rsid w:val="008154EF"/>
    <w:rsid w:val="00865494"/>
    <w:rsid w:val="0086793D"/>
    <w:rsid w:val="00886145"/>
    <w:rsid w:val="00890918"/>
    <w:rsid w:val="008A449B"/>
    <w:rsid w:val="008B55DE"/>
    <w:rsid w:val="008D5A1C"/>
    <w:rsid w:val="008E4B08"/>
    <w:rsid w:val="008E7824"/>
    <w:rsid w:val="008F674F"/>
    <w:rsid w:val="009147E4"/>
    <w:rsid w:val="009447C2"/>
    <w:rsid w:val="009540AF"/>
    <w:rsid w:val="00955A4D"/>
    <w:rsid w:val="0096164B"/>
    <w:rsid w:val="009770EE"/>
    <w:rsid w:val="0098498E"/>
    <w:rsid w:val="00996054"/>
    <w:rsid w:val="009C3C82"/>
    <w:rsid w:val="009E1C97"/>
    <w:rsid w:val="009E587A"/>
    <w:rsid w:val="00A019C0"/>
    <w:rsid w:val="00A12719"/>
    <w:rsid w:val="00A62E02"/>
    <w:rsid w:val="00A6662D"/>
    <w:rsid w:val="00A715EA"/>
    <w:rsid w:val="00AB1363"/>
    <w:rsid w:val="00AC1B74"/>
    <w:rsid w:val="00AD5704"/>
    <w:rsid w:val="00B240E9"/>
    <w:rsid w:val="00B717CA"/>
    <w:rsid w:val="00C024A0"/>
    <w:rsid w:val="00C138BA"/>
    <w:rsid w:val="00C1587A"/>
    <w:rsid w:val="00C34000"/>
    <w:rsid w:val="00C4795E"/>
    <w:rsid w:val="00C47CA9"/>
    <w:rsid w:val="00C75B45"/>
    <w:rsid w:val="00CA6B8D"/>
    <w:rsid w:val="00CB2C1A"/>
    <w:rsid w:val="00D22768"/>
    <w:rsid w:val="00D41EE6"/>
    <w:rsid w:val="00D47F96"/>
    <w:rsid w:val="00D56A80"/>
    <w:rsid w:val="00D75473"/>
    <w:rsid w:val="00DD56C8"/>
    <w:rsid w:val="00E053A6"/>
    <w:rsid w:val="00E1151E"/>
    <w:rsid w:val="00E138C3"/>
    <w:rsid w:val="00E43C0C"/>
    <w:rsid w:val="00E45476"/>
    <w:rsid w:val="00E61596"/>
    <w:rsid w:val="00EB73FC"/>
    <w:rsid w:val="00ED05D2"/>
    <w:rsid w:val="00F01696"/>
    <w:rsid w:val="00F420DC"/>
    <w:rsid w:val="00FB603E"/>
    <w:rsid w:val="00FC5B82"/>
    <w:rsid w:val="00FC7E71"/>
    <w:rsid w:val="00FE6BE2"/>
    <w:rsid w:val="00FE769B"/>
    <w:rsid w:val="01630950"/>
    <w:rsid w:val="02863822"/>
    <w:rsid w:val="04211045"/>
    <w:rsid w:val="1B0F3EED"/>
    <w:rsid w:val="1CBC7B7D"/>
    <w:rsid w:val="1FA175E3"/>
    <w:rsid w:val="2B056A78"/>
    <w:rsid w:val="2E0C3A1F"/>
    <w:rsid w:val="41D52CFC"/>
    <w:rsid w:val="41DF0AF5"/>
    <w:rsid w:val="48AD77C1"/>
    <w:rsid w:val="58897053"/>
    <w:rsid w:val="5DC53E5E"/>
    <w:rsid w:val="5F14484F"/>
    <w:rsid w:val="64070B36"/>
    <w:rsid w:val="661D6130"/>
    <w:rsid w:val="6AD65961"/>
    <w:rsid w:val="6C856ECE"/>
    <w:rsid w:val="76CF707E"/>
    <w:rsid w:val="79616B44"/>
    <w:rsid w:val="7DA2117F"/>
    <w:rsid w:val="7E524AD9"/>
    <w:rsid w:val="7E97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11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Body Text Indent"/>
    <w:basedOn w:val="1"/>
    <w:link w:val="24"/>
    <w:qFormat/>
    <w:uiPriority w:val="0"/>
    <w:pPr>
      <w:snapToGrid w:val="0"/>
      <w:ind w:firstLine="420" w:firstLineChars="200"/>
    </w:pPr>
    <w:rPr>
      <w:rFonts w:ascii="宋体" w:hAnsi="宋体"/>
      <w:szCs w:val="24"/>
    </w:rPr>
  </w:style>
  <w:style w:type="paragraph" w:styleId="5">
    <w:name w:val="Plain Text"/>
    <w:basedOn w:val="1"/>
    <w:link w:val="20"/>
    <w:unhideWhenUsed/>
    <w:qFormat/>
    <w:uiPriority w:val="0"/>
    <w:rPr>
      <w:rFonts w:ascii="宋体" w:hAnsi="Courier New" w:eastAsia="宋体" w:cs="Times New Roman"/>
      <w:sz w:val="24"/>
      <w:szCs w:val="20"/>
    </w:rPr>
  </w:style>
  <w:style w:type="paragraph" w:styleId="6">
    <w:name w:val="Body Text Indent 2"/>
    <w:basedOn w:val="1"/>
    <w:link w:val="26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7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rFonts w:ascii="Calibri" w:hAnsi="Calibri" w:eastAsia="宋体" w:cs="Times New Roman"/>
      <w:kern w:val="0"/>
      <w:sz w:val="22"/>
    </w:rPr>
  </w:style>
  <w:style w:type="character" w:styleId="12">
    <w:name w:val="page number"/>
    <w:basedOn w:val="11"/>
    <w:qFormat/>
    <w:uiPriority w:val="0"/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table" w:styleId="15">
    <w:name w:val="Table Grid"/>
    <w:basedOn w:val="1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眉 Char"/>
    <w:basedOn w:val="11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8"/>
    <w:qFormat/>
    <w:uiPriority w:val="99"/>
    <w:rPr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19">
    <w:name w:val="标题 1 Char"/>
    <w:basedOn w:val="11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纯文本 Char"/>
    <w:basedOn w:val="11"/>
    <w:link w:val="5"/>
    <w:qFormat/>
    <w:uiPriority w:val="0"/>
    <w:rPr>
      <w:rFonts w:ascii="宋体" w:hAnsi="Courier New" w:eastAsia="宋体" w:cs="Times New Roman"/>
      <w:sz w:val="24"/>
      <w:szCs w:val="20"/>
    </w:rPr>
  </w:style>
  <w:style w:type="paragraph" w:customStyle="1" w:styleId="21">
    <w:name w:val="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2">
    <w:name w:val="批注框文本 Char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正文文本缩进 Char"/>
    <w:basedOn w:val="11"/>
    <w:link w:val="4"/>
    <w:qFormat/>
    <w:uiPriority w:val="0"/>
    <w:rPr>
      <w:rFonts w:ascii="宋体" w:hAnsi="宋体"/>
      <w:szCs w:val="24"/>
    </w:rPr>
  </w:style>
  <w:style w:type="character" w:customStyle="1" w:styleId="24">
    <w:name w:val="正文文本缩进 Char1"/>
    <w:basedOn w:val="11"/>
    <w:link w:val="4"/>
    <w:semiHidden/>
    <w:qFormat/>
    <w:uiPriority w:val="99"/>
  </w:style>
  <w:style w:type="character" w:customStyle="1" w:styleId="25">
    <w:name w:val="正文文本 Char"/>
    <w:basedOn w:val="11"/>
    <w:link w:val="3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6">
    <w:name w:val="正文文本缩进 2 Char"/>
    <w:basedOn w:val="11"/>
    <w:link w:val="6"/>
    <w:qFormat/>
    <w:uiPriority w:val="0"/>
    <w:rPr>
      <w:rFonts w:ascii="仿宋_GB2312" w:hAnsi="宋体" w:eastAsia="仿宋_GB2312" w:cs="Times New Roman"/>
      <w:sz w:val="32"/>
      <w:szCs w:val="24"/>
    </w:rPr>
  </w:style>
  <w:style w:type="paragraph" w:customStyle="1" w:styleId="27">
    <w:name w:val="1.1.1（1）"/>
    <w:basedOn w:val="1"/>
    <w:link w:val="28"/>
    <w:qFormat/>
    <w:uiPriority w:val="0"/>
    <w:pPr>
      <w:adjustRightInd w:val="0"/>
      <w:snapToGrid w:val="0"/>
      <w:spacing w:line="360" w:lineRule="auto"/>
      <w:ind w:left="350" w:leftChars="200" w:hanging="150" w:hangingChars="150"/>
    </w:pPr>
    <w:rPr>
      <w:rFonts w:ascii="宋体" w:hAnsi="宋体" w:eastAsia="宋体" w:cs="Times New Roman"/>
      <w:sz w:val="24"/>
      <w:szCs w:val="24"/>
    </w:rPr>
  </w:style>
  <w:style w:type="character" w:customStyle="1" w:styleId="28">
    <w:name w:val="1.1.1（1） Char"/>
    <w:link w:val="27"/>
    <w:qFormat/>
    <w:uiPriority w:val="0"/>
    <w:rPr>
      <w:rFonts w:ascii="宋体" w:hAnsi="宋体" w:eastAsia="宋体" w:cs="Times New Roman"/>
      <w:sz w:val="24"/>
      <w:szCs w:val="24"/>
    </w:rPr>
  </w:style>
  <w:style w:type="paragraph" w:customStyle="1" w:styleId="29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table" w:customStyle="1" w:styleId="30">
    <w:name w:val="Table Normal"/>
    <w:qFormat/>
    <w:uiPriority w:val="0"/>
    <w:rPr>
      <w:rFonts w:ascii="Times New Roman" w:hAnsi="Times New Roman" w:cs="Times New Roman"/>
      <w:kern w:val="0"/>
      <w:sz w:val="20"/>
      <w:szCs w:val="20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1">
    <w:name w:val="无"/>
    <w:qFormat/>
    <w:uiPriority w:val="0"/>
  </w:style>
  <w:style w:type="character" w:customStyle="1" w:styleId="32">
    <w:name w:val="font01"/>
    <w:basedOn w:val="11"/>
    <w:qFormat/>
    <w:uiPriority w:val="0"/>
    <w:rPr>
      <w:rFonts w:hint="default" w:ascii="楷体_GB2312" w:eastAsia="楷体_GB2312" w:cs="楷体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29</Pages>
  <Words>1964</Words>
  <Characters>11198</Characters>
  <Lines>93</Lines>
  <Paragraphs>26</Paragraphs>
  <ScaleCrop>false</ScaleCrop>
  <LinksUpToDate>false</LinksUpToDate>
  <CharactersWithSpaces>13136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2016-10-26T01:54:00Z</dcterms:created>
  <dc:creator>qjh</dc:creator>
  <cp:lastModifiedBy>周永珍</cp:lastModifiedBy>
  <cp:lastPrinted>2018-01-31T01:08:00Z</cp:lastPrinted>
  <dcterms:modified xsi:type="dcterms:W3CDTF">2018-02-26T06:58:11Z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