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jc w:val="center"/>
        <w:rPr>
          <w:rFonts w:hint="eastAsia" w:ascii="方正小标宋简体" w:hAnsi="Times New Roman" w:eastAsia="方正小标宋简体" w:cs="Times New Roman"/>
          <w:bCs/>
          <w:snapToGrid w:val="0"/>
          <w:kern w:val="0"/>
          <w:sz w:val="44"/>
          <w:szCs w:val="44"/>
          <w:lang w:val="en-US" w:eastAsia="zh-CN" w:bidi="ar-SA"/>
        </w:rPr>
      </w:pPr>
      <w:bookmarkStart w:id="0" w:name="OLE_LINK2"/>
    </w:p>
    <w:p>
      <w:pPr>
        <w:spacing w:line="240" w:lineRule="atLeast"/>
        <w:jc w:val="center"/>
        <w:rPr>
          <w:rFonts w:hint="eastAsia" w:ascii="方正小标宋简体" w:hAnsi="Times New Roman" w:eastAsia="方正小标宋简体" w:cs="Times New Roman"/>
          <w:bCs/>
          <w:snapToGrid w:val="0"/>
          <w:kern w:val="0"/>
          <w:sz w:val="44"/>
          <w:szCs w:val="44"/>
          <w:lang w:val="en-US" w:eastAsia="zh-CN" w:bidi="ar-SA"/>
        </w:rPr>
      </w:pPr>
    </w:p>
    <w:p>
      <w:pPr>
        <w:spacing w:line="240" w:lineRule="atLeast"/>
        <w:jc w:val="center"/>
        <w:rPr>
          <w:rFonts w:hint="eastAsia" w:ascii="方正小标宋简体" w:hAnsi="Times New Roman" w:eastAsia="方正小标宋简体" w:cs="Times New Roman"/>
          <w:bCs/>
          <w:snapToGrid w:val="0"/>
          <w:kern w:val="0"/>
          <w:sz w:val="44"/>
          <w:szCs w:val="44"/>
          <w:lang w:val="en-US" w:eastAsia="zh-CN" w:bidi="ar-SA"/>
        </w:rPr>
      </w:pPr>
    </w:p>
    <w:p>
      <w:pPr>
        <w:spacing w:line="240" w:lineRule="atLeast"/>
        <w:jc w:val="center"/>
        <w:rPr>
          <w:rFonts w:hint="eastAsia" w:ascii="方正小标宋简体" w:hAnsi="Times New Roman" w:eastAsia="方正小标宋简体" w:cs="Times New Roman"/>
          <w:bCs/>
          <w:snapToGrid w:val="0"/>
          <w:kern w:val="0"/>
          <w:sz w:val="44"/>
          <w:szCs w:val="44"/>
          <w:lang w:val="en-US" w:eastAsia="zh-CN" w:bidi="ar-SA"/>
        </w:rPr>
      </w:pPr>
    </w:p>
    <w:p>
      <w:pPr>
        <w:spacing w:line="240" w:lineRule="atLeast"/>
        <w:jc w:val="center"/>
        <w:rPr>
          <w:rFonts w:hint="eastAsia" w:ascii="方正小标宋简体" w:hAnsi="Times New Roman" w:eastAsia="方正小标宋简体" w:cs="Times New Roman"/>
          <w:bCs/>
          <w:snapToGrid w:val="0"/>
          <w:kern w:val="0"/>
          <w:sz w:val="44"/>
          <w:szCs w:val="44"/>
          <w:lang w:val="en-US" w:eastAsia="zh-CN" w:bidi="ar-SA"/>
        </w:rPr>
      </w:pPr>
      <w:r>
        <w:rPr>
          <w:rFonts w:hint="eastAsia" w:ascii="方正小标宋简体" w:hAnsi="Times New Roman" w:eastAsia="方正小标宋简体" w:cs="Times New Roman"/>
          <w:bCs/>
          <w:snapToGrid w:val="0"/>
          <w:kern w:val="0"/>
          <w:sz w:val="44"/>
          <w:szCs w:val="44"/>
          <w:lang w:val="en-US" w:eastAsia="zh-CN" w:bidi="ar-SA"/>
        </w:rPr>
        <w:t>生产二部14号变电所6kV电容器升级改造项目技术规格书</w:t>
      </w:r>
    </w:p>
    <w:bookmarkEnd w:id="0"/>
    <w:p>
      <w:pPr>
        <w:spacing w:line="240" w:lineRule="atLeast"/>
        <w:jc w:val="center"/>
        <w:rPr>
          <w:rFonts w:hint="eastAsia" w:ascii="楷体_GB2312" w:hAnsi="楷体_GB2312"/>
          <w:sz w:val="52"/>
          <w:szCs w:val="52"/>
        </w:rPr>
      </w:pPr>
      <w:r>
        <w:rPr>
          <w:rFonts w:ascii="楷体_GB2312" w:hAnsi="楷体_GB2312"/>
          <w:sz w:val="52"/>
          <w:szCs w:val="52"/>
        </w:rPr>
        <w:t xml:space="preserve"> </w:t>
      </w:r>
    </w:p>
    <w:p>
      <w:pPr>
        <w:spacing w:line="240" w:lineRule="atLeast"/>
        <w:jc w:val="center"/>
        <w:rPr>
          <w:rFonts w:hint="eastAsia" w:ascii="楷体_GB2312" w:hAnsi="楷体_GB2312"/>
          <w:sz w:val="52"/>
          <w:szCs w:val="52"/>
        </w:rPr>
      </w:pPr>
      <w:r>
        <w:rPr>
          <w:rFonts w:ascii="楷体_GB2312" w:hAnsi="楷体_GB2312"/>
          <w:sz w:val="52"/>
          <w:szCs w:val="52"/>
        </w:rPr>
        <w:t xml:space="preserve"> </w:t>
      </w:r>
    </w:p>
    <w:p>
      <w:pPr>
        <w:spacing w:line="240" w:lineRule="atLeast"/>
        <w:jc w:val="center"/>
        <w:rPr>
          <w:rFonts w:hint="eastAsia" w:ascii="楷体_GB2312" w:hAnsi="楷体_GB2312"/>
          <w:sz w:val="52"/>
          <w:szCs w:val="52"/>
        </w:rPr>
      </w:pPr>
      <w:r>
        <w:rPr>
          <w:rFonts w:ascii="楷体_GB2312" w:hAnsi="楷体_GB2312"/>
          <w:sz w:val="52"/>
          <w:szCs w:val="52"/>
        </w:rPr>
        <w:t xml:space="preserve"> </w:t>
      </w:r>
    </w:p>
    <w:p>
      <w:pPr>
        <w:spacing w:line="240" w:lineRule="atLeast"/>
        <w:jc w:val="center"/>
        <w:rPr>
          <w:rFonts w:hint="eastAsia" w:ascii="楷体_GB2312" w:hAnsi="楷体_GB2312"/>
          <w:sz w:val="52"/>
          <w:szCs w:val="52"/>
        </w:rPr>
      </w:pPr>
      <w:r>
        <w:rPr>
          <w:rFonts w:ascii="楷体_GB2312" w:hAnsi="楷体_GB2312"/>
          <w:sz w:val="52"/>
          <w:szCs w:val="52"/>
        </w:rPr>
        <w:t xml:space="preserve"> </w:t>
      </w:r>
    </w:p>
    <w:p>
      <w:pPr>
        <w:spacing w:line="240" w:lineRule="atLeast"/>
        <w:jc w:val="center"/>
        <w:rPr>
          <w:rFonts w:hint="eastAsia" w:ascii="楷体_GB2312" w:hAnsi="楷体_GB2312"/>
          <w:sz w:val="52"/>
          <w:szCs w:val="52"/>
        </w:rPr>
      </w:pPr>
      <w:r>
        <w:rPr>
          <w:rFonts w:ascii="楷体_GB2312" w:hAnsi="楷体_GB2312"/>
          <w:sz w:val="52"/>
          <w:szCs w:val="52"/>
        </w:rPr>
        <w:t xml:space="preserve"> </w:t>
      </w:r>
    </w:p>
    <w:p>
      <w:pPr>
        <w:spacing w:line="460" w:lineRule="exact"/>
        <w:jc w:val="center"/>
        <w:rPr>
          <w:rFonts w:ascii="楷体_GB2312" w:hAnsi="楷体_GB2312"/>
          <w:b/>
          <w:bCs/>
          <w:sz w:val="32"/>
          <w:szCs w:val="32"/>
        </w:rPr>
      </w:pPr>
      <w:r>
        <w:rPr>
          <w:rFonts w:ascii="楷体_GB2312" w:hAnsi="楷体_GB2312"/>
          <w:b/>
          <w:bCs/>
          <w:sz w:val="32"/>
          <w:szCs w:val="32"/>
        </w:rPr>
        <w:t xml:space="preserve"> </w:t>
      </w:r>
    </w:p>
    <w:p>
      <w:pPr>
        <w:spacing w:line="460" w:lineRule="exact"/>
        <w:jc w:val="center"/>
        <w:rPr>
          <w:rFonts w:ascii="楷体_GB2312" w:hAnsi="楷体_GB2312"/>
          <w:b/>
          <w:bCs/>
          <w:sz w:val="32"/>
          <w:szCs w:val="32"/>
        </w:rPr>
      </w:pPr>
    </w:p>
    <w:p>
      <w:pPr>
        <w:spacing w:line="460" w:lineRule="exact"/>
        <w:jc w:val="center"/>
        <w:rPr>
          <w:rFonts w:ascii="楷体_GB2312" w:hAnsi="楷体_GB2312"/>
          <w:b/>
          <w:bCs/>
          <w:sz w:val="32"/>
          <w:szCs w:val="32"/>
        </w:rPr>
      </w:pPr>
    </w:p>
    <w:p>
      <w:pPr>
        <w:spacing w:line="460" w:lineRule="exact"/>
        <w:jc w:val="center"/>
        <w:rPr>
          <w:rFonts w:ascii="楷体_GB2312" w:hAnsi="楷体_GB2312"/>
          <w:b/>
          <w:bCs/>
          <w:sz w:val="32"/>
          <w:szCs w:val="32"/>
        </w:rPr>
      </w:pPr>
    </w:p>
    <w:p>
      <w:pPr>
        <w:adjustRightInd w:val="0"/>
        <w:snapToGrid w:val="0"/>
        <w:rPr>
          <w:rFonts w:hint="eastAsia" w:ascii="宋体" w:hAnsi="宋体"/>
          <w:szCs w:val="21"/>
        </w:rPr>
        <w:sectPr>
          <w:footerReference r:id="rId3" w:type="default"/>
          <w:pgSz w:w="11906" w:h="16838"/>
          <w:pgMar w:top="1440" w:right="1800" w:bottom="1440" w:left="1800" w:header="851" w:footer="992" w:gutter="0"/>
          <w:pgNumType w:start="1"/>
          <w:cols w:space="720" w:num="1"/>
          <w:docGrid w:type="lines" w:linePitch="312" w:charSpace="0"/>
        </w:sectPr>
      </w:pPr>
    </w:p>
    <w:p>
      <w:pPr>
        <w:pStyle w:val="2"/>
        <w:pageBreakBefore w:val="0"/>
        <w:widowControl w:val="0"/>
        <w:numPr>
          <w:ilvl w:val="0"/>
          <w:numId w:val="0"/>
        </w:numPr>
        <w:kinsoku/>
        <w:wordWrap/>
        <w:overflowPunct/>
        <w:topLinePunct w:val="0"/>
        <w:autoSpaceDE/>
        <w:autoSpaceDN/>
        <w:bidi w:val="0"/>
        <w:spacing w:before="0" w:after="0"/>
        <w:ind w:left="0" w:leftChars="0" w:right="0" w:rightChars="0" w:firstLine="0" w:firstLineChars="0"/>
        <w:jc w:val="both"/>
        <w:textAlignment w:val="auto"/>
        <w:rPr>
          <w:rFonts w:hint="eastAsia" w:ascii="黑体" w:hAnsi="黑体" w:eastAsia="黑体" w:cs="黑体"/>
          <w:b/>
          <w:bCs/>
          <w:sz w:val="24"/>
          <w:szCs w:val="24"/>
          <w:lang w:val="en-US" w:eastAsia="zh-CN"/>
        </w:rPr>
      </w:pPr>
      <w:bookmarkStart w:id="1" w:name="_Toc229476378"/>
      <w:bookmarkEnd w:id="1"/>
      <w:bookmarkStart w:id="2" w:name="_Toc229476507"/>
      <w:bookmarkEnd w:id="2"/>
      <w:bookmarkStart w:id="3" w:name="_Toc229476588"/>
      <w:bookmarkEnd w:id="3"/>
      <w:bookmarkStart w:id="4" w:name="_Toc229476473"/>
      <w:bookmarkEnd w:id="4"/>
      <w:bookmarkStart w:id="5" w:name="_Toc112756677"/>
      <w:bookmarkStart w:id="6" w:name="_Toc4569"/>
      <w:bookmarkStart w:id="7" w:name="_Toc112756678"/>
      <w:r>
        <w:rPr>
          <w:rFonts w:hint="eastAsia" w:ascii="黑体" w:hAnsi="黑体" w:eastAsia="黑体" w:cs="黑体"/>
          <w:b/>
          <w:bCs/>
          <w:sz w:val="24"/>
          <w:szCs w:val="24"/>
          <w:lang w:val="en-US" w:eastAsia="zh-CN"/>
        </w:rPr>
        <w:t xml:space="preserve">1 </w:t>
      </w:r>
      <w:bookmarkEnd w:id="5"/>
      <w:bookmarkStart w:id="8" w:name="_Toc27470"/>
      <w:r>
        <w:rPr>
          <w:rFonts w:hint="eastAsia" w:ascii="黑体" w:hAnsi="黑体" w:eastAsia="黑体" w:cs="黑体"/>
          <w:b/>
          <w:bCs/>
          <w:sz w:val="24"/>
          <w:szCs w:val="24"/>
          <w:lang w:val="en-US" w:eastAsia="zh-CN"/>
        </w:rPr>
        <w:t xml:space="preserve"> 总则</w:t>
      </w:r>
      <w:bookmarkEnd w:id="6"/>
      <w:bookmarkEnd w:id="8"/>
    </w:p>
    <w:p>
      <w:pPr>
        <w:pStyle w:val="8"/>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both"/>
        <w:textAlignment w:val="auto"/>
        <w:rPr>
          <w:rFonts w:hint="eastAsia" w:ascii="宋体" w:hAnsi="宋体" w:eastAsia="宋体"/>
          <w:sz w:val="24"/>
          <w:szCs w:val="24"/>
        </w:rPr>
      </w:pPr>
      <w:bookmarkStart w:id="9" w:name="_Toc29732"/>
      <w:bookmarkStart w:id="10" w:name="_Toc21621"/>
      <w:r>
        <w:rPr>
          <w:rFonts w:hint="eastAsia" w:ascii="宋体" w:hAnsi="宋体" w:eastAsia="宋体"/>
          <w:sz w:val="24"/>
          <w:szCs w:val="24"/>
        </w:rPr>
        <w:t>1.1  本招标技术文件适用于</w:t>
      </w:r>
      <w:r>
        <w:rPr>
          <w:rFonts w:hint="eastAsia" w:ascii="宋体" w:hAnsi="宋体" w:eastAsia="宋体"/>
          <w:sz w:val="24"/>
          <w:szCs w:val="24"/>
          <w:lang w:eastAsia="zh-CN"/>
        </w:rPr>
        <w:t>生产二部</w:t>
      </w:r>
      <w:r>
        <w:rPr>
          <w:rFonts w:hint="eastAsia" w:ascii="宋体" w:hAnsi="宋体" w:eastAsia="宋体"/>
          <w:sz w:val="24"/>
          <w:szCs w:val="24"/>
        </w:rPr>
        <w:t>14#变电所采购的6kV高压并联电容器装置，</w:t>
      </w:r>
      <w:r>
        <w:rPr>
          <w:rFonts w:hint="eastAsia" w:ascii="宋体" w:hAnsi="宋体" w:eastAsia="宋体"/>
          <w:sz w:val="24"/>
          <w:szCs w:val="24"/>
          <w:lang w:eastAsia="zh-CN"/>
        </w:rPr>
        <w:t>包含</w:t>
      </w:r>
      <w:r>
        <w:rPr>
          <w:rFonts w:hint="eastAsia" w:ascii="宋体" w:hAnsi="宋体" w:eastAsia="宋体"/>
          <w:sz w:val="24"/>
          <w:szCs w:val="24"/>
        </w:rPr>
        <w:t>该设备本体及附属设备的功能设计、结构、性能、安装和试验等方面的技术要求。</w:t>
      </w:r>
    </w:p>
    <w:p>
      <w:pPr>
        <w:pStyle w:val="8"/>
        <w:adjustRightInd w:val="0"/>
        <w:snapToGrid w:val="0"/>
        <w:spacing w:line="360" w:lineRule="auto"/>
        <w:ind w:firstLine="0" w:firstLineChars="0"/>
        <w:rPr>
          <w:rFonts w:hint="eastAsia" w:ascii="宋体" w:hAnsi="宋体" w:eastAsia="宋体"/>
          <w:sz w:val="24"/>
          <w:szCs w:val="24"/>
        </w:rPr>
      </w:pPr>
      <w:r>
        <w:rPr>
          <w:rFonts w:hint="eastAsia" w:ascii="宋体" w:hAnsi="宋体" w:eastAsia="宋体"/>
          <w:sz w:val="24"/>
          <w:szCs w:val="24"/>
        </w:rPr>
        <w:t>1.2  本设备招标技术文件提出的</w:t>
      </w:r>
      <w:r>
        <w:rPr>
          <w:rFonts w:hint="eastAsia" w:ascii="宋体" w:hAnsi="宋体" w:eastAsia="宋体"/>
          <w:sz w:val="24"/>
          <w:szCs w:val="24"/>
          <w:lang w:eastAsia="zh-CN"/>
        </w:rPr>
        <w:t>为</w:t>
      </w:r>
      <w:r>
        <w:rPr>
          <w:rFonts w:hint="eastAsia" w:ascii="宋体" w:hAnsi="宋体" w:eastAsia="宋体"/>
          <w:sz w:val="24"/>
          <w:szCs w:val="24"/>
        </w:rPr>
        <w:t>最低限度的技术要求。凡本招标技术文件中未规定，但在相关设备的行业标准、国家标准或IEC标准中有规定的规范条文，投标方应按相应标准的条文进行设备设计、制造、试验和安装</w:t>
      </w:r>
      <w:r>
        <w:rPr>
          <w:rFonts w:hint="eastAsia" w:ascii="宋体" w:hAnsi="宋体" w:eastAsia="宋体"/>
          <w:sz w:val="24"/>
          <w:szCs w:val="24"/>
          <w:lang w:eastAsia="zh-CN"/>
        </w:rPr>
        <w:t>等</w:t>
      </w:r>
      <w:r>
        <w:rPr>
          <w:rFonts w:hint="eastAsia" w:ascii="宋体" w:hAnsi="宋体" w:eastAsia="宋体"/>
          <w:sz w:val="24"/>
          <w:szCs w:val="24"/>
        </w:rPr>
        <w:t>。对国家有关安全、环保等强制性标准，必须满足其要求。</w:t>
      </w:r>
    </w:p>
    <w:p>
      <w:pPr>
        <w:pStyle w:val="8"/>
        <w:adjustRightInd w:val="0"/>
        <w:snapToGrid w:val="0"/>
        <w:spacing w:line="360" w:lineRule="auto"/>
        <w:ind w:firstLine="0" w:firstLineChars="0"/>
        <w:rPr>
          <w:rFonts w:hint="eastAsia" w:ascii="宋体" w:hAnsi="宋体" w:eastAsia="宋体"/>
          <w:sz w:val="24"/>
          <w:szCs w:val="24"/>
        </w:rPr>
      </w:pPr>
      <w:r>
        <w:rPr>
          <w:rFonts w:hint="eastAsia" w:ascii="宋体" w:hAnsi="宋体" w:eastAsia="宋体"/>
          <w:sz w:val="24"/>
          <w:szCs w:val="24"/>
        </w:rPr>
        <w:t>1.3  如果投标方没有以书面形式对本招标技术文件的条文提出异议，则</w:t>
      </w:r>
      <w:r>
        <w:rPr>
          <w:rFonts w:hint="eastAsia" w:ascii="宋体" w:hAnsi="宋体" w:eastAsia="宋体"/>
          <w:sz w:val="24"/>
          <w:szCs w:val="24"/>
          <w:lang w:eastAsia="zh-CN"/>
        </w:rPr>
        <w:t>视为</w:t>
      </w:r>
      <w:r>
        <w:rPr>
          <w:rFonts w:hint="eastAsia" w:ascii="宋体" w:hAnsi="宋体" w:eastAsia="宋体"/>
          <w:sz w:val="24"/>
          <w:szCs w:val="24"/>
        </w:rPr>
        <w:t>投标方提供的设备完全符合本招标技术文件的要求。</w:t>
      </w:r>
    </w:p>
    <w:p>
      <w:pPr>
        <w:pStyle w:val="8"/>
        <w:adjustRightInd w:val="0"/>
        <w:snapToGrid w:val="0"/>
        <w:spacing w:line="360" w:lineRule="auto"/>
        <w:ind w:firstLine="0" w:firstLineChars="0"/>
        <w:rPr>
          <w:rFonts w:hint="eastAsia" w:ascii="宋体" w:hAnsi="宋体" w:eastAsia="宋体"/>
          <w:sz w:val="24"/>
          <w:szCs w:val="24"/>
        </w:rPr>
      </w:pPr>
      <w:r>
        <w:rPr>
          <w:rFonts w:hint="eastAsia" w:ascii="宋体" w:hAnsi="宋体" w:eastAsia="宋体"/>
          <w:sz w:val="24"/>
          <w:szCs w:val="24"/>
        </w:rPr>
        <w:t>1.4  本招标技术文件所使用的标准如遇与投标方所执行的标准不一致时，按较高标准执行。</w:t>
      </w:r>
    </w:p>
    <w:p>
      <w:pPr>
        <w:pStyle w:val="8"/>
        <w:adjustRightInd w:val="0"/>
        <w:snapToGrid w:val="0"/>
        <w:spacing w:line="360" w:lineRule="auto"/>
        <w:ind w:firstLine="0" w:firstLineChars="0"/>
        <w:rPr>
          <w:rFonts w:hint="eastAsia" w:ascii="宋体" w:hAnsi="宋体" w:eastAsia="宋体"/>
          <w:sz w:val="24"/>
          <w:szCs w:val="24"/>
        </w:rPr>
      </w:pPr>
      <w:r>
        <w:rPr>
          <w:rFonts w:hint="eastAsia" w:ascii="宋体" w:hAnsi="宋体" w:eastAsia="宋体"/>
          <w:sz w:val="24"/>
          <w:szCs w:val="24"/>
        </w:rPr>
        <w:t>1.5  本招标技术文件经招标、投标双方确认后作为订货合同的技术附件，与合同正文具有同等的法律效力。</w:t>
      </w:r>
    </w:p>
    <w:p>
      <w:pPr>
        <w:pStyle w:val="8"/>
        <w:adjustRightInd w:val="0"/>
        <w:snapToGrid w:val="0"/>
        <w:spacing w:line="360" w:lineRule="auto"/>
        <w:ind w:firstLine="0" w:firstLineChars="0"/>
        <w:rPr>
          <w:rFonts w:hint="eastAsia" w:ascii="宋体" w:hAnsi="宋体" w:eastAsia="宋体"/>
          <w:sz w:val="24"/>
          <w:szCs w:val="24"/>
        </w:rPr>
      </w:pPr>
      <w:r>
        <w:rPr>
          <w:rFonts w:hint="eastAsia" w:ascii="宋体" w:hAnsi="宋体" w:eastAsia="宋体"/>
          <w:sz w:val="24"/>
          <w:szCs w:val="24"/>
        </w:rPr>
        <w:t>1.6  本招标技术文件未尽事宜，由招标、投标双方协商确定。</w:t>
      </w:r>
    </w:p>
    <w:p>
      <w:pPr>
        <w:pStyle w:val="8"/>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both"/>
        <w:textAlignment w:val="auto"/>
        <w:rPr>
          <w:rFonts w:hint="eastAsia" w:ascii="宋体" w:hAnsi="宋体" w:eastAsia="宋体"/>
          <w:sz w:val="24"/>
          <w:szCs w:val="24"/>
        </w:rPr>
      </w:pPr>
      <w:r>
        <w:rPr>
          <w:rFonts w:hint="eastAsia" w:ascii="宋体" w:hAnsi="宋体" w:eastAsia="宋体"/>
          <w:sz w:val="24"/>
          <w:szCs w:val="24"/>
        </w:rPr>
        <w:t>1.7  投标方在应标技术文件中应如实反映应标产品与本招标技术文件的技术差异。如果投标方没有提出技术差异，而在执行合同的过程中，招标方发现投标方提供的产品与其应标招标技术文件的条文存在差异，招标方有权利要求退货，并将对下一年度的评标工作有不同程度的影响。</w:t>
      </w:r>
    </w:p>
    <w:p>
      <w:pPr>
        <w:pStyle w:val="2"/>
        <w:pageBreakBefore w:val="0"/>
        <w:widowControl w:val="0"/>
        <w:numPr>
          <w:ilvl w:val="0"/>
          <w:numId w:val="0"/>
        </w:numPr>
        <w:kinsoku/>
        <w:wordWrap/>
        <w:overflowPunct/>
        <w:topLinePunct w:val="0"/>
        <w:autoSpaceDE/>
        <w:autoSpaceDN/>
        <w:bidi w:val="0"/>
        <w:spacing w:before="0" w:after="0"/>
        <w:ind w:left="0" w:leftChars="0" w:right="0" w:rightChars="0" w:firstLine="0" w:firstLineChars="0"/>
        <w:jc w:val="both"/>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2 升级改造范围</w:t>
      </w:r>
      <w:bookmarkEnd w:id="9"/>
      <w:bookmarkEnd w:id="10"/>
    </w:p>
    <w:p>
      <w:pPr>
        <w:pageBreakBefore w:val="0"/>
        <w:widowControl w:val="0"/>
        <w:kinsoku/>
        <w:wordWrap/>
        <w:overflowPunct/>
        <w:topLinePunct w:val="0"/>
        <w:autoSpaceDE/>
        <w:autoSpaceDN/>
        <w:bidi w:val="0"/>
        <w:spacing w:line="360" w:lineRule="auto"/>
        <w:ind w:left="0" w:leftChars="0" w:right="0" w:rightChars="0" w:firstLine="0" w:firstLineChars="0"/>
        <w:jc w:val="both"/>
        <w:textAlignment w:val="auto"/>
        <w:rPr>
          <w:rFonts w:hint="eastAsia" w:ascii="宋体" w:hAnsi="宋体" w:cs="宋体"/>
          <w:color w:val="000000"/>
          <w:sz w:val="24"/>
        </w:rPr>
      </w:pPr>
      <w:bookmarkStart w:id="11" w:name="_Toc290652071"/>
      <w:r>
        <w:rPr>
          <w:rFonts w:hint="eastAsia" w:ascii="宋体" w:hAnsi="宋体" w:cs="宋体"/>
          <w:color w:val="000000"/>
          <w:sz w:val="24"/>
        </w:rPr>
        <w:t>2.1 工程概况</w:t>
      </w:r>
      <w:bookmarkEnd w:id="11"/>
    </w:p>
    <w:p>
      <w:pPr>
        <w:spacing w:line="560" w:lineRule="exact"/>
        <w:ind w:firstLine="480" w:firstLineChars="200"/>
        <w:jc w:val="left"/>
        <w:rPr>
          <w:rFonts w:hint="eastAsia" w:ascii="宋体" w:hAnsi="宋体" w:eastAsia="宋体" w:cs="宋体"/>
          <w:kern w:val="2"/>
          <w:sz w:val="24"/>
          <w:szCs w:val="24"/>
          <w:lang w:val="en-US" w:eastAsia="zh-CN" w:bidi="ar-SA"/>
        </w:rPr>
      </w:pPr>
      <w:bookmarkStart w:id="12" w:name="_Toc290652072"/>
      <w:r>
        <w:rPr>
          <w:rFonts w:hint="eastAsia" w:ascii="宋体" w:hAnsi="宋体" w:eastAsia="宋体" w:cs="宋体"/>
          <w:kern w:val="2"/>
          <w:sz w:val="24"/>
          <w:szCs w:val="24"/>
          <w:lang w:val="en-US" w:eastAsia="zh-CN" w:bidi="ar-SA"/>
        </w:rPr>
        <w:t>生产二部14号变电所电容器于2010年4月投运，近几年以来故障频发，控制系统和部分高压设备因达到使用寿命，多次故障损坏，已无维修价值，且存在电气火灾风险。为保证变电所的安全运行，有效控制电能质量，改善电网功率因数，减少电能损耗，需将14号变电所两套电容器补偿装置进行升级改造。</w:t>
      </w:r>
    </w:p>
    <w:p>
      <w:pPr>
        <w:spacing w:line="360" w:lineRule="auto"/>
        <w:rPr>
          <w:rFonts w:hint="eastAsia" w:ascii="宋体" w:hAnsi="宋体" w:cs="宋体"/>
          <w:color w:val="000000"/>
          <w:sz w:val="24"/>
        </w:rPr>
      </w:pPr>
      <w:r>
        <w:rPr>
          <w:rFonts w:hint="eastAsia" w:ascii="宋体" w:hAnsi="宋体" w:cs="宋体"/>
          <w:color w:val="000000"/>
          <w:sz w:val="24"/>
        </w:rPr>
        <w:t xml:space="preserve">2.2 </w:t>
      </w:r>
      <w:r>
        <w:rPr>
          <w:rFonts w:hint="eastAsia" w:ascii="宋体" w:hAnsi="宋体" w:cs="宋体"/>
          <w:color w:val="000000"/>
          <w:sz w:val="24"/>
          <w:lang w:eastAsia="zh-CN"/>
        </w:rPr>
        <w:t>升级改造</w:t>
      </w:r>
      <w:r>
        <w:rPr>
          <w:rFonts w:hint="eastAsia" w:ascii="宋体" w:hAnsi="宋体" w:cs="宋体"/>
          <w:color w:val="000000"/>
          <w:sz w:val="24"/>
        </w:rPr>
        <w:t>范围</w:t>
      </w:r>
      <w:bookmarkEnd w:id="12"/>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1）14#所原电容补偿柜及附属设备的拆卸、运输。</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2）投标方应按本</w:t>
      </w:r>
      <w:r>
        <w:rPr>
          <w:rFonts w:hint="eastAsia" w:ascii="宋体" w:hAnsi="宋体" w:eastAsia="宋体" w:cs="宋体"/>
          <w:color w:val="000000"/>
          <w:sz w:val="24"/>
          <w:szCs w:val="24"/>
          <w:lang w:eastAsia="zh-CN"/>
        </w:rPr>
        <w:t>规格</w:t>
      </w:r>
      <w:r>
        <w:rPr>
          <w:rFonts w:hint="eastAsia" w:ascii="宋体" w:hAnsi="宋体" w:eastAsia="宋体" w:cs="宋体"/>
          <w:color w:val="000000"/>
          <w:sz w:val="24"/>
          <w:szCs w:val="24"/>
        </w:rPr>
        <w:t>书的要求提供</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套全新的、合格的6kV高压并联电容器装置及其附属设备、备品备件、专用工具。投标方所提供的装置及附件如需向第三方外购时，投标方应对其质量向招标方负责，并提供相应出厂</w:t>
      </w:r>
      <w:r>
        <w:rPr>
          <w:rFonts w:hint="eastAsia" w:ascii="宋体" w:hAnsi="宋体" w:eastAsia="宋体" w:cs="宋体"/>
          <w:color w:val="000000"/>
          <w:sz w:val="24"/>
          <w:szCs w:val="24"/>
          <w:lang w:eastAsia="zh-CN"/>
        </w:rPr>
        <w:t>试验</w:t>
      </w:r>
      <w:r>
        <w:rPr>
          <w:rFonts w:hint="eastAsia" w:ascii="宋体" w:hAnsi="宋体" w:eastAsia="宋体" w:cs="宋体"/>
          <w:color w:val="000000"/>
          <w:sz w:val="24"/>
          <w:szCs w:val="24"/>
        </w:rPr>
        <w:t>和验收证明。</w:t>
      </w:r>
    </w:p>
    <w:p>
      <w:pPr>
        <w:numPr>
          <w:ilvl w:val="0"/>
          <w:numId w:val="1"/>
        </w:num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两套</w:t>
      </w:r>
      <w:r>
        <w:rPr>
          <w:rFonts w:hint="eastAsia" w:ascii="宋体" w:hAnsi="宋体" w:eastAsia="宋体" w:cs="宋体"/>
          <w:color w:val="000000"/>
          <w:sz w:val="24"/>
          <w:szCs w:val="24"/>
        </w:rPr>
        <w:t>6kV高压并联电容器装置及其附属设备的设计、制造、装配、工厂试验、交付、现场安装和试验</w:t>
      </w:r>
      <w:r>
        <w:rPr>
          <w:rFonts w:hint="eastAsia" w:ascii="宋体" w:hAnsi="宋体" w:eastAsia="宋体" w:cs="宋体"/>
          <w:color w:val="000000"/>
          <w:sz w:val="24"/>
          <w:szCs w:val="24"/>
          <w:lang w:eastAsia="zh-CN"/>
        </w:rPr>
        <w:t>、调试、</w:t>
      </w:r>
      <w:r>
        <w:rPr>
          <w:rFonts w:hint="eastAsia" w:ascii="宋体" w:hAnsi="宋体" w:eastAsia="宋体" w:cs="宋体"/>
          <w:color w:val="000000"/>
          <w:sz w:val="24"/>
          <w:szCs w:val="24"/>
        </w:rPr>
        <w:t>试运行工作。</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cs="宋体"/>
          <w:color w:val="000000"/>
          <w:sz w:val="24"/>
          <w:szCs w:val="24"/>
          <w:lang w:eastAsia="zh-CN"/>
        </w:rPr>
        <w:t>供货范围</w:t>
      </w:r>
      <w:r>
        <w:rPr>
          <w:rFonts w:hint="eastAsia" w:ascii="宋体" w:hAnsi="宋体" w:eastAsia="宋体" w:cs="宋体"/>
          <w:color w:val="000000"/>
          <w:sz w:val="24"/>
          <w:szCs w:val="24"/>
          <w:lang w:eastAsia="zh-CN"/>
        </w:rPr>
        <w:t>设备最低配置一览表</w:t>
      </w:r>
      <w:r>
        <w:rPr>
          <w:rFonts w:hint="eastAsia" w:ascii="宋体" w:hAnsi="宋体" w:cs="宋体"/>
          <w:color w:val="000000"/>
          <w:sz w:val="24"/>
          <w:szCs w:val="24"/>
          <w:lang w:eastAsia="zh-CN"/>
        </w:rPr>
        <w:t>（设计图纸，开关柜设计结构布置，元器件选型等全部方案必须经过招标方最终确认。）</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3240" w:firstLineChars="1350"/>
        <w:jc w:val="both"/>
        <w:textAlignment w:val="auto"/>
        <w:outlineLvl w:val="9"/>
        <w:rPr>
          <w:rFonts w:hint="default" w:ascii="Times New Roman" w:hAnsi="Times New Roman" w:eastAsia="宋体" w:cs="Times New Roman"/>
          <w:szCs w:val="21"/>
        </w:rPr>
      </w:pPr>
      <w:r>
        <w:rPr>
          <w:rFonts w:hint="default" w:ascii="Times New Roman" w:hAnsi="Times New Roman" w:eastAsia="宋体" w:cs="Times New Roman"/>
          <w:sz w:val="24"/>
          <w:szCs w:val="24"/>
        </w:rPr>
        <w:t>供货范围设备</w:t>
      </w:r>
      <w:r>
        <w:rPr>
          <w:rFonts w:hint="eastAsia" w:ascii="Times New Roman" w:hAnsi="Times New Roman" w:cs="Times New Roman"/>
          <w:sz w:val="24"/>
          <w:szCs w:val="24"/>
          <w:lang w:eastAsia="zh-CN"/>
        </w:rPr>
        <w:t>最低配置</w:t>
      </w:r>
      <w:r>
        <w:rPr>
          <w:rFonts w:hint="default" w:ascii="Times New Roman" w:hAnsi="Times New Roman" w:eastAsia="宋体" w:cs="Times New Roman"/>
          <w:sz w:val="24"/>
          <w:szCs w:val="24"/>
        </w:rPr>
        <w:t>一览表</w:t>
      </w:r>
    </w:p>
    <w:tbl>
      <w:tblPr>
        <w:tblStyle w:val="7"/>
        <w:tblpPr w:leftFromText="180" w:rightFromText="180" w:vertAnchor="text" w:horzAnchor="page" w:tblpX="2180" w:tblpY="391"/>
        <w:tblOverlap w:val="never"/>
        <w:tblW w:w="828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470"/>
        <w:gridCol w:w="780"/>
        <w:gridCol w:w="5100"/>
        <w:gridCol w:w="93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387" w:hRule="atLeast"/>
          <w:tblHeader/>
        </w:trPr>
        <w:tc>
          <w:tcPr>
            <w:tcW w:w="1470" w:type="dxa"/>
            <w:vMerge w:val="restart"/>
            <w:vAlign w:val="center"/>
          </w:tcPr>
          <w:p>
            <w:pPr>
              <w:spacing w:line="360" w:lineRule="auto"/>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名称</w:t>
            </w:r>
          </w:p>
        </w:tc>
        <w:tc>
          <w:tcPr>
            <w:tcW w:w="780" w:type="dxa"/>
            <w:vMerge w:val="restart"/>
            <w:tcBorders>
              <w:right w:val="single" w:color="auto" w:sz="4" w:space="0"/>
            </w:tcBorders>
            <w:vAlign w:val="center"/>
          </w:tcPr>
          <w:p>
            <w:pPr>
              <w:spacing w:line="360" w:lineRule="auto"/>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单位</w:t>
            </w:r>
          </w:p>
        </w:tc>
        <w:tc>
          <w:tcPr>
            <w:tcW w:w="6030" w:type="dxa"/>
            <w:gridSpan w:val="2"/>
            <w:tcBorders>
              <w:left w:val="single" w:color="auto" w:sz="4" w:space="0"/>
              <w:bottom w:val="single" w:color="auto" w:sz="4" w:space="0"/>
            </w:tcBorders>
            <w:vAlign w:val="center"/>
          </w:tcPr>
          <w:p>
            <w:pPr>
              <w:spacing w:line="360" w:lineRule="auto"/>
              <w:ind w:firstLine="420" w:firstLineChars="20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项目要求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trHeight w:val="581" w:hRule="atLeast"/>
          <w:tblHeader/>
        </w:trPr>
        <w:tc>
          <w:tcPr>
            <w:tcW w:w="1470" w:type="dxa"/>
            <w:vMerge w:val="continue"/>
            <w:vAlign w:val="center"/>
          </w:tcPr>
          <w:p>
            <w:pPr>
              <w:spacing w:line="360" w:lineRule="auto"/>
              <w:ind w:firstLine="420" w:firstLineChars="200"/>
              <w:jc w:val="center"/>
              <w:rPr>
                <w:rFonts w:hint="default" w:ascii="Times New Roman" w:hAnsi="Times New Roman" w:eastAsia="宋体" w:cs="Times New Roman"/>
                <w:color w:val="000000"/>
                <w:sz w:val="21"/>
                <w:szCs w:val="21"/>
                <w:lang w:val="en-US" w:eastAsia="zh-CN"/>
              </w:rPr>
            </w:pPr>
          </w:p>
        </w:tc>
        <w:tc>
          <w:tcPr>
            <w:tcW w:w="780" w:type="dxa"/>
            <w:vMerge w:val="continue"/>
            <w:tcBorders>
              <w:right w:val="single" w:color="auto" w:sz="4" w:space="0"/>
            </w:tcBorders>
            <w:vAlign w:val="center"/>
          </w:tcPr>
          <w:p>
            <w:pPr>
              <w:spacing w:line="360" w:lineRule="auto"/>
              <w:ind w:firstLine="420" w:firstLineChars="200"/>
              <w:jc w:val="center"/>
              <w:rPr>
                <w:rFonts w:hint="default" w:ascii="Times New Roman" w:hAnsi="Times New Roman" w:eastAsia="宋体" w:cs="Times New Roman"/>
                <w:color w:val="000000"/>
                <w:sz w:val="21"/>
                <w:szCs w:val="21"/>
                <w:lang w:val="en-US" w:eastAsia="zh-CN"/>
              </w:rPr>
            </w:pPr>
          </w:p>
        </w:tc>
        <w:tc>
          <w:tcPr>
            <w:tcW w:w="5100" w:type="dxa"/>
            <w:tcBorders>
              <w:top w:val="single" w:color="auto" w:sz="4" w:space="0"/>
              <w:left w:val="single" w:color="auto" w:sz="4" w:space="0"/>
              <w:right w:val="single" w:color="auto" w:sz="4" w:space="0"/>
            </w:tcBorders>
            <w:vAlign w:val="center"/>
          </w:tcPr>
          <w:p>
            <w:pPr>
              <w:spacing w:line="360" w:lineRule="auto"/>
              <w:ind w:firstLine="420" w:firstLineChars="20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型式、规格</w:t>
            </w:r>
          </w:p>
        </w:tc>
        <w:tc>
          <w:tcPr>
            <w:tcW w:w="930" w:type="dxa"/>
            <w:tcBorders>
              <w:top w:val="single" w:color="auto" w:sz="4" w:space="0"/>
              <w:left w:val="single" w:color="auto" w:sz="4" w:space="0"/>
            </w:tcBorders>
            <w:vAlign w:val="center"/>
          </w:tcPr>
          <w:p>
            <w:pPr>
              <w:spacing w:line="360" w:lineRule="auto"/>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数量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Ex>
        <w:trPr>
          <w:cantSplit/>
          <w:trHeight w:val="450" w:hRule="atLeast"/>
        </w:trPr>
        <w:tc>
          <w:tcPr>
            <w:tcW w:w="1470" w:type="dxa"/>
            <w:vAlign w:val="center"/>
          </w:tcPr>
          <w:p>
            <w:pPr>
              <w:spacing w:line="360" w:lineRule="auto"/>
              <w:jc w:val="both"/>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6kV高压并联电容器装置,户内布置</w:t>
            </w:r>
            <w:r>
              <w:rPr>
                <w:rFonts w:hint="eastAsia" w:ascii="Times New Roman" w:hAnsi="Times New Roman" w:cs="Times New Roman"/>
                <w:color w:val="000000"/>
                <w:sz w:val="21"/>
                <w:szCs w:val="21"/>
                <w:lang w:val="en-US" w:eastAsia="zh-CN"/>
              </w:rPr>
              <w:t>。</w:t>
            </w:r>
          </w:p>
        </w:tc>
        <w:tc>
          <w:tcPr>
            <w:tcW w:w="780" w:type="dxa"/>
            <w:tcBorders>
              <w:right w:val="single" w:color="auto" w:sz="4" w:space="0"/>
            </w:tcBorders>
            <w:vAlign w:val="center"/>
          </w:tcPr>
          <w:p>
            <w:pPr>
              <w:spacing w:line="360" w:lineRule="auto"/>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套</w:t>
            </w:r>
          </w:p>
        </w:tc>
        <w:tc>
          <w:tcPr>
            <w:tcW w:w="5100" w:type="dxa"/>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1、TBB型式成套设备</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2、每</w:t>
            </w:r>
            <w:r>
              <w:rPr>
                <w:rFonts w:hint="default" w:ascii="Times New Roman" w:hAnsi="Times New Roman" w:eastAsia="宋体" w:cs="Times New Roman"/>
                <w:color w:val="000000"/>
                <w:sz w:val="21"/>
                <w:szCs w:val="21"/>
                <w:lang w:val="en-US" w:eastAsia="zh-CN"/>
              </w:rPr>
              <w:t>套总容量1800kVar,分组容量</w:t>
            </w:r>
            <w:r>
              <w:rPr>
                <w:rFonts w:hint="eastAsia" w:ascii="Times New Roman" w:hAnsi="Times New Roman" w:cs="Times New Roman"/>
                <w:color w:val="000000"/>
                <w:sz w:val="21"/>
                <w:szCs w:val="21"/>
                <w:lang w:val="en-US" w:eastAsia="zh-CN"/>
              </w:rPr>
              <w:t>300</w:t>
            </w:r>
            <w:r>
              <w:rPr>
                <w:rFonts w:hint="default" w:ascii="Times New Roman" w:hAnsi="Times New Roman" w:eastAsia="宋体" w:cs="Times New Roman"/>
                <w:color w:val="000000"/>
                <w:sz w:val="21"/>
                <w:szCs w:val="21"/>
                <w:lang w:val="en-US" w:eastAsia="zh-CN"/>
              </w:rPr>
              <w:t>kVar、300 kVar、600 kVar、</w:t>
            </w:r>
            <w:r>
              <w:rPr>
                <w:rFonts w:hint="eastAsia" w:ascii="Times New Roman" w:hAnsi="Times New Roman" w:cs="Times New Roman"/>
                <w:color w:val="000000"/>
                <w:sz w:val="21"/>
                <w:szCs w:val="21"/>
                <w:lang w:val="en-US" w:eastAsia="zh-CN"/>
              </w:rPr>
              <w:t>600</w:t>
            </w:r>
            <w:r>
              <w:rPr>
                <w:rFonts w:hint="default" w:ascii="Times New Roman" w:hAnsi="Times New Roman" w:eastAsia="宋体" w:cs="Times New Roman"/>
                <w:color w:val="000000"/>
                <w:sz w:val="21"/>
                <w:szCs w:val="21"/>
                <w:lang w:val="en-US" w:eastAsia="zh-CN"/>
              </w:rPr>
              <w:t xml:space="preserve"> kVar，要求可分组</w:t>
            </w:r>
            <w:r>
              <w:rPr>
                <w:rFonts w:hint="eastAsia" w:ascii="Times New Roman" w:hAnsi="Times New Roman" w:cs="Times New Roman"/>
                <w:color w:val="000000"/>
                <w:sz w:val="21"/>
                <w:szCs w:val="21"/>
                <w:lang w:val="en-US" w:eastAsia="zh-CN"/>
              </w:rPr>
              <w:t>进行</w:t>
            </w:r>
            <w:r>
              <w:rPr>
                <w:rFonts w:hint="default" w:ascii="Times New Roman" w:hAnsi="Times New Roman" w:eastAsia="宋体" w:cs="Times New Roman"/>
                <w:color w:val="000000"/>
                <w:sz w:val="21"/>
                <w:szCs w:val="21"/>
                <w:lang w:val="en-US" w:eastAsia="zh-CN"/>
              </w:rPr>
              <w:t>自动/手动投切</w:t>
            </w:r>
            <w:r>
              <w:rPr>
                <w:rFonts w:hint="eastAsia" w:ascii="Times New Roman" w:hAnsi="Times New Roman" w:eastAsia="宋体" w:cs="Times New Roman"/>
                <w:color w:val="000000"/>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3、每</w:t>
            </w:r>
            <w:r>
              <w:rPr>
                <w:rFonts w:hint="default" w:ascii="Times New Roman" w:hAnsi="Times New Roman" w:eastAsia="宋体" w:cs="Times New Roman"/>
                <w:color w:val="000000"/>
                <w:sz w:val="21"/>
                <w:szCs w:val="21"/>
                <w:lang w:val="en-US" w:eastAsia="zh-CN"/>
              </w:rPr>
              <w:t>套装置中均包括：</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并联电容器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干式铁芯串联电抗器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放电线圈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氧化锌避雷器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隔离带接地开关</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熔断器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真空接触器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控制器：自动/手动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cs="Times New Roman"/>
                <w:color w:val="000000"/>
                <w:sz w:val="21"/>
                <w:szCs w:val="21"/>
                <w:lang w:val="en-US" w:eastAsia="zh-CN"/>
              </w:rPr>
              <w:t>进线电缆、</w:t>
            </w:r>
            <w:r>
              <w:rPr>
                <w:rFonts w:hint="default" w:ascii="Times New Roman" w:hAnsi="Times New Roman" w:eastAsia="宋体" w:cs="Times New Roman"/>
                <w:color w:val="000000"/>
                <w:sz w:val="21"/>
                <w:szCs w:val="21"/>
                <w:lang w:val="en-US" w:eastAsia="zh-CN"/>
              </w:rPr>
              <w:t>铜母线及支柱绝缘子、二次元件及接线等必备的安装附件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备品备件：熔断器</w:t>
            </w:r>
            <w:r>
              <w:rPr>
                <w:rFonts w:hint="eastAsia" w:ascii="Times New Roman" w:hAnsi="Times New Roman" w:cs="Times New Roman"/>
                <w:color w:val="000000"/>
                <w:sz w:val="21"/>
                <w:szCs w:val="21"/>
                <w:lang w:val="en-US" w:eastAsia="zh-CN"/>
              </w:rPr>
              <w:t>(6支,300</w:t>
            </w:r>
            <w:r>
              <w:rPr>
                <w:rFonts w:hint="default" w:ascii="Times New Roman" w:hAnsi="Times New Roman" w:eastAsia="宋体" w:cs="Times New Roman"/>
                <w:color w:val="000000"/>
                <w:sz w:val="21"/>
                <w:szCs w:val="21"/>
                <w:lang w:val="en-US" w:eastAsia="zh-CN"/>
              </w:rPr>
              <w:t>kVar</w:t>
            </w:r>
            <w:r>
              <w:rPr>
                <w:rFonts w:hint="eastAsia" w:ascii="Times New Roman" w:hAnsi="Times New Roman" w:cs="Times New Roman"/>
                <w:color w:val="000000"/>
                <w:sz w:val="21"/>
                <w:szCs w:val="21"/>
                <w:lang w:val="en-US" w:eastAsia="zh-CN"/>
              </w:rPr>
              <w:t>柜、600</w:t>
            </w:r>
            <w:r>
              <w:rPr>
                <w:rFonts w:hint="default" w:ascii="Times New Roman" w:hAnsi="Times New Roman" w:eastAsia="宋体" w:cs="Times New Roman"/>
                <w:color w:val="000000"/>
                <w:sz w:val="21"/>
                <w:szCs w:val="21"/>
                <w:lang w:val="en-US" w:eastAsia="zh-CN"/>
              </w:rPr>
              <w:t xml:space="preserve"> kVar</w:t>
            </w:r>
            <w:r>
              <w:rPr>
                <w:rFonts w:hint="eastAsia" w:ascii="Times New Roman" w:hAnsi="Times New Roman" w:cs="Times New Roman"/>
                <w:color w:val="000000"/>
                <w:sz w:val="21"/>
                <w:szCs w:val="21"/>
                <w:lang w:val="en-US" w:eastAsia="zh-CN"/>
              </w:rPr>
              <w:t>柜各3支),</w:t>
            </w:r>
            <w:r>
              <w:rPr>
                <w:rFonts w:hint="eastAsia" w:ascii="Times New Roman" w:hAnsi="Times New Roman" w:eastAsia="宋体" w:cs="Times New Roman"/>
                <w:color w:val="000000"/>
                <w:sz w:val="21"/>
                <w:szCs w:val="21"/>
                <w:lang w:val="en-US" w:eastAsia="zh-CN"/>
              </w:rPr>
              <w:t>指示灯、分/合闸按钮、转换开关数量满足一台电容器补偿柜使用。</w:t>
            </w:r>
          </w:p>
        </w:tc>
        <w:tc>
          <w:tcPr>
            <w:tcW w:w="930" w:type="dxa"/>
            <w:tcBorders>
              <w:left w:val="single" w:color="auto" w:sz="4" w:space="0"/>
            </w:tcBorders>
            <w:vAlign w:val="center"/>
          </w:tcPr>
          <w:p>
            <w:pPr>
              <w:spacing w:line="360" w:lineRule="auto"/>
              <w:jc w:val="center"/>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2</w:t>
            </w:r>
          </w:p>
        </w:tc>
      </w:tr>
    </w:tbl>
    <w:p>
      <w:pPr>
        <w:spacing w:line="360" w:lineRule="auto"/>
        <w:ind w:firstLine="480" w:firstLineChars="200"/>
        <w:rPr>
          <w:rFonts w:hint="eastAsia" w:ascii="宋体" w:hAnsi="宋体" w:eastAsia="宋体" w:cs="宋体"/>
          <w:color w:val="000000"/>
          <w:sz w:val="24"/>
          <w:szCs w:val="24"/>
          <w:lang w:val="en-US" w:eastAsia="zh-CN"/>
        </w:rPr>
      </w:pP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每套高压并联电容器装置的供货范围包括:</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a.并联电容器</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b.干式铁芯串联电抗器</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c.放电线圈</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d.氧化锌避雷器</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e.隔离带接地开关</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f.熔断器</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g.真空接触器</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h.控制器</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i.TBB成套柜架</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j.铜母线（配绝缘热缩套）及安装用大爬距支柱绝缘子</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k.二次端子箱及内部各元件连接到端子之间的导线(连接导线不能有中间接头）</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l.备品备件及专用工具等。</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m.电容器补偿柜进线电缆(两根约60米，以实际测量为准)</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n.测温系统，能够检测每台电容器、电抗器的温度，并显示。</w:t>
      </w:r>
    </w:p>
    <w:p>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O.增加必要的通风散热设施。</w:t>
      </w:r>
    </w:p>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5）出厂试验由投标方在生产厂家内完成, 但应有招标方代表参加。</w:t>
      </w:r>
    </w:p>
    <w:bookmarkEnd w:id="7"/>
    <w:p>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6）现场安装和试验由投标方完成, 投标方协助招标方按标准检查安装质量, 做好售后服务工作。投标方应选派有经验的技术人员，对招标方人员免费培训。</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7）设备安装、调试和性能试验合格后方可投运。</w:t>
      </w:r>
    </w:p>
    <w:p>
      <w:pPr>
        <w:pStyle w:val="2"/>
        <w:pageBreakBefore w:val="0"/>
        <w:widowControl w:val="0"/>
        <w:numPr>
          <w:ilvl w:val="0"/>
          <w:numId w:val="0"/>
        </w:numPr>
        <w:kinsoku/>
        <w:wordWrap/>
        <w:overflowPunct/>
        <w:topLinePunct w:val="0"/>
        <w:autoSpaceDE/>
        <w:autoSpaceDN/>
        <w:bidi w:val="0"/>
        <w:spacing w:before="0" w:after="0"/>
        <w:ind w:left="0" w:leftChars="0" w:right="0" w:rightChars="0" w:firstLine="0" w:firstLineChars="0"/>
        <w:jc w:val="both"/>
        <w:textAlignment w:val="auto"/>
        <w:rPr>
          <w:rFonts w:hint="eastAsia" w:ascii="黑体" w:hAnsi="黑体" w:eastAsia="黑体" w:cs="黑体"/>
          <w:b/>
          <w:bCs/>
          <w:sz w:val="24"/>
          <w:szCs w:val="24"/>
          <w:lang w:val="en-US" w:eastAsia="zh-CN"/>
        </w:rPr>
      </w:pPr>
      <w:bookmarkStart w:id="13" w:name="_Toc18244"/>
      <w:r>
        <w:rPr>
          <w:rFonts w:hint="eastAsia" w:ascii="黑体" w:hAnsi="黑体" w:eastAsia="黑体" w:cs="黑体"/>
          <w:b/>
          <w:bCs/>
          <w:sz w:val="24"/>
          <w:szCs w:val="24"/>
          <w:lang w:val="en-US" w:eastAsia="zh-CN"/>
        </w:rPr>
        <w:t>3 应遵循的主要标准</w:t>
      </w:r>
      <w:bookmarkEnd w:id="13"/>
    </w:p>
    <w:p>
      <w:pPr>
        <w:pStyle w:val="8"/>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除本技术规格书特殊规定外, 投标方所提供的设备均按规定的标准和规程的最新版本进行设计、制造、试验和安装。如果这些标准内容有矛盾时, 应按最高标准的条款执行或按双方商定的标准执行。如果投标方选用本技术规格书规定以外的标准时, 则需提交这种替换标准供审查和分析。仅在投标方已证明替换标准相当或优于技术规格书规定的标准, 并从招标方处获得书面的认可才能使用。提交供审查的标准应为中文或英文版本。主要引用标准如下：</w:t>
      </w:r>
    </w:p>
    <w:p>
      <w:pPr>
        <w:pStyle w:val="8"/>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DL/T604-2009</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高压并联电容器装置使用技术条件</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IEC60871-1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高压并联电容器</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IEC 60270（2000-12）  </w:t>
      </w:r>
      <w:r>
        <w:rPr>
          <w:rFonts w:hint="eastAsia"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高压试验技术  局部放电测量</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GB 50150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eastAsia="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电气装置安装工程电气设备交接试验标准</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GB 311.1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高压输变电设备的绝缘配合</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GB 50227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eastAsia="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并联电容器装置设计规范</w:t>
      </w:r>
    </w:p>
    <w:p>
      <w:pPr>
        <w:pStyle w:val="9"/>
        <w:adjustRightInd w:val="0"/>
        <w:snapToGrid w:val="0"/>
        <w:spacing w:line="360" w:lineRule="auto"/>
        <w:ind w:left="2399" w:leftChars="228" w:hanging="1920" w:hangingChars="8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GB/T 11024.1 </w:t>
      </w:r>
      <w:r>
        <w:rPr>
          <w:rFonts w:hint="eastAsia" w:ascii="宋体" w:hAnsi="宋体" w:eastAsia="宋体" w:cs="宋体"/>
          <w:color w:val="000000"/>
          <w:kern w:val="2"/>
          <w:sz w:val="24"/>
          <w:szCs w:val="24"/>
          <w:lang w:val="en-US" w:eastAsia="zh-CN" w:bidi="ar-SA"/>
        </w:rPr>
        <w:tab/>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 xml:space="preserve">标称电压1kV以上交流电力系统用并联电容器  </w:t>
      </w:r>
    </w:p>
    <w:p>
      <w:pPr>
        <w:pStyle w:val="9"/>
        <w:adjustRightInd w:val="0"/>
        <w:snapToGrid w:val="0"/>
        <w:spacing w:line="360" w:lineRule="auto"/>
        <w:ind w:left="2394" w:leftChars="1140" w:firstLine="960" w:firstLineChars="4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第1部分：总则                  </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GB/T 11024.2 </w:t>
      </w:r>
      <w:r>
        <w:rPr>
          <w:rFonts w:hint="eastAsia" w:ascii="宋体" w:hAnsi="宋体" w:eastAsia="宋体" w:cs="宋体"/>
          <w:color w:val="000000"/>
          <w:kern w:val="2"/>
          <w:sz w:val="24"/>
          <w:szCs w:val="24"/>
          <w:lang w:val="en-US" w:eastAsia="zh-CN" w:bidi="ar-SA"/>
        </w:rPr>
        <w:tab/>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 xml:space="preserve">标称电压1kV以上交流电力系统用并联电容器  </w:t>
      </w:r>
    </w:p>
    <w:p>
      <w:pPr>
        <w:pStyle w:val="9"/>
        <w:adjustRightInd w:val="0"/>
        <w:snapToGrid w:val="0"/>
        <w:spacing w:line="360" w:lineRule="auto"/>
        <w:ind w:firstLine="3360" w:firstLineChars="14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第2部分：耐久性试验</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GB/T 11024.4 </w:t>
      </w:r>
      <w:r>
        <w:rPr>
          <w:rFonts w:hint="eastAsia" w:ascii="宋体" w:hAnsi="宋体" w:eastAsia="宋体" w:cs="宋体"/>
          <w:color w:val="000000"/>
          <w:kern w:val="2"/>
          <w:sz w:val="24"/>
          <w:szCs w:val="24"/>
          <w:lang w:val="en-US" w:eastAsia="zh-CN" w:bidi="ar-SA"/>
        </w:rPr>
        <w:tab/>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 xml:space="preserve">标称电压1kV以上交流电力系统用并联电容器  </w:t>
      </w:r>
    </w:p>
    <w:p>
      <w:pPr>
        <w:pStyle w:val="9"/>
        <w:adjustRightInd w:val="0"/>
        <w:snapToGrid w:val="0"/>
        <w:spacing w:line="360" w:lineRule="auto"/>
        <w:ind w:firstLine="3360" w:firstLineChars="14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第4部分：内部熔丝</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GB/T 10229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电抗器</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GB/T 26164.1</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电业安全工作规程 第1部分：热力和机械</w:t>
      </w:r>
    </w:p>
    <w:p>
      <w:pPr>
        <w:pStyle w:val="9"/>
        <w:wordWrap/>
        <w:adjustRightInd w:val="0"/>
        <w:snapToGrid w:val="0"/>
        <w:spacing w:line="360" w:lineRule="auto"/>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DL 442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高压并联电容器单台保护用熔断器订货技术条件</w:t>
      </w:r>
      <w:r>
        <w:rPr>
          <w:rFonts w:hint="eastAsia" w:hAnsi="宋体" w:eastAsia="宋体" w:cs="宋体"/>
          <w:color w:val="000000"/>
          <w:kern w:val="2"/>
          <w:sz w:val="24"/>
          <w:szCs w:val="24"/>
          <w:lang w:val="en-US" w:eastAsia="zh-CN" w:bidi="ar-SA"/>
        </w:rPr>
        <w:t xml:space="preserve">       </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DL/T 620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交流电气装置的过电压保护和绝缘配合</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DL/T 653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高压并联电容器用放电线圈订货技术条件</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DL/T 84         </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高压并联电容器使用技术条件</w:t>
      </w:r>
    </w:p>
    <w:p>
      <w:pPr>
        <w:pStyle w:val="9"/>
        <w:adjustRightInd w:val="0"/>
        <w:snapToGrid w:val="0"/>
        <w:spacing w:line="360" w:lineRule="auto"/>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DL 462-92</w:t>
      </w:r>
      <w:r>
        <w:rPr>
          <w:rFonts w:hint="eastAsia" w:ascii="宋体" w:hAnsi="宋体" w:eastAsia="宋体" w:cs="宋体"/>
          <w:color w:val="000000"/>
          <w:kern w:val="2"/>
          <w:sz w:val="24"/>
          <w:szCs w:val="24"/>
          <w:lang w:val="en-US" w:eastAsia="zh-CN" w:bidi="ar-SA"/>
        </w:rPr>
        <w:tab/>
      </w:r>
      <w:r>
        <w:rPr>
          <w:rFonts w:hint="eastAsia" w:ascii="宋体" w:hAnsi="宋体" w:eastAsia="宋体" w:cs="宋体"/>
          <w:color w:val="000000"/>
          <w:kern w:val="2"/>
          <w:sz w:val="24"/>
          <w:szCs w:val="24"/>
          <w:lang w:val="en-US" w:eastAsia="zh-CN" w:bidi="ar-SA"/>
        </w:rPr>
        <w:t xml:space="preserve">          </w:t>
      </w:r>
      <w:r>
        <w:rPr>
          <w:rFonts w:hint="eastAsia" w:hAnsi="宋体" w:eastAsia="宋体" w:cs="宋体"/>
          <w:color w:val="000000"/>
          <w:kern w:val="2"/>
          <w:sz w:val="24"/>
          <w:szCs w:val="24"/>
          <w:lang w:val="en-US" w:eastAsia="zh-CN" w:bidi="ar-SA"/>
        </w:rPr>
        <w:t xml:space="preserve">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高压并联电容器用串联电抗器订货技术条件</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DL/T 586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 xml:space="preserve">电力设备监造技术导则 </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Q/CSG 1 0001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变电站安健环设施标准</w:t>
      </w:r>
    </w:p>
    <w:p>
      <w:pPr>
        <w:pStyle w:val="9"/>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 xml:space="preserve">Q/CSG 1 0011          </w:t>
      </w:r>
      <w:r>
        <w:rPr>
          <w:rFonts w:hint="eastAsia" w:hAnsi="宋体" w:cs="宋体"/>
          <w:color w:val="000000"/>
          <w:kern w:val="2"/>
          <w:sz w:val="24"/>
          <w:szCs w:val="24"/>
          <w:lang w:val="en-US" w:eastAsia="zh-CN" w:bidi="ar-SA"/>
        </w:rPr>
        <w:t xml:space="preserve">   </w:t>
      </w:r>
      <w:r>
        <w:rPr>
          <w:rFonts w:hint="eastAsia" w:ascii="宋体" w:hAnsi="宋体" w:eastAsia="宋体" w:cs="宋体"/>
          <w:color w:val="000000"/>
          <w:kern w:val="2"/>
          <w:sz w:val="24"/>
          <w:szCs w:val="24"/>
          <w:lang w:val="en-US" w:eastAsia="zh-CN" w:bidi="ar-SA"/>
        </w:rPr>
        <w:t>220-500kV变电站电气技术导则</w:t>
      </w:r>
    </w:p>
    <w:p>
      <w:pPr>
        <w:pStyle w:val="2"/>
        <w:pageBreakBefore w:val="0"/>
        <w:widowControl w:val="0"/>
        <w:numPr>
          <w:ilvl w:val="0"/>
          <w:numId w:val="0"/>
        </w:numPr>
        <w:kinsoku/>
        <w:wordWrap/>
        <w:overflowPunct/>
        <w:topLinePunct w:val="0"/>
        <w:autoSpaceDE/>
        <w:autoSpaceDN/>
        <w:bidi w:val="0"/>
        <w:adjustRightInd/>
        <w:snapToGrid/>
        <w:spacing w:before="0" w:after="0"/>
        <w:ind w:left="0" w:leftChars="0" w:right="0" w:rightChars="0" w:firstLine="0" w:firstLineChars="0"/>
        <w:jc w:val="both"/>
        <w:textAlignment w:val="auto"/>
        <w:rPr>
          <w:rFonts w:hint="eastAsia" w:ascii="黑体" w:hAnsi="黑体" w:eastAsia="黑体" w:cs="黑体"/>
          <w:b/>
          <w:bCs/>
          <w:sz w:val="24"/>
          <w:szCs w:val="24"/>
        </w:rPr>
      </w:pPr>
      <w:bookmarkStart w:id="14" w:name="_Toc276492375"/>
      <w:bookmarkStart w:id="15" w:name="_Toc276490903"/>
      <w:bookmarkStart w:id="16" w:name="_Toc6814"/>
      <w:r>
        <w:rPr>
          <w:rFonts w:hint="eastAsia" w:ascii="黑体" w:hAnsi="黑体" w:eastAsia="黑体" w:cs="黑体"/>
          <w:b/>
          <w:bCs/>
          <w:sz w:val="24"/>
          <w:szCs w:val="24"/>
          <w:lang w:val="en-US" w:eastAsia="zh-CN"/>
        </w:rPr>
        <w:t xml:space="preserve">4 </w:t>
      </w:r>
      <w:r>
        <w:rPr>
          <w:rFonts w:hint="eastAsia" w:ascii="黑体" w:hAnsi="黑体" w:eastAsia="黑体" w:cs="黑体"/>
          <w:b/>
          <w:bCs/>
          <w:sz w:val="24"/>
          <w:szCs w:val="24"/>
        </w:rPr>
        <w:t>技术</w:t>
      </w:r>
      <w:bookmarkEnd w:id="14"/>
      <w:bookmarkEnd w:id="15"/>
      <w:r>
        <w:rPr>
          <w:rFonts w:hint="eastAsia" w:ascii="黑体" w:hAnsi="黑体" w:eastAsia="黑体" w:cs="黑体"/>
          <w:b/>
          <w:bCs/>
          <w:sz w:val="24"/>
          <w:szCs w:val="24"/>
        </w:rPr>
        <w:t>要求</w:t>
      </w:r>
      <w:bookmarkEnd w:id="16"/>
    </w:p>
    <w:p>
      <w:pPr>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bookmarkStart w:id="17" w:name="_Toc283566193"/>
      <w:bookmarkStart w:id="18" w:name="_Toc277597176"/>
      <w:bookmarkStart w:id="19" w:name="_Toc276492376"/>
      <w:r>
        <w:rPr>
          <w:rFonts w:hint="eastAsia" w:ascii="宋体" w:hAnsi="宋体" w:eastAsia="宋体" w:cs="宋体"/>
          <w:sz w:val="24"/>
          <w:szCs w:val="24"/>
          <w:lang w:val="en-US" w:eastAsia="zh-CN"/>
        </w:rPr>
        <w:t>4.1 技术参数要求</w:t>
      </w:r>
      <w:bookmarkEnd w:id="17"/>
      <w:bookmarkEnd w:id="18"/>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.1.1 高压并联电容器装置技术参数要求</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.1.1.1 技术参数要求</w:t>
      </w:r>
    </w:p>
    <w:p>
      <w:pPr>
        <w:spacing w:line="360" w:lineRule="auto"/>
        <w:rPr>
          <w:rFonts w:hint="eastAsia" w:ascii="宋体" w:hAnsi="宋体" w:eastAsia="宋体" w:cs="宋体"/>
          <w:sz w:val="24"/>
          <w:szCs w:val="24"/>
        </w:rPr>
      </w:pPr>
      <w:r>
        <w:rPr>
          <w:rFonts w:hint="eastAsia" w:ascii="宋体" w:hAnsi="宋体" w:eastAsia="宋体" w:cs="宋体"/>
          <w:sz w:val="24"/>
          <w:szCs w:val="24"/>
        </w:rPr>
        <w:t>1）额定频率： 50Hz</w:t>
      </w:r>
    </w:p>
    <w:p>
      <w:pPr>
        <w:spacing w:line="360" w:lineRule="auto"/>
        <w:rPr>
          <w:rFonts w:hint="eastAsia" w:ascii="宋体" w:hAnsi="宋体" w:eastAsia="宋体" w:cs="宋体"/>
          <w:sz w:val="24"/>
          <w:szCs w:val="24"/>
        </w:rPr>
      </w:pPr>
      <w:r>
        <w:rPr>
          <w:rFonts w:hint="eastAsia" w:ascii="宋体" w:hAnsi="宋体" w:eastAsia="宋体" w:cs="宋体"/>
          <w:sz w:val="24"/>
          <w:szCs w:val="24"/>
        </w:rPr>
        <w:t>2）额定电压：6.6/</w:t>
      </w:r>
      <w:r>
        <w:rPr>
          <w:rFonts w:hint="eastAsia" w:ascii="宋体" w:hAnsi="宋体" w:eastAsia="宋体" w:cs="宋体"/>
          <w:position w:val="-8"/>
          <w:sz w:val="24"/>
          <w:szCs w:val="24"/>
        </w:rPr>
        <w:object>
          <v:shape id="_x0000_i1025" o:spt="75" type="#_x0000_t75" style="height:17.9pt;width:17.9pt;" o:ole="t" filled="f" o:preferrelative="t" stroked="f" coordsize="21600,21600">
            <v:path/>
            <v:fill on="f" focussize="0,0"/>
            <v:stroke on="f"/>
            <v:imagedata r:id="rId9" o:title=""/>
            <o:lock v:ext="edit" aspectratio="t"/>
            <w10:wrap type="none"/>
            <w10:anchorlock/>
          </v:shape>
          <o:OLEObject Type="Embed" ProgID="Equation.3" ShapeID="_x0000_i1025" DrawAspect="Content" ObjectID="_1468075725" r:id="rId8">
            <o:LockedField>false</o:LockedField>
          </o:OLEObject>
        </w:object>
      </w:r>
      <w:r>
        <w:rPr>
          <w:rFonts w:hint="eastAsia" w:ascii="宋体" w:hAnsi="宋体" w:eastAsia="宋体" w:cs="宋体"/>
          <w:sz w:val="24"/>
          <w:szCs w:val="24"/>
        </w:rPr>
        <w:t>kV</w:t>
      </w:r>
    </w:p>
    <w:p>
      <w:pPr>
        <w:adjustRightInd w:val="0"/>
        <w:snapToGrid w:val="0"/>
        <w:spacing w:line="360" w:lineRule="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eastAsia="zh-CN"/>
        </w:rPr>
        <w:t>每</w:t>
      </w:r>
      <w:r>
        <w:rPr>
          <w:rFonts w:hint="eastAsia" w:ascii="宋体" w:hAnsi="宋体" w:eastAsia="宋体" w:cs="宋体"/>
          <w:sz w:val="24"/>
          <w:szCs w:val="24"/>
        </w:rPr>
        <w:t xml:space="preserve">套总容量： 1800kvar,分组容量: </w:t>
      </w:r>
      <w:r>
        <w:rPr>
          <w:rFonts w:hint="eastAsia" w:ascii="宋体" w:hAnsi="宋体" w:cs="宋体"/>
          <w:sz w:val="24"/>
          <w:szCs w:val="24"/>
          <w:lang w:val="en-US" w:eastAsia="zh-CN"/>
        </w:rPr>
        <w:t>300</w:t>
      </w:r>
      <w:r>
        <w:rPr>
          <w:rFonts w:hint="eastAsia" w:ascii="宋体" w:hAnsi="宋体" w:eastAsia="宋体" w:cs="宋体"/>
          <w:sz w:val="24"/>
          <w:szCs w:val="24"/>
        </w:rPr>
        <w:t xml:space="preserve"> kVar 、300 kVar、600 kVar、</w:t>
      </w:r>
      <w:r>
        <w:rPr>
          <w:rFonts w:hint="eastAsia" w:ascii="宋体" w:hAnsi="宋体" w:cs="宋体"/>
          <w:sz w:val="24"/>
          <w:szCs w:val="24"/>
          <w:lang w:val="en-US" w:eastAsia="zh-CN"/>
        </w:rPr>
        <w:t>600</w:t>
      </w:r>
      <w:r>
        <w:rPr>
          <w:rFonts w:hint="eastAsia" w:ascii="宋体" w:hAnsi="宋体" w:eastAsia="宋体" w:cs="宋体"/>
          <w:sz w:val="24"/>
          <w:szCs w:val="24"/>
        </w:rPr>
        <w:t xml:space="preserve"> kVar</w:t>
      </w:r>
    </w:p>
    <w:p>
      <w:pPr>
        <w:adjustRightInd w:val="0"/>
        <w:snapToGrid w:val="0"/>
        <w:spacing w:line="360" w:lineRule="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）电容偏差：</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a.单台电容器容许的电容偏差为额定电容的0%～+5%。</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b.电容器组容许的电容偏差为装置额定电容的0%～+5%。</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c.三相电容器组的任何两线路端子之间，其电容最大值与最小值之比不超过1.02。</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d.电容器组各串联段的最大与最小电容之比不超过1.02。</w:t>
      </w:r>
    </w:p>
    <w:p>
      <w:pPr>
        <w:adjustRightInd w:val="0"/>
        <w:snapToGrid w:val="0"/>
        <w:spacing w:line="360" w:lineRule="auto"/>
        <w:rPr>
          <w:rFonts w:hint="eastAsia" w:ascii="宋体" w:hAnsi="宋体" w:eastAsia="宋体" w:cs="宋体"/>
          <w:sz w:val="24"/>
          <w:szCs w:val="24"/>
        </w:rPr>
      </w:pPr>
      <w:bookmarkStart w:id="20" w:name="_Toc277597196"/>
      <w:r>
        <w:rPr>
          <w:rFonts w:hint="eastAsia" w:ascii="宋体" w:hAnsi="宋体" w:cs="宋体"/>
          <w:sz w:val="24"/>
          <w:szCs w:val="24"/>
          <w:lang w:val="en-US" w:eastAsia="zh-CN"/>
        </w:rPr>
        <w:t>5</w:t>
      </w:r>
      <w:r>
        <w:rPr>
          <w:rFonts w:hint="eastAsia" w:ascii="宋体" w:hAnsi="宋体" w:eastAsia="宋体" w:cs="宋体"/>
          <w:sz w:val="24"/>
          <w:szCs w:val="24"/>
        </w:rPr>
        <w:t>）电容器的过载荷能力符合DL/T 604-2009中的有关规定。</w:t>
      </w:r>
    </w:p>
    <w:p>
      <w:pPr>
        <w:adjustRightInd w:val="0"/>
        <w:snapToGrid w:val="0"/>
        <w:spacing w:line="360" w:lineRule="auto"/>
        <w:rPr>
          <w:rFonts w:hint="eastAsia" w:ascii="宋体" w:hAnsi="宋体" w:eastAsia="宋体" w:cs="宋体"/>
          <w:sz w:val="24"/>
          <w:szCs w:val="24"/>
        </w:rPr>
      </w:pPr>
      <w:r>
        <w:rPr>
          <w:rFonts w:hint="eastAsia" w:ascii="宋体" w:hAnsi="宋体" w:cs="宋体"/>
          <w:sz w:val="24"/>
          <w:szCs w:val="24"/>
          <w:lang w:val="en-US" w:eastAsia="zh-CN"/>
        </w:rPr>
        <w:t>6</w:t>
      </w:r>
      <w:r>
        <w:rPr>
          <w:rFonts w:hint="eastAsia" w:ascii="宋体" w:hAnsi="宋体" w:eastAsia="宋体" w:cs="宋体"/>
          <w:sz w:val="24"/>
          <w:szCs w:val="24"/>
        </w:rPr>
        <w:t>）介质损耗角正切值(tg</w:t>
      </w:r>
      <w:r>
        <w:rPr>
          <w:rFonts w:hint="eastAsia" w:ascii="宋体" w:hAnsi="宋体" w:cs="宋体"/>
          <w:sz w:val="24"/>
          <w:szCs w:val="24"/>
          <w:lang w:eastAsia="zh-CN"/>
        </w:rPr>
        <w:t>φ</w:t>
      </w:r>
      <w:r>
        <w:rPr>
          <w:rFonts w:hint="eastAsia" w:ascii="宋体" w:hAnsi="宋体" w:eastAsia="宋体" w:cs="宋体"/>
          <w:sz w:val="24"/>
          <w:szCs w:val="24"/>
        </w:rPr>
        <w:t>）</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电容器在工频交流额定电压下，20℃时介质损耗角正切值(tg</w:t>
      </w:r>
      <w:r>
        <w:rPr>
          <w:rFonts w:hint="eastAsia" w:ascii="宋体" w:hAnsi="宋体" w:cs="宋体"/>
          <w:sz w:val="24"/>
          <w:szCs w:val="24"/>
          <w:lang w:eastAsia="zh-CN"/>
        </w:rPr>
        <w:t>φ</w:t>
      </w:r>
      <w:r>
        <w:rPr>
          <w:rFonts w:hint="eastAsia" w:ascii="宋体" w:hAnsi="宋体" w:eastAsia="宋体" w:cs="宋体"/>
          <w:sz w:val="24"/>
          <w:szCs w:val="24"/>
        </w:rPr>
        <w:t>）≤0.0003。</w:t>
      </w:r>
    </w:p>
    <w:p>
      <w:pPr>
        <w:adjustRightInd w:val="0"/>
        <w:snapToGrid w:val="0"/>
        <w:spacing w:line="360" w:lineRule="auto"/>
        <w:rPr>
          <w:rFonts w:hint="eastAsia" w:ascii="宋体" w:hAnsi="宋体" w:eastAsia="宋体" w:cs="宋体"/>
          <w:sz w:val="24"/>
          <w:szCs w:val="24"/>
        </w:rPr>
      </w:pPr>
      <w:r>
        <w:rPr>
          <w:rFonts w:hint="eastAsia" w:ascii="宋体" w:hAnsi="宋体" w:cs="宋体"/>
          <w:sz w:val="24"/>
          <w:szCs w:val="24"/>
          <w:lang w:val="en-US" w:eastAsia="zh-CN"/>
        </w:rPr>
        <w:t>7</w:t>
      </w:r>
      <w:r>
        <w:rPr>
          <w:rFonts w:hint="eastAsia" w:ascii="宋体" w:hAnsi="宋体" w:eastAsia="宋体" w:cs="宋体"/>
          <w:sz w:val="24"/>
          <w:szCs w:val="24"/>
        </w:rPr>
        <w:t>）电介质的电气强度</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电容器单元端子间的电介质必须能承受下列两种试验电压之一, 历时10s。</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a.工频交流电压</w:t>
      </w:r>
      <w:r>
        <w:rPr>
          <w:rFonts w:hint="eastAsia" w:ascii="宋体" w:hAnsi="宋体" w:eastAsia="宋体" w:cs="宋体"/>
          <w:sz w:val="24"/>
          <w:szCs w:val="24"/>
        </w:rPr>
        <w:tab/>
      </w:r>
      <w:r>
        <w:rPr>
          <w:rFonts w:hint="eastAsia" w:ascii="宋体" w:hAnsi="宋体" w:eastAsia="宋体" w:cs="宋体"/>
          <w:sz w:val="24"/>
          <w:szCs w:val="24"/>
        </w:rPr>
        <w:t>2.15Un</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b.直流电压</w:t>
      </w:r>
      <w:r>
        <w:rPr>
          <w:rFonts w:hint="eastAsia" w:ascii="宋体" w:hAnsi="宋体" w:eastAsia="宋体" w:cs="宋体"/>
          <w:sz w:val="24"/>
          <w:szCs w:val="24"/>
        </w:rPr>
        <w:tab/>
      </w:r>
      <w:r>
        <w:rPr>
          <w:rFonts w:hint="eastAsia" w:ascii="宋体" w:hAnsi="宋体" w:eastAsia="宋体" w:cs="宋体"/>
          <w:sz w:val="24"/>
          <w:szCs w:val="24"/>
        </w:rPr>
        <w:t xml:space="preserve">    4.3Un</w:t>
      </w:r>
    </w:p>
    <w:p>
      <w:pPr>
        <w:adjustRightInd w:val="0"/>
        <w:snapToGrid w:val="0"/>
        <w:spacing w:line="360" w:lineRule="auto"/>
        <w:rPr>
          <w:rFonts w:hint="eastAsia" w:ascii="宋体" w:hAnsi="宋体" w:eastAsia="宋体" w:cs="宋体"/>
          <w:sz w:val="24"/>
          <w:szCs w:val="24"/>
        </w:rPr>
      </w:pPr>
      <w:r>
        <w:rPr>
          <w:rFonts w:hint="eastAsia" w:ascii="宋体" w:hAnsi="宋体" w:cs="宋体"/>
          <w:sz w:val="24"/>
          <w:szCs w:val="24"/>
          <w:lang w:val="en-US" w:eastAsia="zh-CN"/>
        </w:rPr>
        <w:t>8</w:t>
      </w:r>
      <w:r>
        <w:rPr>
          <w:rFonts w:hint="eastAsia" w:ascii="宋体" w:hAnsi="宋体" w:eastAsia="宋体" w:cs="宋体"/>
          <w:sz w:val="24"/>
          <w:szCs w:val="24"/>
        </w:rPr>
        <w:t>）电容器装置主回路耐受短路电流能力</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动稳定电流</w:t>
      </w:r>
      <w:r>
        <w:rPr>
          <w:rFonts w:hint="eastAsia" w:ascii="宋体" w:hAnsi="宋体" w:eastAsia="宋体" w:cs="宋体"/>
          <w:sz w:val="24"/>
          <w:szCs w:val="24"/>
        </w:rPr>
        <w:tab/>
      </w:r>
      <w:r>
        <w:rPr>
          <w:rFonts w:hint="eastAsia" w:ascii="宋体" w:hAnsi="宋体" w:eastAsia="宋体" w:cs="宋体"/>
          <w:sz w:val="24"/>
          <w:szCs w:val="24"/>
        </w:rPr>
        <w:t xml:space="preserve">        32kA；</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热稳定电流</w:t>
      </w:r>
      <w:r>
        <w:rPr>
          <w:rFonts w:hint="eastAsia" w:ascii="宋体" w:hAnsi="宋体" w:eastAsia="宋体" w:cs="宋体"/>
          <w:sz w:val="24"/>
          <w:szCs w:val="24"/>
        </w:rPr>
        <w:tab/>
      </w:r>
      <w:r>
        <w:rPr>
          <w:rFonts w:hint="eastAsia" w:ascii="宋体" w:hAnsi="宋体" w:eastAsia="宋体" w:cs="宋体"/>
          <w:sz w:val="24"/>
          <w:szCs w:val="24"/>
        </w:rPr>
        <w:t xml:space="preserve">        12.5kA；</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热稳定电流持续时间</w:t>
      </w:r>
      <w:r>
        <w:rPr>
          <w:rFonts w:hint="eastAsia" w:ascii="宋体" w:hAnsi="宋体" w:eastAsia="宋体" w:cs="宋体"/>
          <w:sz w:val="24"/>
          <w:szCs w:val="24"/>
        </w:rPr>
        <w:tab/>
      </w:r>
      <w:r>
        <w:rPr>
          <w:rFonts w:hint="eastAsia" w:ascii="宋体" w:hAnsi="宋体" w:cs="宋体"/>
          <w:sz w:val="24"/>
          <w:szCs w:val="24"/>
          <w:lang w:val="en-US" w:eastAsia="zh-CN"/>
        </w:rPr>
        <w:t xml:space="preserve"> </w:t>
      </w:r>
      <w:r>
        <w:rPr>
          <w:rFonts w:hint="eastAsia" w:ascii="宋体" w:hAnsi="宋体" w:eastAsia="宋体" w:cs="宋体"/>
          <w:sz w:val="24"/>
          <w:szCs w:val="24"/>
        </w:rPr>
        <w:t>4s。</w:t>
      </w:r>
    </w:p>
    <w:p>
      <w:pPr>
        <w:adjustRightInd w:val="0"/>
        <w:snapToGrid w:val="0"/>
        <w:spacing w:line="360" w:lineRule="auto"/>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rPr>
        <w:t>）绝缘水平</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a.电容器装置的一次电路的各相之间及相与地之间，二次电路与地之间能承受下表所列耐受电压值：</w:t>
      </w:r>
    </w:p>
    <w:tbl>
      <w:tblPr>
        <w:tblStyle w:val="7"/>
        <w:tblW w:w="8259" w:type="dxa"/>
        <w:jc w:val="center"/>
        <w:tblInd w:w="0" w:type="dxa"/>
        <w:tblLayout w:type="fixed"/>
        <w:tblCellMar>
          <w:top w:w="0" w:type="dxa"/>
          <w:left w:w="108" w:type="dxa"/>
          <w:bottom w:w="0" w:type="dxa"/>
          <w:right w:w="108" w:type="dxa"/>
        </w:tblCellMar>
      </w:tblPr>
      <w:tblGrid>
        <w:gridCol w:w="1193"/>
        <w:gridCol w:w="1620"/>
        <w:gridCol w:w="2021"/>
        <w:gridCol w:w="1620"/>
        <w:gridCol w:w="1805"/>
      </w:tblGrid>
      <w:tr>
        <w:tblPrEx>
          <w:tblLayout w:type="fixed"/>
          <w:tblCellMar>
            <w:top w:w="0" w:type="dxa"/>
            <w:left w:w="108" w:type="dxa"/>
            <w:bottom w:w="0" w:type="dxa"/>
            <w:right w:w="108" w:type="dxa"/>
          </w:tblCellMar>
        </w:tblPrEx>
        <w:trPr>
          <w:trHeight w:val="784" w:hRule="atLeast"/>
          <w:jc w:val="center"/>
        </w:trPr>
        <w:tc>
          <w:tcPr>
            <w:tcW w:w="11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额定电压 （有效值）</w:t>
            </w:r>
          </w:p>
        </w:tc>
        <w:tc>
          <w:tcPr>
            <w:tcW w:w="162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最高运行电压 （有效值）</w:t>
            </w:r>
          </w:p>
        </w:tc>
        <w:tc>
          <w:tcPr>
            <w:tcW w:w="202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额定1min工频耐受电压 （有效值）</w:t>
            </w:r>
          </w:p>
        </w:tc>
        <w:tc>
          <w:tcPr>
            <w:tcW w:w="162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额定雷电全波冲击耐受电压（峰值）(1.2/50</w:t>
            </w:r>
            <w:r>
              <w:rPr>
                <w:rFonts w:hint="default" w:ascii="Times New Roman" w:hAnsi="Times New Roman" w:eastAsia="宋体" w:cs="Times New Roman"/>
                <w:kern w:val="0"/>
                <w:szCs w:val="21"/>
              </w:rPr>
              <w:sym w:font="Symbol" w:char="F06D"/>
            </w:r>
            <w:r>
              <w:rPr>
                <w:rFonts w:hint="default" w:ascii="Times New Roman" w:hAnsi="Times New Roman" w:eastAsia="宋体" w:cs="Times New Roman"/>
                <w:kern w:val="0"/>
                <w:szCs w:val="21"/>
              </w:rPr>
              <w:t>s）</w:t>
            </w:r>
          </w:p>
        </w:tc>
        <w:tc>
          <w:tcPr>
            <w:tcW w:w="180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二次电路工频耐受电压（有效值）</w:t>
            </w:r>
          </w:p>
        </w:tc>
      </w:tr>
      <w:tr>
        <w:tblPrEx>
          <w:tblLayout w:type="fixed"/>
          <w:tblCellMar>
            <w:top w:w="0" w:type="dxa"/>
            <w:left w:w="108" w:type="dxa"/>
            <w:bottom w:w="0" w:type="dxa"/>
            <w:right w:w="108" w:type="dxa"/>
          </w:tblCellMar>
        </w:tblPrEx>
        <w:trPr>
          <w:trHeight w:val="454" w:hRule="atLeast"/>
          <w:jc w:val="center"/>
        </w:trPr>
        <w:tc>
          <w:tcPr>
            <w:tcW w:w="11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6kV</w:t>
            </w:r>
          </w:p>
        </w:tc>
        <w:tc>
          <w:tcPr>
            <w:tcW w:w="162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7.2kV</w:t>
            </w:r>
          </w:p>
        </w:tc>
        <w:tc>
          <w:tcPr>
            <w:tcW w:w="202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32kV</w:t>
            </w:r>
          </w:p>
        </w:tc>
        <w:tc>
          <w:tcPr>
            <w:tcW w:w="162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60kV</w:t>
            </w:r>
          </w:p>
        </w:tc>
        <w:tc>
          <w:tcPr>
            <w:tcW w:w="180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3kV</w:t>
            </w:r>
          </w:p>
        </w:tc>
      </w:tr>
    </w:tbl>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b.电容器单元上和外壳绝缘的全部端子与外壳间的绝缘能承受下列耐受电压值:</w:t>
      </w:r>
    </w:p>
    <w:tbl>
      <w:tblPr>
        <w:tblStyle w:val="7"/>
        <w:tblW w:w="7335" w:type="dxa"/>
        <w:jc w:val="center"/>
        <w:tblInd w:w="0" w:type="dxa"/>
        <w:tblLayout w:type="fixed"/>
        <w:tblCellMar>
          <w:top w:w="0" w:type="dxa"/>
          <w:left w:w="108" w:type="dxa"/>
          <w:bottom w:w="0" w:type="dxa"/>
          <w:right w:w="108" w:type="dxa"/>
        </w:tblCellMar>
      </w:tblPr>
      <w:tblGrid>
        <w:gridCol w:w="1193"/>
        <w:gridCol w:w="1620"/>
        <w:gridCol w:w="2021"/>
        <w:gridCol w:w="2501"/>
      </w:tblGrid>
      <w:tr>
        <w:tblPrEx>
          <w:tblLayout w:type="fixed"/>
          <w:tblCellMar>
            <w:top w:w="0" w:type="dxa"/>
            <w:left w:w="108" w:type="dxa"/>
            <w:bottom w:w="0" w:type="dxa"/>
            <w:right w:w="108" w:type="dxa"/>
          </w:tblCellMar>
        </w:tblPrEx>
        <w:trPr>
          <w:trHeight w:val="784" w:hRule="atLeast"/>
          <w:jc w:val="center"/>
        </w:trPr>
        <w:tc>
          <w:tcPr>
            <w:tcW w:w="11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eastAsia" w:ascii="Times New Roman" w:hAnsi="Times New Roman" w:eastAsia="宋体" w:cs="Times New Roman"/>
                <w:kern w:val="0"/>
                <w:szCs w:val="21"/>
              </w:rPr>
              <w:t>额定电压</w:t>
            </w:r>
            <w:r>
              <w:rPr>
                <w:rFonts w:hint="default" w:ascii="Times New Roman" w:hAnsi="Times New Roman" w:eastAsia="宋体" w:cs="Times New Roman"/>
                <w:kern w:val="0"/>
                <w:szCs w:val="21"/>
              </w:rPr>
              <w:t xml:space="preserve"> </w:t>
            </w:r>
            <w:r>
              <w:rPr>
                <w:rFonts w:hint="eastAsia" w:ascii="Times New Roman" w:hAnsi="Times New Roman" w:eastAsia="宋体" w:cs="Times New Roman"/>
                <w:kern w:val="0"/>
                <w:szCs w:val="21"/>
              </w:rPr>
              <w:t>（有效值）</w:t>
            </w:r>
          </w:p>
        </w:tc>
        <w:tc>
          <w:tcPr>
            <w:tcW w:w="162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eastAsia" w:ascii="Times New Roman" w:hAnsi="Times New Roman" w:eastAsia="宋体" w:cs="Times New Roman"/>
                <w:kern w:val="0"/>
                <w:szCs w:val="21"/>
              </w:rPr>
              <w:t>最高运行电压</w:t>
            </w:r>
            <w:r>
              <w:rPr>
                <w:rFonts w:hint="default" w:ascii="Times New Roman" w:hAnsi="Times New Roman" w:eastAsia="宋体" w:cs="Times New Roman"/>
                <w:kern w:val="0"/>
                <w:szCs w:val="21"/>
              </w:rPr>
              <w:t xml:space="preserve"> </w:t>
            </w:r>
            <w:r>
              <w:rPr>
                <w:rFonts w:hint="eastAsia" w:ascii="Times New Roman" w:hAnsi="Times New Roman" w:eastAsia="宋体" w:cs="Times New Roman"/>
                <w:kern w:val="0"/>
                <w:szCs w:val="21"/>
              </w:rPr>
              <w:t>（有效值）</w:t>
            </w:r>
          </w:p>
        </w:tc>
        <w:tc>
          <w:tcPr>
            <w:tcW w:w="202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eastAsia" w:ascii="Times New Roman" w:hAnsi="Times New Roman" w:eastAsia="宋体" w:cs="Times New Roman"/>
                <w:kern w:val="0"/>
                <w:szCs w:val="21"/>
              </w:rPr>
              <w:t>额定1min工频耐受电压</w:t>
            </w:r>
            <w:r>
              <w:rPr>
                <w:rFonts w:hint="default" w:ascii="Times New Roman" w:hAnsi="Times New Roman" w:eastAsia="宋体" w:cs="Times New Roman"/>
                <w:kern w:val="0"/>
                <w:szCs w:val="21"/>
              </w:rPr>
              <w:t xml:space="preserve"> </w:t>
            </w:r>
            <w:r>
              <w:rPr>
                <w:rFonts w:hint="eastAsia" w:ascii="Times New Roman" w:hAnsi="Times New Roman" w:eastAsia="宋体" w:cs="Times New Roman"/>
                <w:kern w:val="0"/>
                <w:szCs w:val="21"/>
              </w:rPr>
              <w:t>（有效值）</w:t>
            </w:r>
          </w:p>
        </w:tc>
        <w:tc>
          <w:tcPr>
            <w:tcW w:w="250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default" w:ascii="Times New Roman" w:hAnsi="Times New Roman" w:eastAsia="宋体" w:cs="Times New Roman"/>
                <w:kern w:val="0"/>
                <w:szCs w:val="21"/>
              </w:rPr>
            </w:pPr>
            <w:r>
              <w:rPr>
                <w:rFonts w:hint="eastAsia" w:ascii="Times New Roman" w:hAnsi="Times New Roman" w:eastAsia="宋体" w:cs="Times New Roman"/>
                <w:kern w:val="0"/>
                <w:szCs w:val="21"/>
              </w:rPr>
              <w:t>额定雷电全波冲击耐受电压（峰值）(1.2/50</w:t>
            </w:r>
            <w:r>
              <w:rPr>
                <w:rFonts w:hint="eastAsia" w:ascii="Times New Roman" w:hAnsi="Times New Roman" w:eastAsia="宋体" w:cs="Times New Roman"/>
                <w:kern w:val="0"/>
                <w:szCs w:val="21"/>
              </w:rPr>
              <w:sym w:font="Symbol" w:char="F06D"/>
            </w:r>
            <w:r>
              <w:rPr>
                <w:rFonts w:hint="default" w:ascii="Times New Roman" w:hAnsi="Times New Roman" w:eastAsia="宋体" w:cs="Times New Roman"/>
                <w:kern w:val="0"/>
                <w:szCs w:val="21"/>
              </w:rPr>
              <w:t>s</w:t>
            </w:r>
            <w:r>
              <w:rPr>
                <w:rFonts w:hint="eastAsia" w:ascii="Times New Roman" w:hAnsi="Times New Roman" w:eastAsia="宋体" w:cs="Times New Roman"/>
                <w:kern w:val="0"/>
                <w:szCs w:val="21"/>
              </w:rPr>
              <w:t>）</w:t>
            </w:r>
          </w:p>
        </w:tc>
      </w:tr>
      <w:tr>
        <w:tblPrEx>
          <w:tblLayout w:type="fixed"/>
          <w:tblCellMar>
            <w:top w:w="0" w:type="dxa"/>
            <w:left w:w="108" w:type="dxa"/>
            <w:bottom w:w="0" w:type="dxa"/>
            <w:right w:w="108" w:type="dxa"/>
          </w:tblCellMar>
        </w:tblPrEx>
        <w:trPr>
          <w:trHeight w:val="454" w:hRule="atLeast"/>
          <w:jc w:val="center"/>
        </w:trPr>
        <w:tc>
          <w:tcPr>
            <w:tcW w:w="11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6kV</w:t>
            </w:r>
          </w:p>
        </w:tc>
        <w:tc>
          <w:tcPr>
            <w:tcW w:w="162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7.2kV</w:t>
            </w:r>
          </w:p>
        </w:tc>
        <w:tc>
          <w:tcPr>
            <w:tcW w:w="202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32kV</w:t>
            </w:r>
          </w:p>
        </w:tc>
        <w:tc>
          <w:tcPr>
            <w:tcW w:w="250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60kV</w:t>
            </w:r>
          </w:p>
        </w:tc>
      </w:tr>
    </w:tbl>
    <w:p>
      <w:pPr>
        <w:adjustRightInd w:val="0"/>
        <w:snapToGrid w:val="0"/>
        <w:spacing w:line="360" w:lineRule="auto"/>
        <w:rPr>
          <w:rFonts w:hint="eastAsia"/>
          <w:szCs w:val="21"/>
        </w:rPr>
      </w:pP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0</w:t>
      </w:r>
      <w:r>
        <w:rPr>
          <w:rFonts w:hint="eastAsia" w:ascii="宋体" w:hAnsi="宋体" w:eastAsia="宋体" w:cs="宋体"/>
          <w:sz w:val="24"/>
          <w:szCs w:val="24"/>
        </w:rPr>
        <w:t>）局部放电水平</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在加上额定电压使单元达到平衡后,再加2.15Un的电压历时1s,降压至1.35倍额定电压保持10min,然后升压至1.6倍额定电压保持10min,此时无明显局部放电。</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电容器局部放电的熄灭电压应不低于1.35倍额定电压,在温度下限时电容器局部放电的熄灭电压应不低于1.2倍额定电压。</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极对壳局部放电熄灭电压与相同绝缘水平的电容器的要求相同。</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1</w:t>
      </w:r>
      <w:r>
        <w:rPr>
          <w:rFonts w:hint="eastAsia" w:ascii="宋体" w:hAnsi="宋体" w:eastAsia="宋体" w:cs="宋体"/>
          <w:sz w:val="24"/>
          <w:szCs w:val="24"/>
        </w:rPr>
        <w:t>）电容器芯子最热点温度不高于75℃</w:t>
      </w:r>
      <w:r>
        <w:rPr>
          <w:rFonts w:hint="eastAsia" w:ascii="宋体" w:hAnsi="宋体" w:cs="宋体"/>
          <w:sz w:val="24"/>
          <w:szCs w:val="24"/>
          <w:lang w:eastAsia="zh-CN"/>
        </w:rPr>
        <w:t>。</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2</w:t>
      </w:r>
      <w:r>
        <w:rPr>
          <w:rFonts w:hint="eastAsia" w:ascii="宋体" w:hAnsi="宋体" w:eastAsia="宋体" w:cs="宋体"/>
          <w:sz w:val="24"/>
          <w:szCs w:val="24"/>
        </w:rPr>
        <w:t>）电容器外壳能承受不小于15kJ的爆破能量</w:t>
      </w:r>
      <w:r>
        <w:rPr>
          <w:rFonts w:hint="eastAsia" w:ascii="宋体" w:hAnsi="宋体" w:cs="宋体"/>
          <w:sz w:val="24"/>
          <w:szCs w:val="24"/>
          <w:lang w:eastAsia="zh-CN"/>
        </w:rPr>
        <w:t>。</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）引出端子及套管的要求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电容器引出端子采用双套管引出，套管能承受到500N的水平拉力，导电杆能承受52N*m扭矩。套管的爬电比距不小于31mm/kV (最高运行电压下）。</w:t>
      </w:r>
    </w:p>
    <w:p>
      <w:pPr>
        <w:numPr>
          <w:ilvl w:val="0"/>
          <w:numId w:val="2"/>
        </w:num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并联电容器元件内部工作场强应小于58kV/mm（k＝1时）。</w:t>
      </w:r>
    </w:p>
    <w:p>
      <w:pPr>
        <w:numPr>
          <w:ilvl w:val="0"/>
          <w:numId w:val="2"/>
        </w:numPr>
        <w:adjustRightInd w:val="0"/>
        <w:snapToGrid w:val="0"/>
        <w:spacing w:line="360" w:lineRule="auto"/>
        <w:rPr>
          <w:rFonts w:hint="eastAsia" w:ascii="宋体" w:hAnsi="宋体" w:eastAsia="宋体" w:cs="宋体"/>
          <w:sz w:val="24"/>
          <w:szCs w:val="24"/>
        </w:rPr>
      </w:pPr>
      <w:r>
        <w:rPr>
          <w:rFonts w:hint="eastAsia" w:ascii="宋体" w:hAnsi="宋体" w:cs="宋体"/>
          <w:sz w:val="24"/>
          <w:szCs w:val="24"/>
          <w:lang w:eastAsia="zh-CN"/>
        </w:rPr>
        <w:t>功率因数在</w:t>
      </w:r>
      <w:r>
        <w:rPr>
          <w:rFonts w:hint="eastAsia" w:ascii="宋体" w:hAnsi="宋体" w:eastAsia="宋体" w:cs="宋体"/>
          <w:sz w:val="24"/>
          <w:szCs w:val="24"/>
        </w:rPr>
        <w:t>满负荷</w:t>
      </w:r>
      <w:r>
        <w:rPr>
          <w:rFonts w:hint="eastAsia" w:ascii="宋体" w:hAnsi="宋体" w:cs="宋体"/>
          <w:sz w:val="24"/>
          <w:szCs w:val="24"/>
          <w:lang w:eastAsia="zh-CN"/>
        </w:rPr>
        <w:t>时</w:t>
      </w:r>
      <w:r>
        <w:rPr>
          <w:rFonts w:hint="eastAsia" w:ascii="宋体" w:hAnsi="宋体" w:eastAsia="宋体" w:cs="宋体"/>
          <w:sz w:val="24"/>
          <w:szCs w:val="24"/>
        </w:rPr>
        <w:t>不低于0.95，低谷负荷</w:t>
      </w:r>
      <w:r>
        <w:rPr>
          <w:rFonts w:hint="eastAsia" w:ascii="宋体" w:hAnsi="宋体" w:cs="宋体"/>
          <w:sz w:val="24"/>
          <w:szCs w:val="24"/>
          <w:lang w:eastAsia="zh-CN"/>
        </w:rPr>
        <w:t>时</w:t>
      </w:r>
      <w:r>
        <w:rPr>
          <w:rFonts w:hint="eastAsia" w:ascii="宋体" w:hAnsi="宋体" w:eastAsia="宋体" w:cs="宋体"/>
          <w:sz w:val="24"/>
          <w:szCs w:val="24"/>
        </w:rPr>
        <w:t>不高于0.99</w:t>
      </w:r>
      <w:r>
        <w:rPr>
          <w:rFonts w:hint="eastAsia" w:ascii="宋体" w:hAnsi="宋体" w:cs="宋体"/>
          <w:sz w:val="24"/>
          <w:szCs w:val="24"/>
          <w:lang w:eastAsia="zh-CN"/>
        </w:rPr>
        <w:t>。</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.1.1.2其他技术性能要求</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1）环境温度</w:t>
      </w:r>
      <w:r>
        <w:rPr>
          <w:rFonts w:hint="eastAsia" w:ascii="宋体" w:hAnsi="宋体" w:eastAsia="宋体" w:cs="宋体"/>
          <w:sz w:val="24"/>
          <w:szCs w:val="24"/>
          <w:lang w:eastAsia="zh-CN"/>
        </w:rPr>
        <w:t>适应性</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0</w:t>
      </w:r>
      <w:bookmarkStart w:id="21" w:name="OLE_LINK3"/>
      <w:r>
        <w:rPr>
          <w:rFonts w:hint="eastAsia" w:ascii="宋体" w:hAnsi="宋体" w:eastAsia="宋体" w:cs="宋体"/>
          <w:sz w:val="24"/>
          <w:szCs w:val="24"/>
        </w:rPr>
        <w:t>℃</w:t>
      </w:r>
      <w:bookmarkEnd w:id="21"/>
      <w:r>
        <w:rPr>
          <w:rFonts w:hint="eastAsia" w:ascii="宋体" w:hAnsi="宋体" w:eastAsia="宋体" w:cs="宋体"/>
          <w:sz w:val="24"/>
          <w:szCs w:val="24"/>
          <w:lang w:eastAsia="zh-CN"/>
        </w:rPr>
        <w:t>至</w:t>
      </w:r>
      <w:r>
        <w:rPr>
          <w:rFonts w:hint="eastAsia" w:ascii="宋体" w:hAnsi="宋体" w:eastAsia="宋体" w:cs="宋体"/>
          <w:sz w:val="24"/>
          <w:szCs w:val="24"/>
        </w:rPr>
        <w:t>＋50℃</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2）接线方式：单星形接线。</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3）氧化锌避雷器：</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型    号: </w:t>
      </w:r>
      <w:r>
        <w:rPr>
          <w:rFonts w:hint="eastAsia" w:ascii="宋体" w:hAnsi="宋体" w:cs="宋体"/>
          <w:sz w:val="24"/>
          <w:szCs w:val="24"/>
          <w:lang w:eastAsia="zh-CN"/>
        </w:rPr>
        <w:t>国内知名品牌</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方波电流: 400A</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爬电比距: ≥31mm/kV</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数    量: 每1分组电容器组3只</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安装方式: 相地之间并应紧靠电容器组高压侧入口处位置。</w:t>
      </w:r>
    </w:p>
    <w:p>
      <w:pPr>
        <w:numPr>
          <w:ilvl w:val="0"/>
          <w:numId w:val="3"/>
        </w:num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隔离带接地开关</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型    号: </w:t>
      </w:r>
      <w:r>
        <w:rPr>
          <w:rFonts w:hint="eastAsia" w:ascii="宋体" w:hAnsi="宋体" w:cs="宋体"/>
          <w:sz w:val="24"/>
          <w:szCs w:val="24"/>
          <w:lang w:eastAsia="zh-CN"/>
        </w:rPr>
        <w:t>国内知名品牌</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额定电压：10kV，额定电流630A，带手动操作机构和辅助开关</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户内安装时，爬电距离比距不小于25mm/kV；户外安装时，爬电比距不小于31mm/kV，且辅助开关应能防水、防潮。</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数量: 每1分组电容器组1把</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5）放电线圈</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放电线圈应采用干式结构</w:t>
      </w:r>
      <w:r>
        <w:rPr>
          <w:rFonts w:hint="eastAsia" w:ascii="宋体" w:hAnsi="宋体" w:cs="宋体"/>
          <w:sz w:val="24"/>
          <w:szCs w:val="24"/>
          <w:lang w:eastAsia="zh-CN"/>
        </w:rPr>
        <w:t>，国内知名品牌</w:t>
      </w:r>
      <w:r>
        <w:rPr>
          <w:rFonts w:hint="eastAsia" w:ascii="宋体" w:hAnsi="宋体" w:eastAsia="宋体" w:cs="宋体"/>
          <w:sz w:val="24"/>
          <w:szCs w:val="24"/>
        </w:rPr>
        <w:t>。</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额定电压: 6.6/</w:t>
      </w:r>
      <w:r>
        <w:rPr>
          <w:rFonts w:hint="eastAsia" w:ascii="宋体" w:hAnsi="宋体" w:eastAsia="宋体" w:cs="宋体"/>
          <w:position w:val="-8"/>
          <w:sz w:val="24"/>
          <w:szCs w:val="24"/>
        </w:rPr>
        <w:object>
          <v:shape id="_x0000_i1026" o:spt="75" type="#_x0000_t75" style="height:17.9pt;width:17.9pt;" o:ole="t" filled="f" o:preferrelative="t" stroked="f" coordsize="21600,21600">
            <v:path/>
            <v:fill on="f" focussize="0,0"/>
            <v:stroke on="f"/>
            <v:imagedata r:id="rId11" o:title=""/>
            <o:lock v:ext="edit" aspectratio="t"/>
            <w10:wrap type="none"/>
            <w10:anchorlock/>
          </v:shape>
          <o:OLEObject Type="Embed" ProgID="Equation.3" ShapeID="_x0000_i1026" DrawAspect="Content" ObjectID="_1468075726" r:id="rId10">
            <o:LockedField>false</o:LockedField>
          </o:OLEObject>
        </w:object>
      </w:r>
      <w:r>
        <w:rPr>
          <w:rFonts w:hint="eastAsia" w:ascii="宋体" w:hAnsi="宋体" w:eastAsia="宋体" w:cs="宋体"/>
          <w:sz w:val="24"/>
          <w:szCs w:val="24"/>
        </w:rPr>
        <w:t>kV</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电压变比:</w:t>
      </w:r>
      <w:r>
        <w:rPr>
          <w:rFonts w:hint="eastAsia" w:ascii="宋体" w:hAnsi="宋体" w:eastAsia="宋体" w:cs="宋体"/>
          <w:sz w:val="24"/>
          <w:szCs w:val="24"/>
        </w:rPr>
        <w:tab/>
      </w:r>
      <w:r>
        <w:rPr>
          <w:rFonts w:hint="eastAsia" w:ascii="宋体" w:hAnsi="宋体" w:eastAsia="宋体" w:cs="宋体"/>
          <w:sz w:val="24"/>
          <w:szCs w:val="24"/>
        </w:rPr>
        <w:t>6.6/</w:t>
      </w:r>
      <w:r>
        <w:rPr>
          <w:rFonts w:hint="eastAsia" w:ascii="宋体" w:hAnsi="宋体" w:eastAsia="宋体" w:cs="宋体"/>
          <w:position w:val="-8"/>
          <w:sz w:val="24"/>
          <w:szCs w:val="24"/>
        </w:rPr>
        <w:object>
          <v:shape id="_x0000_i1027" o:spt="75" type="#_x0000_t75" style="height:17.9pt;width:17.9pt;" o:ole="t" filled="f" o:preferrelative="t" stroked="f" coordsize="21600,21600">
            <v:path/>
            <v:fill on="f" focussize="0,0"/>
            <v:stroke on="f"/>
            <v:imagedata r:id="rId13" o:title=""/>
            <o:lock v:ext="edit" aspectratio="t"/>
            <w10:wrap type="none"/>
            <w10:anchorlock/>
          </v:shape>
          <o:OLEObject Type="Embed" ProgID="Equation.3" ShapeID="_x0000_i1027" DrawAspect="Content" ObjectID="_1468075727" r:id="rId12">
            <o:LockedField>false</o:LockedField>
          </o:OLEObject>
        </w:object>
      </w:r>
      <w:r>
        <w:rPr>
          <w:rFonts w:hint="eastAsia" w:ascii="宋体" w:hAnsi="宋体" w:eastAsia="宋体" w:cs="宋体"/>
          <w:sz w:val="24"/>
          <w:szCs w:val="24"/>
        </w:rPr>
        <w:t>:0.1/</w:t>
      </w:r>
      <w:r>
        <w:rPr>
          <w:rFonts w:hint="eastAsia" w:ascii="宋体" w:hAnsi="宋体" w:eastAsia="宋体" w:cs="宋体"/>
          <w:position w:val="-8"/>
          <w:sz w:val="24"/>
          <w:szCs w:val="24"/>
        </w:rPr>
        <w:object>
          <v:shape id="_x0000_i1028" o:spt="75" type="#_x0000_t75" style="height:17.9pt;width:17.9pt;" o:ole="t" filled="f" o:preferrelative="t" stroked="f" coordsize="21600,21600">
            <v:path/>
            <v:fill on="f" focussize="0,0"/>
            <v:stroke on="f"/>
            <v:imagedata r:id="rId15" o:title=""/>
            <o:lock v:ext="edit" aspectratio="t"/>
            <w10:wrap type="none"/>
            <w10:anchorlock/>
          </v:shape>
          <o:OLEObject Type="Embed" ProgID="Equation.3" ShapeID="_x0000_i1028" DrawAspect="Content" ObjectID="_1468075728" r:id="rId14">
            <o:LockedField>false</o:LockedField>
          </o:OLEObject>
        </w:object>
      </w:r>
      <w:r>
        <w:rPr>
          <w:rFonts w:hint="eastAsia" w:ascii="宋体" w:hAnsi="宋体" w:eastAsia="宋体" w:cs="宋体"/>
          <w:sz w:val="24"/>
          <w:szCs w:val="24"/>
        </w:rPr>
        <w:t>:0.1kV，电压变比误差：≤0.5%，角误差小于30</w:t>
      </w:r>
      <w:r>
        <w:rPr>
          <w:rFonts w:hint="eastAsia" w:ascii="宋体" w:hAnsi="宋体" w:eastAsia="宋体" w:cs="宋体"/>
          <w:sz w:val="24"/>
          <w:szCs w:val="24"/>
        </w:rPr>
        <w:sym w:font="Symbol" w:char="F0B0"/>
      </w:r>
      <w:r>
        <w:rPr>
          <w:rFonts w:hint="eastAsia" w:ascii="宋体" w:hAnsi="宋体" w:eastAsia="宋体" w:cs="宋体"/>
          <w:sz w:val="24"/>
          <w:szCs w:val="24"/>
        </w:rPr>
        <w:t>，二次负载50VA。</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6） </w:t>
      </w:r>
      <w:r>
        <w:rPr>
          <w:rFonts w:hint="eastAsia" w:ascii="宋体" w:hAnsi="宋体" w:eastAsia="宋体" w:cs="宋体"/>
          <w:sz w:val="24"/>
          <w:szCs w:val="24"/>
        </w:rPr>
        <w:t>a.电容器组脱开电源后，能在5s内将电容器组上的剩余电压降至50V以下</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b.数量:每1分组电容器组配3只</w:t>
      </w:r>
      <w:r>
        <w:rPr>
          <w:rFonts w:hint="eastAsia" w:ascii="宋体" w:hAnsi="宋体" w:cs="宋体"/>
          <w:sz w:val="24"/>
          <w:szCs w:val="24"/>
          <w:lang w:eastAsia="zh-CN"/>
        </w:rPr>
        <w:t>。</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7）熔断器</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额定电压：</w:t>
      </w:r>
      <w:r>
        <w:rPr>
          <w:rFonts w:hint="eastAsia" w:ascii="宋体" w:hAnsi="宋体" w:eastAsia="宋体" w:cs="宋体"/>
          <w:color w:val="000000"/>
          <w:sz w:val="24"/>
          <w:szCs w:val="24"/>
        </w:rPr>
        <w:t>7</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rPr>
        <w:t>kV</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额定电流：与电容器匹配</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一般要求：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a.电阻</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熔断器的电阻值应符合制造厂的规定，其偏差值应不超过±2.5%。</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b.耐压要求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熔丝熔断后，熔断器应能承受工频试验电压(干、湿）42kV，历时1min，不得发生闪络或击穿。户外型熔断器应进行湿试验。</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c.允许温升</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熔断器长期通过额定电流时，温升符合DL442第2.2.6条表5要求。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d.熔断特性</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熔丝在1.1倍额定电流下4h不熔断，1.5倍额定电流下熔断时间不超过75s，2倍额定电流下熔断时间不超过7.5s。</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e.时间—电流特性(安—秒特性）</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熔断器熔丝应具有稳定可靠的时间性—电流特性曲线。该曲线应包括0.01～600s的时间范围及其对应的动作电流，及0.1～600s时间范围内动作时间的分散性。</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f.抗涌流性能</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熔断器应能承受第一个半波峰值不低于熔丝额定电流100倍的涌流冲击。</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g.电气寿命</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在只更换熔丝的情况下，同一管体应能连续三次开断额定容性开断电流。</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h.结构要求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熔断器的所有外露金属件应有可靠的防腐蚀层，其表面光洁；</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其绝缘材料应有可靠的防潮措施；</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熔断器应有明显的熔断指示，应反应灵敏、动作可靠；</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熔断器尺寸应符合制造厂图样要求；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熔丝与管体的连接，以及熔丝中熔体和它的接头等，应确保在弹簧的正常拉力下无脱开、松动及变形等现象出现。</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i.安装要求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应提供外形图及安装尺寸，以及熔断器安装倾斜度的要求。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j.其他要求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其他要求应符合DL442标准的要求。且厂家必须提供合格的型式试验报告。户内型熔断器不得用于户外电容器组。</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更换后外熔断器的安装角度应符合产品安装说明书的要求。</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8）支柱绝缘子</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采用ZNW支柱绝缘子,保证各种工况下机械强度及爬电距离的要求。主母线其长期允许电流不小于1.35倍回路工作电流,且满足动热稳定要求。</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9）母线、连接线和热缩套</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电容器套管相互之间的连接线,电容器套管至母线熔断器的连接线均使用镀锡铜绞线,绞线与硬母线的连接使用镀银鼻子，母线需加热缩套。长期允许电流不小于1.5倍单台电容器额定电流,且满足动热稳定要求。</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10）真空接触器</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所选用真空接触器型式试验项目必须包含投切电容器组试验。真空接触器必须为适合频繁操作且开断时重燃率极低的产品。所选用的真空接触器需采用进口或合资品牌，如ABB、西门子、施耐德等同一等级的产品。</w:t>
      </w:r>
    </w:p>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0" w:leftChars="0" w:right="0" w:rightChars="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控制器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控制器以母线功率因数和无功需求量作为控制目标，自动跟踪投切电容，利用电容的无功补偿</w:t>
      </w:r>
      <w:r>
        <w:rPr>
          <w:rFonts w:hint="eastAsia" w:ascii="宋体" w:hAnsi="宋体" w:eastAsia="宋体" w:cs="宋体"/>
          <w:sz w:val="24"/>
          <w:szCs w:val="24"/>
          <w:lang w:eastAsia="zh-CN"/>
        </w:rPr>
        <w:t>，</w:t>
      </w:r>
      <w:r>
        <w:rPr>
          <w:rFonts w:hint="eastAsia" w:ascii="宋体" w:hAnsi="宋体" w:eastAsia="宋体" w:cs="宋体"/>
          <w:sz w:val="24"/>
          <w:szCs w:val="24"/>
        </w:rPr>
        <w:t>将功率因数控制在设定的范围内。通过手动自动选择开关，可分别选择自动或手动补偿。</w:t>
      </w:r>
      <w:r>
        <w:rPr>
          <w:rFonts w:hint="eastAsia" w:ascii="宋体" w:hAnsi="宋体" w:eastAsia="宋体" w:cs="宋体"/>
          <w:color w:val="000000"/>
          <w:kern w:val="0"/>
          <w:sz w:val="24"/>
          <w:szCs w:val="24"/>
        </w:rPr>
        <w:t>控制器实现</w:t>
      </w:r>
      <w:r>
        <w:rPr>
          <w:rFonts w:hint="eastAsia" w:ascii="宋体" w:hAnsi="宋体" w:eastAsia="宋体" w:cs="宋体"/>
          <w:kern w:val="0"/>
          <w:sz w:val="24"/>
          <w:szCs w:val="24"/>
        </w:rPr>
        <w:t>全汉字化菜单式</w:t>
      </w:r>
      <w:r>
        <w:rPr>
          <w:rFonts w:hint="eastAsia" w:ascii="宋体" w:hAnsi="宋体" w:eastAsia="宋体" w:cs="宋体"/>
          <w:color w:val="000000"/>
          <w:kern w:val="0"/>
          <w:sz w:val="24"/>
          <w:szCs w:val="24"/>
        </w:rPr>
        <w:t>操作，具有良好的人机界面，智能判断、优化控制，快速响应。</w:t>
      </w:r>
    </w:p>
    <w:p>
      <w:pPr>
        <w:tabs>
          <w:tab w:val="left" w:pos="6750"/>
        </w:tabs>
        <w:spacing w:line="360" w:lineRule="auto"/>
        <w:rPr>
          <w:rFonts w:hint="eastAsia" w:ascii="宋体" w:hAnsi="宋体" w:eastAsia="宋体" w:cs="宋体"/>
          <w:bCs/>
          <w:sz w:val="24"/>
          <w:szCs w:val="24"/>
        </w:rPr>
      </w:pPr>
      <w:r>
        <w:rPr>
          <w:rFonts w:hint="eastAsia" w:ascii="宋体" w:hAnsi="宋体" w:eastAsia="宋体" w:cs="宋体"/>
          <w:bCs/>
          <w:sz w:val="24"/>
          <w:szCs w:val="24"/>
        </w:rPr>
        <w:t>12）干式铁芯串联电抗器</w:t>
      </w:r>
    </w:p>
    <w:p>
      <w:pPr>
        <w:tabs>
          <w:tab w:val="left" w:pos="6750"/>
        </w:tabs>
        <w:spacing w:line="360" w:lineRule="auto"/>
        <w:ind w:firstLine="360" w:firstLineChars="150"/>
        <w:rPr>
          <w:rFonts w:hint="eastAsia" w:ascii="宋体" w:hAnsi="宋体" w:eastAsia="宋体" w:cs="宋体"/>
          <w:bCs/>
          <w:sz w:val="24"/>
          <w:szCs w:val="24"/>
        </w:rPr>
      </w:pPr>
      <w:r>
        <w:rPr>
          <w:rFonts w:hint="eastAsia" w:ascii="宋体" w:hAnsi="宋体" w:eastAsia="宋体" w:cs="宋体"/>
          <w:sz w:val="24"/>
          <w:szCs w:val="24"/>
        </w:rPr>
        <w:t xml:space="preserve">1. </w:t>
      </w:r>
      <w:r>
        <w:rPr>
          <w:rFonts w:hint="eastAsia" w:ascii="宋体" w:hAnsi="宋体" w:eastAsia="宋体" w:cs="宋体"/>
          <w:bCs/>
          <w:sz w:val="24"/>
          <w:szCs w:val="24"/>
        </w:rPr>
        <w:t>型号：</w:t>
      </w:r>
      <w:r>
        <w:rPr>
          <w:rFonts w:hint="eastAsia" w:ascii="宋体" w:hAnsi="宋体" w:cs="宋体"/>
          <w:bCs/>
          <w:sz w:val="24"/>
          <w:szCs w:val="24"/>
          <w:lang w:eastAsia="zh-CN"/>
        </w:rPr>
        <w:t>国内知名品牌</w:t>
      </w:r>
      <w:r>
        <w:rPr>
          <w:rFonts w:hint="eastAsia" w:ascii="宋体" w:hAnsi="宋体" w:eastAsia="宋体" w:cs="宋体"/>
          <w:bCs/>
          <w:sz w:val="24"/>
          <w:szCs w:val="24"/>
        </w:rPr>
        <w:t xml:space="preserve"> </w:t>
      </w:r>
    </w:p>
    <w:p>
      <w:pPr>
        <w:tabs>
          <w:tab w:val="left" w:pos="6750"/>
        </w:tabs>
        <w:spacing w:line="360" w:lineRule="auto"/>
        <w:ind w:firstLine="360" w:firstLineChars="150"/>
        <w:rPr>
          <w:rFonts w:hint="eastAsia" w:ascii="宋体" w:hAnsi="宋体" w:eastAsia="宋体" w:cs="宋体"/>
          <w:bCs/>
          <w:sz w:val="24"/>
          <w:szCs w:val="24"/>
        </w:rPr>
      </w:pPr>
      <w:r>
        <w:rPr>
          <w:rFonts w:hint="eastAsia" w:ascii="宋体" w:hAnsi="宋体" w:eastAsia="宋体" w:cs="宋体"/>
          <w:bCs/>
          <w:sz w:val="24"/>
          <w:szCs w:val="24"/>
        </w:rPr>
        <w:t xml:space="preserve">2. 额定电抗率： 6%   </w:t>
      </w:r>
    </w:p>
    <w:p>
      <w:pPr>
        <w:tabs>
          <w:tab w:val="left" w:pos="6750"/>
        </w:tabs>
        <w:spacing w:line="360" w:lineRule="auto"/>
        <w:ind w:firstLine="360" w:firstLineChars="150"/>
        <w:rPr>
          <w:rFonts w:hint="eastAsia" w:ascii="宋体" w:hAnsi="宋体" w:eastAsia="宋体" w:cs="宋体"/>
          <w:bCs/>
          <w:sz w:val="24"/>
          <w:szCs w:val="24"/>
        </w:rPr>
      </w:pPr>
      <w:r>
        <w:rPr>
          <w:rFonts w:hint="eastAsia" w:ascii="宋体" w:hAnsi="宋体" w:eastAsia="宋体" w:cs="宋体"/>
          <w:bCs/>
          <w:sz w:val="24"/>
          <w:szCs w:val="24"/>
        </w:rPr>
        <w:t>3. 额定频率：   50HZ</w:t>
      </w:r>
    </w:p>
    <w:p>
      <w:pPr>
        <w:tabs>
          <w:tab w:val="left" w:pos="6750"/>
        </w:tabs>
        <w:spacing w:line="360" w:lineRule="auto"/>
        <w:ind w:firstLine="360" w:firstLineChars="150"/>
        <w:rPr>
          <w:rFonts w:hint="eastAsia" w:ascii="宋体" w:hAnsi="宋体" w:eastAsia="宋体" w:cs="宋体"/>
          <w:color w:val="FF0000"/>
          <w:sz w:val="24"/>
          <w:szCs w:val="24"/>
        </w:rPr>
      </w:pPr>
      <w:r>
        <w:rPr>
          <w:rFonts w:hint="eastAsia" w:ascii="宋体" w:hAnsi="宋体" w:eastAsia="宋体" w:cs="宋体"/>
          <w:bCs/>
          <w:sz w:val="24"/>
          <w:szCs w:val="24"/>
        </w:rPr>
        <w:t xml:space="preserve">4. 额定容量：   </w:t>
      </w:r>
      <w:r>
        <w:rPr>
          <w:rFonts w:hint="eastAsia" w:ascii="宋体" w:hAnsi="宋体" w:cs="宋体"/>
          <w:bCs/>
          <w:sz w:val="24"/>
          <w:szCs w:val="24"/>
          <w:lang w:eastAsia="zh-CN"/>
        </w:rPr>
        <w:t>与电容器匹配。</w:t>
      </w:r>
    </w:p>
    <w:p>
      <w:pPr>
        <w:tabs>
          <w:tab w:val="left" w:pos="6750"/>
        </w:tabs>
        <w:spacing w:line="360" w:lineRule="auto"/>
        <w:ind w:firstLine="360" w:firstLineChars="150"/>
        <w:rPr>
          <w:rFonts w:hint="eastAsia" w:ascii="宋体" w:hAnsi="宋体" w:eastAsia="宋体" w:cs="宋体"/>
          <w:color w:val="FF0000"/>
          <w:sz w:val="24"/>
          <w:szCs w:val="24"/>
          <w:u w:val="single"/>
        </w:rPr>
      </w:pPr>
      <w:r>
        <w:rPr>
          <w:rFonts w:hint="eastAsia" w:ascii="宋体" w:hAnsi="宋体" w:eastAsia="宋体" w:cs="宋体"/>
          <w:sz w:val="24"/>
          <w:szCs w:val="24"/>
        </w:rPr>
        <w:t>5.</w:t>
      </w:r>
      <w:r>
        <w:rPr>
          <w:rFonts w:hint="eastAsia" w:ascii="宋体" w:hAnsi="宋体" w:cs="宋体"/>
          <w:sz w:val="24"/>
          <w:szCs w:val="24"/>
          <w:lang w:val="en-US" w:eastAsia="zh-CN"/>
        </w:rPr>
        <w:t xml:space="preserve"> </w:t>
      </w:r>
      <w:r>
        <w:rPr>
          <w:rFonts w:hint="eastAsia" w:ascii="宋体" w:hAnsi="宋体" w:eastAsia="宋体" w:cs="宋体"/>
          <w:sz w:val="24"/>
          <w:szCs w:val="24"/>
        </w:rPr>
        <w:t>电抗偏差：    0～+5%</w:t>
      </w:r>
    </w:p>
    <w:p>
      <w:pPr>
        <w:tabs>
          <w:tab w:val="left" w:pos="6750"/>
        </w:tabs>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cs="宋体"/>
          <w:sz w:val="24"/>
          <w:szCs w:val="24"/>
          <w:lang w:val="en-US" w:eastAsia="zh-CN"/>
        </w:rPr>
        <w:t xml:space="preserve"> </w:t>
      </w:r>
      <w:r>
        <w:rPr>
          <w:rFonts w:hint="eastAsia" w:ascii="宋体" w:hAnsi="宋体" w:eastAsia="宋体" w:cs="宋体"/>
          <w:sz w:val="24"/>
          <w:szCs w:val="24"/>
        </w:rPr>
        <w:t>结    构：    干式铁心</w:t>
      </w:r>
    </w:p>
    <w:p>
      <w:pPr>
        <w:tabs>
          <w:tab w:val="left" w:pos="6750"/>
        </w:tabs>
        <w:spacing w:line="360" w:lineRule="auto"/>
        <w:ind w:firstLine="360" w:firstLineChars="150"/>
        <w:rPr>
          <w:rFonts w:hint="eastAsia" w:ascii="宋体" w:hAnsi="宋体" w:eastAsia="宋体" w:cs="宋体"/>
          <w:sz w:val="24"/>
          <w:szCs w:val="24"/>
          <w:lang w:val="en-US" w:eastAsia="zh-CN"/>
        </w:rPr>
      </w:pPr>
      <w:r>
        <w:rPr>
          <w:rFonts w:hint="eastAsia" w:ascii="宋体" w:hAnsi="宋体" w:cs="宋体"/>
          <w:sz w:val="24"/>
          <w:szCs w:val="24"/>
          <w:lang w:val="en-US" w:eastAsia="zh-CN"/>
        </w:rPr>
        <w:t>7、噪声不高于80分贝。</w:t>
      </w:r>
    </w:p>
    <w:p>
      <w:pPr>
        <w:pStyle w:val="10"/>
        <w:snapToGrid w:val="0"/>
        <w:spacing w:line="360" w:lineRule="auto"/>
        <w:outlineLvl w:val="2"/>
        <w:rPr>
          <w:rFonts w:hint="eastAsia" w:ascii="宋体" w:hAnsi="宋体" w:eastAsia="宋体" w:cs="宋体"/>
          <w:kern w:val="2"/>
          <w:sz w:val="24"/>
          <w:szCs w:val="24"/>
        </w:rPr>
      </w:pPr>
      <w:r>
        <w:rPr>
          <w:rFonts w:hint="eastAsia" w:ascii="宋体" w:hAnsi="宋体" w:eastAsia="宋体" w:cs="宋体"/>
          <w:kern w:val="2"/>
          <w:sz w:val="24"/>
          <w:szCs w:val="24"/>
        </w:rPr>
        <w:t>13）保护</w:t>
      </w:r>
    </w:p>
    <w:p>
      <w:pPr>
        <w:pStyle w:val="10"/>
        <w:snapToGrid w:val="0"/>
        <w:spacing w:line="360" w:lineRule="auto"/>
        <w:ind w:firstLine="480" w:firstLineChars="200"/>
        <w:outlineLvl w:val="2"/>
        <w:rPr>
          <w:rFonts w:hint="eastAsia" w:ascii="宋体" w:hAnsi="宋体" w:eastAsia="宋体" w:cs="宋体"/>
          <w:sz w:val="24"/>
          <w:szCs w:val="24"/>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装置保护方式采用单星形开口三角电压保护，单台电容器采用专用高压喷射式熔断器作为保护，确保设备安全运行</w:t>
      </w:r>
      <w:r>
        <w:rPr>
          <w:rFonts w:hint="eastAsia" w:ascii="宋体" w:hAnsi="宋体" w:eastAsia="宋体" w:cs="宋体"/>
          <w:kern w:val="0"/>
          <w:sz w:val="24"/>
          <w:szCs w:val="24"/>
          <w:lang w:eastAsia="zh-CN"/>
        </w:rPr>
        <w:t>，并配置过压、欠压保护。</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厂家提供保护计算方法和保护整定值。</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电容器组安装时应尽可能降低初始不平衡度，保护定值应根据电容器内部元件串并联情况进行计算确定。</w:t>
      </w:r>
    </w:p>
    <w:p>
      <w:pPr>
        <w:spacing w:line="400" w:lineRule="exact"/>
        <w:rPr>
          <w:rFonts w:hint="eastAsia" w:ascii="宋体" w:hAnsi="宋体" w:eastAsia="宋体" w:cs="宋体"/>
          <w:sz w:val="24"/>
          <w:szCs w:val="24"/>
        </w:rPr>
      </w:pPr>
      <w:r>
        <w:rPr>
          <w:rFonts w:hint="eastAsia" w:ascii="宋体" w:hAnsi="宋体" w:eastAsia="宋体" w:cs="宋体"/>
          <w:sz w:val="24"/>
          <w:szCs w:val="24"/>
        </w:rPr>
        <w:t>14）五防闭锁要求</w:t>
      </w:r>
    </w:p>
    <w:p>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装置应具备“五防”性能，且可靠、正确，具体如下：</w:t>
      </w:r>
    </w:p>
    <w:p>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进线柜隔离带接地开关与上级电容器开关柜接地闸刀的闭锁系电气闭锁上级电容器开关柜接地闸刀合闸后，且带电显示装置无电时，进线柜隔离带接地开关才能操作至接地位置。反之，只有当进线柜隔离带接地开关操作至合闸位置时，上级电容器开关柜接地闸刀才能分闸。</w:t>
      </w:r>
    </w:p>
    <w:p>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2.进线柜隔离带接地开关与装置所有网门的闭锁系机械闭锁进线柜隔离带接地开关操作至接地位置后，装置所有网门才能打开，反之，装置所有网门关上后，进线柜隔离带接地开关才能操作至合闸位置。</w:t>
      </w:r>
    </w:p>
    <w:p>
      <w:pPr>
        <w:pStyle w:val="3"/>
        <w:keepNext w:val="0"/>
        <w:keepLines w:val="0"/>
        <w:pageBreakBefore w:val="0"/>
        <w:widowControl w:val="0"/>
        <w:kinsoku/>
        <w:wordWrap/>
        <w:overflowPunct/>
        <w:topLinePunct w:val="0"/>
        <w:autoSpaceDE/>
        <w:autoSpaceDN/>
        <w:bidi w:val="0"/>
        <w:spacing w:line="400" w:lineRule="exact"/>
        <w:ind w:left="853" w:leftChars="235" w:right="0" w:rightChars="0" w:hanging="360" w:hangingChars="15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3.进线柜和电容器柜的接地线不拆除，网门不能关上。</w:t>
      </w:r>
    </w:p>
    <w:p>
      <w:pPr>
        <w:keepNext w:val="0"/>
        <w:keepLines w:val="0"/>
        <w:pageBreakBefore w:val="0"/>
        <w:widowControl w:val="0"/>
        <w:kinsoku/>
        <w:wordWrap/>
        <w:overflowPunct/>
        <w:topLinePunct w:val="0"/>
        <w:autoSpaceDE/>
        <w:autoSpaceDN/>
        <w:bidi w:val="0"/>
        <w:spacing w:line="360" w:lineRule="auto"/>
        <w:ind w:right="0" w:rightChars="0"/>
        <w:jc w:val="both"/>
        <w:textAlignment w:val="auto"/>
        <w:outlineLvl w:val="9"/>
        <w:rPr>
          <w:rFonts w:hint="eastAsia" w:ascii="宋体" w:hAnsi="宋体" w:eastAsia="宋体" w:cs="宋体"/>
          <w:sz w:val="24"/>
          <w:szCs w:val="24"/>
          <w:lang w:val="en-US" w:eastAsia="zh-CN"/>
        </w:rPr>
      </w:pPr>
      <w:bookmarkStart w:id="22" w:name="_Toc283566194"/>
      <w:r>
        <w:rPr>
          <w:rFonts w:hint="eastAsia" w:ascii="宋体" w:hAnsi="宋体" w:eastAsia="宋体" w:cs="宋体"/>
          <w:sz w:val="24"/>
          <w:szCs w:val="24"/>
          <w:lang w:val="en-US" w:eastAsia="zh-CN"/>
        </w:rPr>
        <w:t>4.2 设计和结构要求</w:t>
      </w:r>
      <w:bookmarkEnd w:id="20"/>
      <w:bookmarkEnd w:id="22"/>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 高压并联电容器装置设计和结构要求</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.2.1.1构成设备的材料应充分核对其特性，从通常用于同类设备的高质量材料中选取。</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.2.1.2导体除不可避免的位置以外，不能用锡焊联接。 </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2.1.3必须将设备任何金属部件或端子作可靠的连接，以使这些金属部件的电位得以固定。电容器连接线应为软连接，避免电容器因连接线的热胀冷缩使套管受力而发生渗漏油故障。正常运行时处于地电位的金属部件必须接地。</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.2.1.4电容器外壳用优质钢板，面漆采用全国涂料和颜料标准化技术委员会GSBG51001-94“漆膜颜色标准样卡(第二版）”中的标准颜色，外壳设接地端子。</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.2.1.5装置出厂前所有设备及元器件均必须工厂试装并进行试验。</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.2.1.6接线端子</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1）若采用高强螺栓连接，应提供紧固扭矩的要求。接线处接触面的电流密度应小于0.15A/mm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电容器应能耐受施加在其上面的连续和短时联合荷载，联合荷载应由其相应荷载分量的向量和来计算。设备长期作用的组合负荷不小于：设备自重+导线水平拉力+设备最大风载。长期作用的组合荷载安全系数不小于2.5；同时，施加在接线板上的纵向水平张力，因地震在设备上引起的动力荷载，设备承受的25％的最大风压和设备的重量。其安全系数不应低于1.67。</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3）端子板接线板横断面和接触面的长期允许电流不应小于额定电流的1.3 倍。端子板与连接线的连接部位的接触电阻应尽可能小，温升不应超过DL/T593标准规定的温升极限，并提供该试验下的连接方式。</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.2.1.7接地端子</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每台电容器应配有与接地线连接用的接地螺钉。附近标有明显的接地符号“</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eq \o(\s\do-4(⊥),\s\do 5(＝))</w:instrText>
      </w:r>
      <w:r>
        <w:rPr>
          <w:rFonts w:hint="eastAsia" w:ascii="宋体" w:hAnsi="宋体" w:eastAsia="宋体" w:cs="宋体"/>
          <w:sz w:val="24"/>
          <w:szCs w:val="24"/>
        </w:rPr>
        <w:fldChar w:fldCharType="end"/>
      </w:r>
      <w:r>
        <w:rPr>
          <w:rFonts w:hint="eastAsia" w:ascii="宋体" w:hAnsi="宋体" w:eastAsia="宋体" w:cs="宋体"/>
          <w:sz w:val="24"/>
          <w:szCs w:val="24"/>
        </w:rPr>
        <w:t>”或“接地”字样。</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.2.1.8对材料及工艺的要求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设备、部件制造中所用的材料应该是新的、优质的、无缺陷的和无损伤的。其种类、成份、物理性能应按照最佳的工程实践, 并适合相应的设备、部件的用途。材料应符合本条件书所列的类型、技术规范和等级或与之等效。材料的详细规范,包括等级、牌号、类别均应在厂家提供审查的详图中表示出来。</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所有零部件应符合规定尺寸并遵照核准图纸加工并具有互换性。所有结合面、基准面和金属部件应精加工。所有铸件在有螺帽处要经加工整平。图纸上要标明规定加工等级的代号。所有螺栓、螺帽和管件螺纹应符合“国际标准化组织”关于这方面的最新标准, 并完全符合国际计量规格的规定。</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.2.1.9铸件要求</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铸件要符合模型、外形工整、质量均匀、形态一致, 并经X光探伤证明无气孔砂眼、夹渣、缩孔、裂纹和其他缺陷, 并应依其用途充分处理干净。</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铸件上的重大缺陷不得进行修理、填堵和施焊。在铸件关键部位出现过量的杂质或合金分凝即应予报废, 在变换截面的地方应配置构造上容许的最大限度的加强筋。</w:t>
      </w:r>
    </w:p>
    <w:p>
      <w:pPr>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.2.1.10铭牌标志</w:t>
      </w:r>
    </w:p>
    <w:p>
      <w:pPr>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铭牌应符合国标，字样、符号应清晰耐久，铭牌在设备正常运行时其安装位置应明显可见。</w:t>
      </w:r>
    </w:p>
    <w:bookmarkEnd w:id="19"/>
    <w:p>
      <w:pPr>
        <w:pStyle w:val="2"/>
        <w:pageBreakBefore w:val="0"/>
        <w:widowControl w:val="0"/>
        <w:numPr>
          <w:ilvl w:val="0"/>
          <w:numId w:val="0"/>
        </w:numPr>
        <w:kinsoku/>
        <w:wordWrap/>
        <w:overflowPunct/>
        <w:topLinePunct w:val="0"/>
        <w:autoSpaceDE/>
        <w:autoSpaceDN/>
        <w:bidi w:val="0"/>
        <w:adjustRightInd/>
        <w:snapToGrid/>
        <w:spacing w:before="0" w:after="0"/>
        <w:ind w:left="0" w:leftChars="0" w:right="0" w:rightChars="0" w:firstLine="0" w:firstLineChars="0"/>
        <w:jc w:val="both"/>
        <w:textAlignment w:val="auto"/>
        <w:rPr>
          <w:rFonts w:hint="eastAsia" w:ascii="黑体" w:hAnsi="黑体" w:eastAsia="黑体" w:cs="黑体"/>
          <w:b/>
          <w:bCs/>
          <w:sz w:val="24"/>
          <w:szCs w:val="24"/>
          <w:lang w:val="en-US" w:eastAsia="zh-CN"/>
        </w:rPr>
      </w:pPr>
      <w:bookmarkStart w:id="23" w:name="_Toc18989"/>
      <w:bookmarkStart w:id="24" w:name="_Toc276492433"/>
      <w:bookmarkStart w:id="25" w:name="_Toc276490915"/>
      <w:r>
        <w:rPr>
          <w:rFonts w:hint="eastAsia" w:ascii="黑体" w:hAnsi="黑体" w:eastAsia="黑体" w:cs="黑体"/>
          <w:b/>
          <w:bCs/>
          <w:sz w:val="24"/>
          <w:szCs w:val="24"/>
          <w:lang w:val="en-US" w:eastAsia="zh-CN"/>
        </w:rPr>
        <w:t>5 试验</w:t>
      </w:r>
      <w:bookmarkEnd w:id="23"/>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根据相关国标和行标等有关标准及其补充说明进行各项试验，有关条款的特殊要求和补充应在试验期间遵守并执行</w:t>
      </w:r>
      <w:r>
        <w:rPr>
          <w:rFonts w:hint="eastAsia" w:ascii="宋体" w:hAnsi="宋体" w:cs="宋体"/>
          <w:sz w:val="24"/>
          <w:szCs w:val="24"/>
          <w:lang w:eastAsia="zh-CN"/>
        </w:rPr>
        <w:t>，并出具符合资质要求的各种试验报告。</w:t>
      </w:r>
    </w:p>
    <w:p>
      <w:pPr>
        <w:adjustRightInd w:val="0"/>
        <w:snapToGrid w:val="0"/>
        <w:spacing w:line="360" w:lineRule="auto"/>
        <w:rPr>
          <w:rFonts w:hint="eastAsia" w:ascii="宋体" w:hAnsi="宋体" w:eastAsia="宋体" w:cs="宋体"/>
          <w:sz w:val="24"/>
          <w:szCs w:val="24"/>
        </w:rPr>
      </w:pPr>
      <w:bookmarkStart w:id="26" w:name="_Toc283566196"/>
      <w:bookmarkStart w:id="27" w:name="_Toc277597215"/>
      <w:r>
        <w:rPr>
          <w:rFonts w:hint="eastAsia" w:ascii="宋体" w:hAnsi="宋体" w:eastAsia="宋体" w:cs="宋体"/>
          <w:sz w:val="24"/>
          <w:szCs w:val="24"/>
          <w:lang w:val="en-US" w:eastAsia="zh-CN"/>
        </w:rPr>
        <w:t>5</w:t>
      </w:r>
      <w:r>
        <w:rPr>
          <w:rFonts w:hint="eastAsia" w:ascii="宋体" w:hAnsi="宋体" w:eastAsia="宋体" w:cs="宋体"/>
          <w:sz w:val="24"/>
          <w:szCs w:val="24"/>
        </w:rPr>
        <w:t>.1 型式试验</w:t>
      </w:r>
      <w:bookmarkEnd w:id="26"/>
      <w:bookmarkEnd w:id="27"/>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提供同类产品的有效的型式试验报告, 型式试验是为了验证高压并联电容器装置的性能是否能够达到相应产品标准的要求。</w:t>
      </w:r>
    </w:p>
    <w:p>
      <w:pPr>
        <w:adjustRightInd w:val="0"/>
        <w:snapToGrid w:val="0"/>
        <w:spacing w:line="360" w:lineRule="auto"/>
        <w:rPr>
          <w:rFonts w:hint="eastAsia" w:ascii="宋体" w:hAnsi="宋体" w:eastAsia="宋体" w:cs="宋体"/>
          <w:sz w:val="24"/>
          <w:szCs w:val="24"/>
          <w:lang w:val="en-US" w:eastAsia="zh-CN"/>
        </w:rPr>
      </w:pPr>
      <w:bookmarkStart w:id="28" w:name="_Toc283566197"/>
      <w:bookmarkStart w:id="29" w:name="_Toc277597234"/>
      <w:bookmarkStart w:id="30" w:name="_Toc274903000"/>
      <w:bookmarkStart w:id="31" w:name="_Toc274903061"/>
      <w:bookmarkStart w:id="32" w:name="_Toc244916011"/>
      <w:r>
        <w:rPr>
          <w:rFonts w:hint="eastAsia" w:ascii="宋体" w:hAnsi="宋体" w:eastAsia="宋体" w:cs="宋体"/>
          <w:sz w:val="24"/>
          <w:szCs w:val="24"/>
          <w:lang w:val="en-US" w:eastAsia="zh-CN"/>
        </w:rPr>
        <w:t>5.2 出厂试验</w:t>
      </w:r>
      <w:bookmarkEnd w:id="28"/>
      <w:bookmarkEnd w:id="29"/>
      <w:bookmarkEnd w:id="30"/>
      <w:bookmarkEnd w:id="31"/>
      <w:bookmarkEnd w:id="32"/>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出厂试验是为了发现产品所用材料和制造中的缺陷，它不应损伤产品的性能和可靠性。出厂试验应在整体组装后进行，应该对每台成品进行检验。</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.2.1高压并联电容器装置出厂试验</w:t>
      </w:r>
    </w:p>
    <w:p>
      <w:pPr>
        <w:pStyle w:val="10"/>
        <w:spacing w:line="360" w:lineRule="auto"/>
        <w:ind w:firstLine="420"/>
        <w:jc w:val="left"/>
        <w:outlineLvl w:val="9"/>
        <w:rPr>
          <w:rFonts w:hint="eastAsia" w:ascii="宋体" w:hAnsi="宋体" w:eastAsia="宋体" w:cs="宋体"/>
          <w:sz w:val="24"/>
          <w:szCs w:val="24"/>
        </w:rPr>
      </w:pPr>
      <w:r>
        <w:rPr>
          <w:rFonts w:hint="eastAsia" w:ascii="宋体" w:hAnsi="宋体" w:eastAsia="宋体" w:cs="宋体"/>
          <w:sz w:val="24"/>
          <w:szCs w:val="24"/>
        </w:rPr>
        <w:t>出厂试验的项目内容如下，具体试验要求</w:t>
      </w:r>
      <w:r>
        <w:rPr>
          <w:rFonts w:hint="eastAsia" w:ascii="宋体" w:hAnsi="宋体" w:eastAsia="宋体" w:cs="宋体"/>
          <w:sz w:val="24"/>
          <w:szCs w:val="24"/>
          <w:lang w:eastAsia="zh-CN"/>
        </w:rPr>
        <w:t>遵循交接试验</w:t>
      </w:r>
      <w:r>
        <w:rPr>
          <w:rFonts w:hint="eastAsia" w:ascii="宋体" w:hAnsi="宋体" w:eastAsia="宋体" w:cs="宋体"/>
          <w:sz w:val="24"/>
          <w:szCs w:val="24"/>
        </w:rPr>
        <w:t>中的相关规定。 </w:t>
      </w:r>
    </w:p>
    <w:p>
      <w:pPr>
        <w:adjustRightInd w:val="0"/>
        <w:snapToGrid w:val="0"/>
        <w:spacing w:line="360" w:lineRule="auto"/>
        <w:ind w:firstLine="480" w:firstLineChars="200"/>
        <w:rPr>
          <w:rFonts w:hint="eastAsia" w:ascii="宋体" w:hAnsi="宋体" w:eastAsia="宋体" w:cs="宋体"/>
          <w:sz w:val="24"/>
          <w:szCs w:val="24"/>
        </w:rPr>
      </w:pPr>
      <w:bookmarkStart w:id="33" w:name="_Toc274903062"/>
      <w:bookmarkStart w:id="34" w:name="_Toc244916012"/>
      <w:bookmarkStart w:id="35" w:name="_Toc274903001"/>
      <w:bookmarkStart w:id="36" w:name="_Toc277597245"/>
      <w:r>
        <w:rPr>
          <w:rFonts w:hint="eastAsia" w:ascii="宋体" w:hAnsi="宋体" w:eastAsia="宋体" w:cs="宋体"/>
          <w:sz w:val="24"/>
          <w:szCs w:val="24"/>
        </w:rPr>
        <w:t>1）外观检查。</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2）电容测量。</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3）电感测量。</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4）工频耐电压试验。</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5）保护装置试验。</w:t>
      </w:r>
    </w:p>
    <w:p>
      <w:pPr>
        <w:adjustRightInd w:val="0"/>
        <w:snapToGrid w:val="0"/>
        <w:spacing w:line="360" w:lineRule="auto"/>
        <w:rPr>
          <w:rFonts w:hint="eastAsia" w:ascii="宋体" w:hAnsi="宋体" w:eastAsia="宋体" w:cs="宋体"/>
          <w:sz w:val="24"/>
          <w:szCs w:val="24"/>
          <w:lang w:val="en-US" w:eastAsia="zh-CN"/>
        </w:rPr>
      </w:pPr>
      <w:bookmarkStart w:id="37" w:name="_Toc283566198"/>
      <w:r>
        <w:rPr>
          <w:rFonts w:hint="eastAsia" w:ascii="宋体" w:hAnsi="宋体" w:eastAsia="宋体" w:cs="宋体"/>
          <w:sz w:val="24"/>
          <w:szCs w:val="24"/>
          <w:lang w:val="en-US" w:eastAsia="zh-CN"/>
        </w:rPr>
        <w:t>5.3 现场交接试验</w:t>
      </w:r>
      <w:bookmarkEnd w:id="33"/>
      <w:bookmarkEnd w:id="34"/>
      <w:bookmarkEnd w:id="35"/>
      <w:bookmarkEnd w:id="36"/>
      <w:bookmarkEnd w:id="37"/>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高压并联电容器装置安装完好并完成所有的连接后，应进行现场交接试验</w:t>
      </w:r>
      <w:r>
        <w:rPr>
          <w:rFonts w:hint="eastAsia" w:ascii="宋体" w:hAnsi="宋体" w:cs="宋体"/>
          <w:sz w:val="24"/>
          <w:szCs w:val="24"/>
          <w:lang w:eastAsia="zh-CN"/>
        </w:rPr>
        <w:t>，以保证</w:t>
      </w:r>
      <w:r>
        <w:rPr>
          <w:rFonts w:hint="eastAsia" w:ascii="宋体" w:hAnsi="宋体" w:eastAsia="宋体" w:cs="宋体"/>
          <w:sz w:val="24"/>
          <w:szCs w:val="24"/>
        </w:rPr>
        <w:t>高压并联电容器装置在经过运输、储存、现场安装等过程后是否存在损坏、各个单元的兼容性、装配是否正确</w:t>
      </w:r>
      <w:r>
        <w:rPr>
          <w:rFonts w:hint="eastAsia" w:ascii="宋体" w:hAnsi="宋体" w:cs="宋体"/>
          <w:sz w:val="24"/>
          <w:szCs w:val="24"/>
          <w:lang w:eastAsia="zh-CN"/>
        </w:rPr>
        <w:t>。</w:t>
      </w:r>
      <w:bookmarkStart w:id="66" w:name="_GoBack"/>
      <w:bookmarkEnd w:id="66"/>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高压并联电容器装置现场交接试验项目包括所有出厂项目,另加自动控制试验或按协商项目进行。</w:t>
      </w:r>
      <w:bookmarkEnd w:id="24"/>
      <w:bookmarkEnd w:id="25"/>
    </w:p>
    <w:p>
      <w:pPr>
        <w:pStyle w:val="2"/>
        <w:pageBreakBefore w:val="0"/>
        <w:widowControl w:val="0"/>
        <w:numPr>
          <w:ilvl w:val="0"/>
          <w:numId w:val="0"/>
        </w:numPr>
        <w:kinsoku/>
        <w:wordWrap/>
        <w:overflowPunct/>
        <w:topLinePunct w:val="0"/>
        <w:autoSpaceDE/>
        <w:autoSpaceDN/>
        <w:bidi w:val="0"/>
        <w:adjustRightInd/>
        <w:snapToGrid/>
        <w:spacing w:before="0" w:after="0"/>
        <w:ind w:left="0" w:leftChars="0" w:right="0" w:rightChars="0" w:firstLine="0" w:firstLineChars="0"/>
        <w:jc w:val="both"/>
        <w:textAlignment w:val="auto"/>
        <w:rPr>
          <w:rFonts w:hint="eastAsia" w:ascii="黑体" w:hAnsi="黑体" w:eastAsia="黑体" w:cs="黑体"/>
          <w:b/>
          <w:bCs/>
          <w:sz w:val="24"/>
          <w:szCs w:val="24"/>
          <w:lang w:val="en-US" w:eastAsia="zh-CN"/>
        </w:rPr>
      </w:pPr>
      <w:bookmarkStart w:id="38" w:name="_Toc279695206"/>
      <w:bookmarkStart w:id="39" w:name="_Toc30682"/>
      <w:r>
        <w:rPr>
          <w:rFonts w:hint="eastAsia" w:ascii="黑体" w:hAnsi="黑体" w:eastAsia="黑体" w:cs="黑体"/>
          <w:b/>
          <w:bCs/>
          <w:sz w:val="24"/>
          <w:szCs w:val="24"/>
          <w:lang w:val="en-US" w:eastAsia="zh-CN"/>
        </w:rPr>
        <w:t>6 技术文件</w:t>
      </w:r>
      <w:bookmarkEnd w:id="38"/>
      <w:r>
        <w:rPr>
          <w:rFonts w:hint="eastAsia" w:ascii="黑体" w:hAnsi="黑体" w:eastAsia="黑体" w:cs="黑体"/>
          <w:b/>
          <w:bCs/>
          <w:sz w:val="24"/>
          <w:szCs w:val="24"/>
          <w:lang w:val="en-US" w:eastAsia="zh-CN"/>
        </w:rPr>
        <w:t>要求</w:t>
      </w:r>
      <w:bookmarkEnd w:id="39"/>
    </w:p>
    <w:p>
      <w:pPr>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投标方应承诺在签订合同</w:t>
      </w:r>
      <w:r>
        <w:rPr>
          <w:rFonts w:hint="eastAsia" w:ascii="宋体" w:hAnsi="宋体" w:cs="宋体"/>
          <w:sz w:val="24"/>
          <w:szCs w:val="24"/>
          <w:lang w:val="en-US" w:eastAsia="zh-CN"/>
        </w:rPr>
        <w:t>15</w:t>
      </w:r>
      <w:r>
        <w:rPr>
          <w:rFonts w:hint="eastAsia" w:ascii="宋体" w:hAnsi="宋体" w:eastAsia="宋体" w:cs="宋体"/>
          <w:sz w:val="24"/>
          <w:szCs w:val="24"/>
          <w:lang w:val="en-US" w:eastAsia="zh-CN"/>
        </w:rPr>
        <w:t>日</w:t>
      </w:r>
      <w:r>
        <w:rPr>
          <w:rFonts w:hint="eastAsia" w:ascii="宋体" w:hAnsi="宋体" w:eastAsia="宋体" w:cs="宋体"/>
          <w:sz w:val="24"/>
          <w:szCs w:val="24"/>
        </w:rPr>
        <w:t>内提供以下所列（但不限于下列资料、图纸、文件，投标方应承诺提供招标方提出的所有所需资料、图纸、文件供工程设计、安装、运维使用）的图纸、资料。</w:t>
      </w:r>
    </w:p>
    <w:p>
      <w:pPr>
        <w:adjustRightInd w:val="0"/>
        <w:snapToGrid w:val="0"/>
        <w:spacing w:line="360" w:lineRule="auto"/>
        <w:rPr>
          <w:rFonts w:hint="eastAsia" w:ascii="宋体" w:hAnsi="宋体" w:eastAsia="宋体" w:cs="宋体"/>
          <w:sz w:val="24"/>
          <w:szCs w:val="24"/>
        </w:rPr>
      </w:pPr>
      <w:bookmarkStart w:id="40" w:name="_Toc386124678"/>
      <w:bookmarkStart w:id="41" w:name="_Toc280969809"/>
      <w:r>
        <w:rPr>
          <w:rFonts w:hint="eastAsia" w:ascii="宋体" w:hAnsi="宋体" w:eastAsia="宋体" w:cs="宋体"/>
          <w:sz w:val="24"/>
          <w:szCs w:val="24"/>
          <w:lang w:val="en-US" w:eastAsia="zh-CN"/>
        </w:rPr>
        <w:t>6</w:t>
      </w:r>
      <w:r>
        <w:rPr>
          <w:rFonts w:hint="eastAsia" w:ascii="宋体" w:hAnsi="宋体" w:eastAsia="宋体" w:cs="宋体"/>
          <w:sz w:val="24"/>
          <w:szCs w:val="24"/>
        </w:rPr>
        <w:t>.1 高压并联电容器装置技术数据表</w:t>
      </w:r>
      <w:bookmarkEnd w:id="40"/>
    </w:p>
    <w:p>
      <w:pPr>
        <w:adjustRightInd w:val="0"/>
        <w:snapToGrid w:val="0"/>
        <w:spacing w:line="360" w:lineRule="auto"/>
        <w:rPr>
          <w:rFonts w:hint="eastAsia" w:ascii="宋体" w:hAnsi="宋体" w:cs="宋体"/>
          <w:sz w:val="24"/>
          <w:szCs w:val="24"/>
          <w:lang w:val="en-US" w:eastAsia="zh-CN"/>
        </w:rPr>
      </w:pPr>
      <w:bookmarkStart w:id="42" w:name="_Toc386124679"/>
      <w:r>
        <w:rPr>
          <w:rFonts w:hint="eastAsia" w:ascii="宋体" w:hAnsi="宋体" w:eastAsia="宋体" w:cs="宋体"/>
          <w:sz w:val="24"/>
          <w:szCs w:val="24"/>
          <w:lang w:val="en-US" w:eastAsia="zh-CN"/>
        </w:rPr>
        <w:t>6.2</w:t>
      </w:r>
      <w:r>
        <w:rPr>
          <w:rFonts w:hint="eastAsia" w:ascii="宋体" w:hAnsi="宋体" w:cs="宋体"/>
          <w:sz w:val="24"/>
          <w:szCs w:val="24"/>
          <w:lang w:val="en-US" w:eastAsia="zh-CN"/>
        </w:rPr>
        <w:t>调试</w:t>
      </w:r>
      <w:r>
        <w:rPr>
          <w:rFonts w:hint="eastAsia" w:ascii="宋体" w:hAnsi="宋体" w:eastAsia="宋体" w:cs="宋体"/>
          <w:sz w:val="24"/>
          <w:szCs w:val="24"/>
          <w:lang w:val="en-US" w:eastAsia="zh-CN"/>
        </w:rPr>
        <w:t>试验</w:t>
      </w:r>
      <w:bookmarkEnd w:id="42"/>
      <w:r>
        <w:rPr>
          <w:rFonts w:hint="eastAsia" w:ascii="宋体" w:hAnsi="宋体" w:cs="宋体"/>
          <w:sz w:val="24"/>
          <w:szCs w:val="24"/>
          <w:lang w:val="en-US" w:eastAsia="zh-CN"/>
        </w:rPr>
        <w:t>大纲</w:t>
      </w:r>
    </w:p>
    <w:p>
      <w:pPr>
        <w:adjustRightInd w:val="0"/>
        <w:snapToGrid w:val="0"/>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6.3保护方案</w:t>
      </w:r>
    </w:p>
    <w:p>
      <w:pPr>
        <w:adjustRightInd w:val="0"/>
        <w:snapToGrid w:val="0"/>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6.4施工方案</w:t>
      </w:r>
    </w:p>
    <w:p>
      <w:pPr>
        <w:adjustRightInd w:val="0"/>
        <w:snapToGrid w:val="0"/>
        <w:spacing w:line="360" w:lineRule="auto"/>
        <w:rPr>
          <w:rFonts w:hint="eastAsia" w:ascii="宋体" w:hAnsi="宋体" w:eastAsia="宋体" w:cs="宋体"/>
          <w:sz w:val="24"/>
          <w:szCs w:val="24"/>
          <w:lang w:val="en-US" w:eastAsia="zh-CN"/>
        </w:rPr>
      </w:pPr>
      <w:bookmarkStart w:id="43" w:name="_Toc386124680"/>
      <w:r>
        <w:rPr>
          <w:rFonts w:hint="eastAsia" w:ascii="宋体" w:hAnsi="宋体" w:eastAsia="宋体" w:cs="宋体"/>
          <w:sz w:val="24"/>
          <w:szCs w:val="24"/>
          <w:lang w:val="en-US" w:eastAsia="zh-CN"/>
        </w:rPr>
        <w:t>6.</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高压并联电容器装置的图纸</w:t>
      </w:r>
      <w:bookmarkEnd w:id="43"/>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1）一次主接线图； </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2）外形图；</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3）平面基础图；   </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4）二次接线原理图。  </w:t>
      </w:r>
    </w:p>
    <w:bookmarkEnd w:id="41"/>
    <w:p>
      <w:pPr>
        <w:adjustRightInd w:val="0"/>
        <w:snapToGrid w:val="0"/>
        <w:spacing w:line="360" w:lineRule="auto"/>
        <w:rPr>
          <w:rFonts w:hint="eastAsia" w:ascii="宋体" w:hAnsi="宋体" w:eastAsia="宋体" w:cs="宋体"/>
          <w:sz w:val="24"/>
          <w:szCs w:val="24"/>
          <w:lang w:val="en-US" w:eastAsia="zh-CN"/>
        </w:rPr>
      </w:pPr>
      <w:bookmarkStart w:id="44" w:name="_Toc282428315"/>
      <w:bookmarkStart w:id="45" w:name="_Toc283142581"/>
      <w:bookmarkStart w:id="46" w:name="_Toc282433723"/>
      <w:bookmarkStart w:id="47" w:name="_Toc283011675"/>
      <w:bookmarkStart w:id="48" w:name="_Toc386124681"/>
      <w:r>
        <w:rPr>
          <w:rFonts w:hint="eastAsia" w:ascii="宋体" w:hAnsi="宋体" w:eastAsia="宋体" w:cs="宋体"/>
          <w:sz w:val="24"/>
          <w:szCs w:val="24"/>
          <w:lang w:val="en-US" w:eastAsia="zh-CN"/>
        </w:rPr>
        <w:t>6.</w:t>
      </w:r>
      <w:bookmarkEnd w:id="44"/>
      <w:bookmarkEnd w:id="45"/>
      <w:bookmarkEnd w:id="46"/>
      <w:bookmarkEnd w:id="47"/>
      <w:bookmarkStart w:id="49" w:name="_Toc283011676"/>
      <w:bookmarkStart w:id="50" w:name="_Toc282428316"/>
      <w:bookmarkStart w:id="51" w:name="_Toc282433724"/>
      <w:bookmarkStart w:id="52" w:name="_Toc283142582"/>
      <w:bookmarkStart w:id="53" w:name="_Toc277686885"/>
      <w:r>
        <w:rPr>
          <w:rFonts w:hint="eastAsia" w:ascii="宋体" w:hAnsi="宋体" w:cs="宋体"/>
          <w:sz w:val="24"/>
          <w:szCs w:val="24"/>
          <w:lang w:val="en-US" w:eastAsia="zh-CN"/>
        </w:rPr>
        <w:t>6</w:t>
      </w:r>
      <w:r>
        <w:rPr>
          <w:rFonts w:hint="eastAsia" w:ascii="宋体" w:hAnsi="宋体" w:eastAsia="宋体" w:cs="宋体"/>
          <w:sz w:val="24"/>
          <w:szCs w:val="24"/>
          <w:lang w:val="en-US" w:eastAsia="zh-CN"/>
        </w:rPr>
        <w:t xml:space="preserve"> 设计联络</w:t>
      </w:r>
      <w:bookmarkEnd w:id="48"/>
      <w:bookmarkEnd w:id="49"/>
      <w:bookmarkEnd w:id="50"/>
      <w:bookmarkEnd w:id="51"/>
      <w:bookmarkEnd w:id="52"/>
      <w:bookmarkEnd w:id="53"/>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1）投标方应在技术协议签订后</w:t>
      </w:r>
      <w:r>
        <w:rPr>
          <w:rFonts w:hint="eastAsia" w:ascii="宋体" w:hAnsi="宋体" w:cs="宋体"/>
          <w:sz w:val="24"/>
          <w:szCs w:val="24"/>
          <w:lang w:eastAsia="zh-CN"/>
        </w:rPr>
        <w:t>按要求</w:t>
      </w:r>
      <w:r>
        <w:rPr>
          <w:rFonts w:hint="eastAsia" w:ascii="宋体" w:hAnsi="宋体" w:eastAsia="宋体" w:cs="宋体"/>
          <w:sz w:val="24"/>
          <w:szCs w:val="24"/>
        </w:rPr>
        <w:t>向招标方提供正式版的用于设计、设备监造和检验、现场安装和调试以及运行维护方面的图纸、说明书和有关技术资料。</w:t>
      </w:r>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2）投标方应按设计需要随时开展设计联络工作，提供设计所需的相关资料，以保证招标方工期要求。</w:t>
      </w:r>
    </w:p>
    <w:p>
      <w:pPr>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3）投标方提供的图纸必须经招标方代表确认。</w:t>
      </w:r>
    </w:p>
    <w:p>
      <w:pPr>
        <w:pStyle w:val="2"/>
        <w:pageBreakBefore w:val="0"/>
        <w:widowControl w:val="0"/>
        <w:numPr>
          <w:ilvl w:val="0"/>
          <w:numId w:val="0"/>
        </w:numPr>
        <w:kinsoku/>
        <w:wordWrap/>
        <w:overflowPunct/>
        <w:topLinePunct w:val="0"/>
        <w:autoSpaceDE/>
        <w:autoSpaceDN/>
        <w:bidi w:val="0"/>
        <w:adjustRightInd/>
        <w:snapToGrid/>
        <w:spacing w:before="0" w:after="0"/>
        <w:ind w:left="0" w:leftChars="0" w:right="0" w:rightChars="0" w:firstLine="0" w:firstLineChars="0"/>
        <w:jc w:val="both"/>
        <w:textAlignment w:val="auto"/>
        <w:rPr>
          <w:rFonts w:hint="eastAsia" w:ascii="黑体" w:hAnsi="黑体" w:eastAsia="黑体" w:cs="黑体"/>
          <w:b/>
          <w:bCs/>
          <w:sz w:val="24"/>
          <w:szCs w:val="24"/>
          <w:lang w:val="en-US" w:eastAsia="zh-CN"/>
        </w:rPr>
      </w:pPr>
      <w:bookmarkStart w:id="54" w:name="_Toc460162306"/>
      <w:bookmarkStart w:id="55" w:name="_Toc20021"/>
      <w:bookmarkStart w:id="56" w:name="_Toc11057"/>
      <w:bookmarkStart w:id="57" w:name="_Toc287602840"/>
      <w:r>
        <w:rPr>
          <w:rFonts w:hint="eastAsia" w:ascii="黑体" w:hAnsi="黑体" w:eastAsia="黑体" w:cs="黑体"/>
          <w:b/>
          <w:bCs/>
          <w:sz w:val="24"/>
          <w:szCs w:val="24"/>
          <w:lang w:val="en-US" w:eastAsia="zh-CN"/>
        </w:rPr>
        <w:t>7 施工方案及过程控制</w:t>
      </w:r>
      <w:bookmarkEnd w:id="54"/>
      <w:bookmarkEnd w:id="55"/>
      <w:bookmarkEnd w:id="56"/>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7.1项目自合同签订之日起至项目通过验收工期为180日历天。</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7.2投标方应在合同签订一个月内，提供详细的改造方案及相关图纸资料，并</w:t>
      </w:r>
      <w:r>
        <w:rPr>
          <w:rFonts w:hint="eastAsia" w:ascii="宋体" w:hAnsi="宋体" w:cs="宋体"/>
          <w:color w:val="000000"/>
          <w:sz w:val="24"/>
          <w:szCs w:val="24"/>
          <w:lang w:val="en-US" w:eastAsia="zh-CN"/>
        </w:rPr>
        <w:t>完成升级</w:t>
      </w:r>
      <w:r>
        <w:rPr>
          <w:rFonts w:hint="eastAsia" w:ascii="宋体" w:hAnsi="宋体" w:eastAsia="宋体" w:cs="宋体"/>
          <w:color w:val="000000"/>
          <w:sz w:val="24"/>
          <w:szCs w:val="24"/>
          <w:lang w:val="en-US" w:eastAsia="zh-CN"/>
        </w:rPr>
        <w:t>改造方案审查会。</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7.3投标方应根据现场勘查结果制定施工组织方案。投标人在投标时应列出所有设备的安装调试工期计划，并应明确各项工作是否需要生产停机，如需停机请说明停机时间。</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7.4投标方在施工前需向招标方进行施工申请，在得到招标方的同意后方可进行施工。由于招标方的原因导致承包方无法进行现场施工时，本改造项目总工期相应顺延，但现场实施改造工期和停机时间仍不得超出上述要求。 </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7.5施工前要做好准备，所有材料运抵现场，待招标方确认后进行施工。</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7.6在每项工作开始和终结及含有隐蔽工程的工作结束时，投标方均应通知招标方负责人进行现场确认和验收。</w:t>
      </w:r>
    </w:p>
    <w:p>
      <w:pPr>
        <w:pStyle w:val="2"/>
        <w:pageBreakBefore w:val="0"/>
        <w:widowControl w:val="0"/>
        <w:numPr>
          <w:ilvl w:val="0"/>
          <w:numId w:val="0"/>
        </w:numPr>
        <w:kinsoku/>
        <w:wordWrap/>
        <w:overflowPunct/>
        <w:topLinePunct w:val="0"/>
        <w:autoSpaceDE/>
        <w:autoSpaceDN/>
        <w:bidi w:val="0"/>
        <w:spacing w:before="0" w:after="0"/>
        <w:ind w:left="0" w:leftChars="0" w:right="0" w:rightChars="0"/>
        <w:jc w:val="both"/>
        <w:textAlignment w:val="auto"/>
        <w:rPr>
          <w:rFonts w:hint="eastAsia" w:ascii="黑体" w:hAnsi="黑体" w:eastAsia="黑体" w:cs="黑体"/>
          <w:b/>
          <w:bCs/>
          <w:sz w:val="24"/>
          <w:szCs w:val="24"/>
          <w:lang w:val="en-US" w:eastAsia="zh-CN"/>
        </w:rPr>
      </w:pPr>
      <w:bookmarkStart w:id="58" w:name="_Toc460162307"/>
      <w:bookmarkStart w:id="59" w:name="_Toc12209"/>
      <w:bookmarkStart w:id="60" w:name="_Toc5130"/>
      <w:r>
        <w:rPr>
          <w:rFonts w:hint="eastAsia" w:ascii="黑体" w:hAnsi="黑体" w:eastAsia="黑体" w:cs="黑体"/>
          <w:b/>
          <w:bCs/>
          <w:sz w:val="24"/>
          <w:szCs w:val="24"/>
          <w:lang w:val="en-US" w:eastAsia="zh-CN"/>
        </w:rPr>
        <w:t>8 项目验收</w:t>
      </w:r>
      <w:bookmarkEnd w:id="58"/>
      <w:bookmarkEnd w:id="59"/>
      <w:bookmarkEnd w:id="60"/>
    </w:p>
    <w:p>
      <w:pPr>
        <w:pageBreakBefore w:val="0"/>
        <w:widowControl w:val="0"/>
        <w:tabs>
          <w:tab w:val="left" w:pos="360"/>
        </w:tabs>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eastAsia="zh-CN"/>
        </w:rPr>
        <w:t>投标方</w:t>
      </w:r>
      <w:r>
        <w:rPr>
          <w:rFonts w:hint="eastAsia" w:ascii="宋体" w:hAnsi="宋体" w:eastAsia="宋体" w:cs="宋体"/>
          <w:sz w:val="24"/>
          <w:szCs w:val="24"/>
        </w:rPr>
        <w:t>施工完毕</w:t>
      </w:r>
      <w:r>
        <w:rPr>
          <w:rFonts w:hint="eastAsia" w:ascii="宋体" w:hAnsi="宋体" w:cs="宋体"/>
          <w:sz w:val="24"/>
          <w:szCs w:val="24"/>
          <w:lang w:eastAsia="zh-CN"/>
        </w:rPr>
        <w:t>，</w:t>
      </w:r>
      <w:r>
        <w:rPr>
          <w:rFonts w:hint="eastAsia" w:ascii="宋体" w:hAnsi="宋体" w:eastAsia="宋体" w:cs="宋体"/>
          <w:sz w:val="24"/>
          <w:szCs w:val="24"/>
        </w:rPr>
        <w:t>项目达到技术要求</w:t>
      </w:r>
      <w:r>
        <w:rPr>
          <w:rFonts w:hint="eastAsia" w:ascii="宋体" w:hAnsi="宋体" w:cs="宋体"/>
          <w:sz w:val="24"/>
          <w:szCs w:val="24"/>
          <w:lang w:eastAsia="zh-CN"/>
        </w:rPr>
        <w:t>，</w:t>
      </w:r>
      <w:r>
        <w:rPr>
          <w:rFonts w:hint="eastAsia" w:ascii="宋体" w:hAnsi="宋体" w:eastAsia="宋体" w:cs="宋体"/>
          <w:sz w:val="24"/>
          <w:szCs w:val="24"/>
        </w:rPr>
        <w:t>试运行</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个月之后</w:t>
      </w:r>
      <w:r>
        <w:rPr>
          <w:rFonts w:hint="eastAsia" w:ascii="宋体" w:hAnsi="宋体" w:eastAsia="宋体" w:cs="宋体"/>
          <w:sz w:val="24"/>
          <w:szCs w:val="24"/>
        </w:rPr>
        <w:t>，</w:t>
      </w:r>
      <w:r>
        <w:rPr>
          <w:rFonts w:hint="eastAsia" w:ascii="宋体" w:hAnsi="宋体" w:eastAsia="宋体" w:cs="宋体"/>
          <w:sz w:val="24"/>
          <w:szCs w:val="24"/>
          <w:lang w:eastAsia="zh-CN"/>
        </w:rPr>
        <w:t>招标方</w:t>
      </w:r>
      <w:r>
        <w:rPr>
          <w:rFonts w:hint="eastAsia" w:ascii="宋体" w:hAnsi="宋体" w:eastAsia="宋体" w:cs="宋体"/>
          <w:sz w:val="24"/>
          <w:szCs w:val="24"/>
        </w:rPr>
        <w:t>根据实际情况和</w:t>
      </w:r>
      <w:r>
        <w:rPr>
          <w:rFonts w:hint="eastAsia" w:ascii="宋体" w:hAnsi="宋体" w:eastAsia="宋体" w:cs="宋体"/>
          <w:sz w:val="24"/>
          <w:szCs w:val="24"/>
          <w:lang w:eastAsia="zh-CN"/>
        </w:rPr>
        <w:t>投标方</w:t>
      </w:r>
      <w:r>
        <w:rPr>
          <w:rFonts w:hint="eastAsia" w:ascii="宋体" w:hAnsi="宋体" w:eastAsia="宋体" w:cs="宋体"/>
          <w:sz w:val="24"/>
          <w:szCs w:val="24"/>
        </w:rPr>
        <w:t>提出的书面验收申请组织相关部门进行验收。</w:t>
      </w:r>
      <w:r>
        <w:rPr>
          <w:rFonts w:hint="eastAsia" w:ascii="宋体" w:hAnsi="宋体" w:eastAsia="宋体" w:cs="宋体"/>
          <w:sz w:val="24"/>
          <w:szCs w:val="24"/>
          <w:lang w:eastAsia="zh-CN"/>
        </w:rPr>
        <w:t>试运行期间由所改造电容补偿柜引起的变电所原其他设备影响或损坏而造成的一切损失由投标方负责。</w:t>
      </w:r>
      <w:r>
        <w:rPr>
          <w:rFonts w:hint="eastAsia" w:ascii="宋体" w:hAnsi="宋体" w:eastAsia="宋体" w:cs="宋体"/>
          <w:sz w:val="24"/>
          <w:szCs w:val="24"/>
        </w:rPr>
        <w:t>如果由于</w:t>
      </w:r>
      <w:r>
        <w:rPr>
          <w:rFonts w:hint="eastAsia" w:ascii="宋体" w:hAnsi="宋体" w:eastAsia="宋体" w:cs="宋体"/>
          <w:sz w:val="24"/>
          <w:szCs w:val="24"/>
          <w:lang w:eastAsia="zh-CN"/>
        </w:rPr>
        <w:t>投标方</w:t>
      </w:r>
      <w:r>
        <w:rPr>
          <w:rFonts w:hint="eastAsia" w:ascii="宋体" w:hAnsi="宋体" w:eastAsia="宋体" w:cs="宋体"/>
          <w:sz w:val="24"/>
          <w:szCs w:val="24"/>
        </w:rPr>
        <w:t>的原因造成系统不能满足用户技术、使用要求时，</w:t>
      </w:r>
      <w:r>
        <w:rPr>
          <w:rFonts w:hint="eastAsia" w:ascii="宋体" w:hAnsi="宋体" w:eastAsia="宋体" w:cs="宋体"/>
          <w:sz w:val="24"/>
          <w:szCs w:val="24"/>
          <w:lang w:eastAsia="zh-CN"/>
        </w:rPr>
        <w:t>招标方</w:t>
      </w:r>
      <w:r>
        <w:rPr>
          <w:rFonts w:hint="eastAsia" w:ascii="宋体" w:hAnsi="宋体" w:eastAsia="宋体" w:cs="宋体"/>
          <w:sz w:val="24"/>
          <w:szCs w:val="24"/>
        </w:rPr>
        <w:t>有权不给予验收，直至达到要求。</w:t>
      </w:r>
    </w:p>
    <w:p>
      <w:pPr>
        <w:pStyle w:val="2"/>
        <w:pageBreakBefore w:val="0"/>
        <w:widowControl w:val="0"/>
        <w:numPr>
          <w:ilvl w:val="0"/>
          <w:numId w:val="0"/>
        </w:numPr>
        <w:kinsoku/>
        <w:wordWrap/>
        <w:overflowPunct/>
        <w:topLinePunct w:val="0"/>
        <w:autoSpaceDE/>
        <w:autoSpaceDN/>
        <w:bidi w:val="0"/>
        <w:spacing w:before="0" w:after="0"/>
        <w:ind w:left="0" w:leftChars="0" w:right="0" w:rightChars="0"/>
        <w:jc w:val="both"/>
        <w:textAlignment w:val="auto"/>
        <w:rPr>
          <w:rFonts w:hint="eastAsia" w:ascii="黑体" w:hAnsi="黑体" w:eastAsia="黑体" w:cs="黑体"/>
          <w:b/>
          <w:bCs/>
          <w:sz w:val="24"/>
          <w:szCs w:val="24"/>
          <w:lang w:val="en-US" w:eastAsia="zh-CN"/>
        </w:rPr>
      </w:pPr>
      <w:bookmarkStart w:id="61" w:name="_Toc5508"/>
      <w:bookmarkStart w:id="62" w:name="_Toc460162308"/>
      <w:bookmarkStart w:id="63" w:name="_Toc376968411"/>
      <w:bookmarkStart w:id="64" w:name="_Toc4520"/>
      <w:r>
        <w:rPr>
          <w:rFonts w:hint="eastAsia" w:ascii="黑体" w:hAnsi="黑体" w:eastAsia="黑体" w:cs="黑体"/>
          <w:b/>
          <w:bCs/>
          <w:sz w:val="24"/>
          <w:szCs w:val="24"/>
          <w:lang w:val="en-US" w:eastAsia="zh-CN"/>
        </w:rPr>
        <w:t>9 质量保证及服务承诺</w:t>
      </w:r>
      <w:bookmarkEnd w:id="61"/>
      <w:bookmarkEnd w:id="62"/>
      <w:bookmarkEnd w:id="63"/>
      <w:bookmarkEnd w:id="64"/>
    </w:p>
    <w:p>
      <w:pPr>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9.1每套设备必须进行出厂功能测试，相应的测试报告必须和设备一并提供。</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9.2凡在开箱检验、安装调试、设备试运转过程中发现的设备质量问题，由投标方负责处理，实行包修、包换、包退直至产品符合质量要求，投标方承担修理、调换、退货发生的一切费用和招标方的直接经济损失。</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9.3质保期限：项目验收合格后</w:t>
      </w:r>
      <w:r>
        <w:rPr>
          <w:rFonts w:hint="eastAsia" w:ascii="宋体" w:hAnsi="宋体" w:cs="宋体"/>
          <w:color w:val="000000"/>
          <w:sz w:val="24"/>
          <w:szCs w:val="24"/>
          <w:lang w:val="en-US" w:eastAsia="zh-CN"/>
        </w:rPr>
        <w:t>24</w:t>
      </w:r>
      <w:r>
        <w:rPr>
          <w:rFonts w:hint="eastAsia" w:ascii="宋体" w:hAnsi="宋体" w:eastAsia="宋体" w:cs="宋体"/>
          <w:color w:val="000000"/>
          <w:sz w:val="24"/>
          <w:szCs w:val="24"/>
          <w:lang w:val="en-US" w:eastAsia="zh-CN"/>
        </w:rPr>
        <w:t>个月。</w:t>
      </w:r>
    </w:p>
    <w:p>
      <w:pPr>
        <w:spacing w:line="360" w:lineRule="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9.4工程交付后，投标方负责向招标方相关人员培训有关设备的使用、维护事项。投标方应选派称职的、有丰富经验的技术人员进行技术培训。应提供培训讲义和声视资料。培训方法采用理论讲授与现场演示相结合的方式。现场培训应结合安装、调试进行。</w:t>
      </w:r>
    </w:p>
    <w:bookmarkEnd w:id="57"/>
    <w:p>
      <w:pPr>
        <w:pStyle w:val="8"/>
        <w:adjustRightInd w:val="0"/>
        <w:snapToGrid w:val="0"/>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 xml:space="preserve">9.5 </w:t>
      </w:r>
      <w:r>
        <w:rPr>
          <w:rFonts w:hint="eastAsia" w:ascii="宋体" w:hAnsi="宋体" w:eastAsia="宋体" w:cs="宋体"/>
          <w:sz w:val="24"/>
          <w:szCs w:val="24"/>
        </w:rPr>
        <w:t>投标方应向招标方提供必备的备品备件、专用工具和仪器仪表,要求提供的备品备件、专用工具和仪器仪表应是新品,与设备同型号、同工艺。</w:t>
      </w:r>
    </w:p>
    <w:p>
      <w:pPr>
        <w:pStyle w:val="8"/>
        <w:adjustRightInd w:val="0"/>
        <w:snapToGrid w:val="0"/>
        <w:spacing w:line="360" w:lineRule="auto"/>
        <w:ind w:left="0" w:leftChars="0" w:firstLine="0" w:firstLineChars="0"/>
        <w:rPr>
          <w:rFonts w:ascii="??_GB2312" w:hAnsi="??_GB2312" w:eastAsia="Times New Roman" w:cs="??_GB2312"/>
          <w:spacing w:val="6"/>
          <w:sz w:val="32"/>
          <w:szCs w:val="32"/>
        </w:rPr>
      </w:pPr>
      <w:bookmarkStart w:id="65" w:name="OLE_LINK1"/>
      <w:r>
        <w:rPr>
          <w:rFonts w:hint="eastAsia" w:ascii="宋体" w:hAnsi="宋体" w:eastAsia="宋体" w:cs="宋体"/>
          <w:sz w:val="24"/>
          <w:szCs w:val="24"/>
          <w:lang w:val="en-US" w:eastAsia="zh-CN"/>
        </w:rPr>
        <w:t xml:space="preserve">9.6 </w:t>
      </w:r>
      <w:r>
        <w:rPr>
          <w:rFonts w:hint="eastAsia" w:ascii="宋体" w:hAnsi="宋体" w:eastAsia="宋体" w:cs="宋体"/>
          <w:sz w:val="24"/>
          <w:szCs w:val="24"/>
        </w:rPr>
        <w:t>投标方</w:t>
      </w:r>
      <w:r>
        <w:rPr>
          <w:rFonts w:hint="eastAsia" w:ascii="宋体" w:hAnsi="宋体" w:eastAsia="宋体" w:cs="宋体"/>
          <w:sz w:val="24"/>
          <w:szCs w:val="24"/>
          <w:lang w:eastAsia="zh-CN"/>
        </w:rPr>
        <w:t>应提供设备元器件清单，具体内容包括元件名称、型号、生产厂家、装机量等信息，并承诺</w:t>
      </w:r>
      <w:r>
        <w:rPr>
          <w:rFonts w:hint="eastAsia" w:ascii="宋体" w:hAnsi="宋体" w:eastAsia="宋体" w:cs="宋体"/>
          <w:sz w:val="24"/>
          <w:szCs w:val="24"/>
          <w:lang w:val="en-US" w:eastAsia="zh-CN"/>
        </w:rPr>
        <w:t>3年内不会停产。</w:t>
      </w:r>
      <w:bookmarkEnd w:id="65"/>
    </w:p>
    <w:p/>
    <w:sectPr>
      <w:footerReference r:id="rId5" w:type="default"/>
      <w:headerReference r:id="rId4" w:type="even"/>
      <w:footerReference r:id="rId6" w:type="even"/>
      <w:pgSz w:w="11906" w:h="16838"/>
      <w:pgMar w:top="2098" w:right="1474" w:bottom="1984" w:left="158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T Extra">
    <w:altName w:val="Gloucester MT Extra Condensed"/>
    <w:panose1 w:val="05050102010205020202"/>
    <w:charset w:val="00"/>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 w:name="PMingLiU">
    <w:altName w:val="PMingLiU-ExtB"/>
    <w:panose1 w:val="02020500000000000000"/>
    <w:charset w:val="88"/>
    <w:family w:val="auto"/>
    <w:pitch w:val="default"/>
    <w:sig w:usb0="00000000" w:usb1="00000000" w:usb2="00000016" w:usb3="00000000" w:csb0="00100001"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方正书宋简体">
    <w:altName w:val="宋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Segoe UI Symbol">
    <w:panose1 w:val="020B0502040204020203"/>
    <w:charset w:val="02"/>
    <w:family w:val="roman"/>
    <w:pitch w:val="default"/>
    <w:sig w:usb0="800001E3" w:usb1="1200FFEF" w:usb2="00040000" w:usb3="04000000" w:csb0="00000001" w:csb1="40000000"/>
  </w:font>
  <w:font w:name="楷体">
    <w:panose1 w:val="02010609060101010101"/>
    <w:charset w:val="86"/>
    <w:family w:val="auto"/>
    <w:pitch w:val="default"/>
    <w:sig w:usb0="800002BF" w:usb1="38CF7CFA" w:usb2="00000016" w:usb3="00000000" w:csb0="00040001" w:csb1="00000000"/>
  </w:font>
  <w:font w:name="Gloucester MT Extra Condensed">
    <w:panose1 w:val="02030808020601010101"/>
    <w:charset w:val="00"/>
    <w:family w:val="auto"/>
    <w:pitch w:val="default"/>
    <w:sig w:usb0="00000003"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Align="top"/>
      <w:pBdr>
        <w:between w:val="none" w:color="auto" w:sz="0" w:space="0"/>
      </w:pBdr>
    </w:pPr>
  </w:p>
  <w:p>
    <w:pPr>
      <w:pStyle w:val="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sz w:val="18"/>
                            </w:rPr>
                          </w:pPr>
                          <w:r>
                            <w:fldChar w:fldCharType="begin"/>
                          </w:r>
                          <w:r>
                            <w:instrText xml:space="preserve"> PAGE  \* MERGEFORMAT </w:instrText>
                          </w:r>
                          <w:r>
                            <w:fldChar w:fldCharType="separate"/>
                          </w:r>
                          <w:r>
                            <w:rPr>
                              <w:sz w:val="18"/>
                            </w:rPr>
                            <w:t>6</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i&#10;B7s4twEAAFQDAAAOAAAAAAAAAAEAIAAAAB4BAABkcnMvZTJvRG9jLnhtbFBLBQYAAAAABgAGAFkB&#10;AABHBQAAAAA=&#10;">
              <v:fill on="f" focussize="0,0"/>
              <v:stroke on="f"/>
              <v:imagedata o:title=""/>
              <o:lock v:ext="edit" aspectratio="f"/>
              <v:textbox inset="0mm,0mm,0mm,0mm" style="mso-fit-shape-to-text:t;">
                <w:txbxContent>
                  <w:p>
                    <w:pPr>
                      <w:snapToGrid w:val="0"/>
                      <w:rPr>
                        <w:sz w:val="18"/>
                      </w:rPr>
                    </w:pPr>
                    <w:r>
                      <w:fldChar w:fldCharType="begin"/>
                    </w:r>
                    <w:r>
                      <w:instrText xml:space="preserve"> PAGE  \* MERGEFORMAT </w:instrText>
                    </w:r>
                    <w:r>
                      <w:fldChar w:fldCharType="separate"/>
                    </w:r>
                    <w:r>
                      <w:rPr>
                        <w:sz w:val="18"/>
                      </w:rPr>
                      <w:t>6</w:t>
                    </w:r>
                    <w:r>
                      <w:rPr>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261FB"/>
    <w:multiLevelType w:val="singleLevel"/>
    <w:tmpl w:val="5A7261FB"/>
    <w:lvl w:ilvl="0" w:tentative="0">
      <w:start w:val="4"/>
      <w:numFmt w:val="decimal"/>
      <w:suff w:val="nothing"/>
      <w:lvlText w:val="%1）"/>
      <w:lvlJc w:val="left"/>
    </w:lvl>
  </w:abstractNum>
  <w:abstractNum w:abstractNumId="1">
    <w:nsid w:val="5A7265C2"/>
    <w:multiLevelType w:val="singleLevel"/>
    <w:tmpl w:val="5A7265C2"/>
    <w:lvl w:ilvl="0" w:tentative="0">
      <w:start w:val="3"/>
      <w:numFmt w:val="decimal"/>
      <w:suff w:val="nothing"/>
      <w:lvlText w:val="%1）"/>
      <w:lvlJc w:val="left"/>
    </w:lvl>
  </w:abstractNum>
  <w:abstractNum w:abstractNumId="2">
    <w:nsid w:val="5A7269F6"/>
    <w:multiLevelType w:val="singleLevel"/>
    <w:tmpl w:val="5A7269F6"/>
    <w:lvl w:ilvl="0" w:tentative="0">
      <w:start w:val="14"/>
      <w:numFmt w:val="decimal"/>
      <w:suff w:val="nothing"/>
      <w:lvlText w:val="%1）"/>
      <w:lvlJc w:val="left"/>
    </w:lvl>
  </w:abstractNum>
  <w:abstractNum w:abstractNumId="3">
    <w:nsid w:val="5A73C7F9"/>
    <w:multiLevelType w:val="singleLevel"/>
    <w:tmpl w:val="5A73C7F9"/>
    <w:lvl w:ilvl="0" w:tentative="0">
      <w:start w:val="1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F27D7"/>
    <w:rsid w:val="02686B27"/>
    <w:rsid w:val="03B65441"/>
    <w:rsid w:val="03D54494"/>
    <w:rsid w:val="04955FFF"/>
    <w:rsid w:val="09D532CE"/>
    <w:rsid w:val="09DC3F8D"/>
    <w:rsid w:val="0B0C4D66"/>
    <w:rsid w:val="0EB25201"/>
    <w:rsid w:val="10D3435C"/>
    <w:rsid w:val="1AE0574E"/>
    <w:rsid w:val="1C5456DF"/>
    <w:rsid w:val="1CD04D78"/>
    <w:rsid w:val="1ECD1C6E"/>
    <w:rsid w:val="21F13C5A"/>
    <w:rsid w:val="28386707"/>
    <w:rsid w:val="28C6691A"/>
    <w:rsid w:val="316A3200"/>
    <w:rsid w:val="37196112"/>
    <w:rsid w:val="3B1607A4"/>
    <w:rsid w:val="3CA42068"/>
    <w:rsid w:val="3E6B6D88"/>
    <w:rsid w:val="41BB197C"/>
    <w:rsid w:val="457925CD"/>
    <w:rsid w:val="46477F79"/>
    <w:rsid w:val="4B7824A6"/>
    <w:rsid w:val="4F4D25F6"/>
    <w:rsid w:val="4FB3095E"/>
    <w:rsid w:val="4FEF337B"/>
    <w:rsid w:val="502C4F42"/>
    <w:rsid w:val="50C93D3C"/>
    <w:rsid w:val="52532E4E"/>
    <w:rsid w:val="52B44E8F"/>
    <w:rsid w:val="596E4249"/>
    <w:rsid w:val="5AFA074C"/>
    <w:rsid w:val="5C136FD8"/>
    <w:rsid w:val="5E9C19CE"/>
    <w:rsid w:val="5FAC04B6"/>
    <w:rsid w:val="619B004C"/>
    <w:rsid w:val="63895C35"/>
    <w:rsid w:val="645F0C34"/>
    <w:rsid w:val="655076D9"/>
    <w:rsid w:val="69DC2735"/>
    <w:rsid w:val="6AAB31E8"/>
    <w:rsid w:val="6C26662A"/>
    <w:rsid w:val="6CED180E"/>
    <w:rsid w:val="700E1EA2"/>
    <w:rsid w:val="73A07381"/>
    <w:rsid w:val="77444DE8"/>
    <w:rsid w:val="779026EE"/>
    <w:rsid w:val="7C081836"/>
    <w:rsid w:val="7C52332C"/>
    <w:rsid w:val="7F0E6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Body Text Indent 2"/>
    <w:basedOn w:val="1"/>
    <w:uiPriority w:val="0"/>
    <w:pPr>
      <w:tabs>
        <w:tab w:val="left" w:pos="7020"/>
      </w:tabs>
      <w:spacing w:line="400" w:lineRule="exact"/>
      <w:ind w:firstLine="200" w:firstLineChars="200"/>
    </w:pPr>
    <w:rPr>
      <w:rFonts w:ascii="??_GB2312" w:eastAsia="Times New Roman"/>
      <w:sz w:val="32"/>
      <w:szCs w:val="24"/>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8">
    <w:name w:val="首行缩进"/>
    <w:basedOn w:val="1"/>
    <w:qFormat/>
    <w:uiPriority w:val="0"/>
    <w:pPr>
      <w:spacing w:line="300" w:lineRule="auto"/>
      <w:ind w:firstLine="420" w:firstLineChars="200"/>
    </w:pPr>
    <w:rPr>
      <w:rFonts w:eastAsia="方正书宋简体" w:cs="宋体"/>
      <w:szCs w:val="20"/>
    </w:rPr>
  </w:style>
  <w:style w:type="paragraph" w:customStyle="1" w:styleId="9">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10">
    <w:name w:val="二级条标题"/>
    <w:basedOn w:val="1"/>
    <w:next w:val="9"/>
    <w:qFormat/>
    <w:uiPriority w:val="0"/>
    <w:pPr>
      <w:widowControl/>
      <w:outlineLvl w:val="3"/>
    </w:pPr>
    <w:rPr>
      <w:rFonts w:ascii="黑体" w:eastAsia="黑体"/>
      <w:kern w:val="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wmf"/><Relationship Id="rId14" Type="http://schemas.openxmlformats.org/officeDocument/2006/relationships/oleObject" Target="embeddings/oleObject4.bin"/><Relationship Id="rId13" Type="http://schemas.openxmlformats.org/officeDocument/2006/relationships/image" Target="media/image3.wmf"/><Relationship Id="rId12" Type="http://schemas.openxmlformats.org/officeDocument/2006/relationships/oleObject" Target="embeddings/oleObject3.bin"/><Relationship Id="rId11" Type="http://schemas.openxmlformats.org/officeDocument/2006/relationships/image" Target="media/image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于俊清</cp:lastModifiedBy>
  <dcterms:modified xsi:type="dcterms:W3CDTF">2018-03-01T08:40:58Z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