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神华上航疏浚有限责任公司</w:t>
      </w:r>
    </w:p>
    <w:p>
      <w:pPr>
        <w:jc w:val="center"/>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2018年度办公区域花卉租摆服务采购项目</w:t>
      </w:r>
    </w:p>
    <w:p>
      <w:pPr>
        <w:jc w:val="center"/>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密封比价</w:t>
      </w:r>
      <w:r>
        <w:rPr>
          <w:rFonts w:hint="eastAsia" w:ascii="方正小标宋简体" w:hAnsi="方正小标宋简体" w:eastAsia="方正小标宋简体" w:cs="方正小标宋简体"/>
          <w:sz w:val="44"/>
          <w:szCs w:val="52"/>
          <w:lang w:eastAsia="zh-CN"/>
        </w:rPr>
        <w:t>技术</w:t>
      </w:r>
      <w:r>
        <w:rPr>
          <w:rFonts w:hint="eastAsia" w:ascii="方正小标宋简体" w:hAnsi="方正小标宋简体" w:eastAsia="方正小标宋简体" w:cs="方正小标宋简体"/>
          <w:sz w:val="44"/>
          <w:szCs w:val="52"/>
        </w:rPr>
        <w:t>文件</w:t>
      </w:r>
    </w:p>
    <w:p>
      <w:pPr>
        <w:rPr>
          <w:rFonts w:hint="default" w:ascii="仿宋_GB2312" w:eastAsia="仿宋_GB2312"/>
          <w:b/>
          <w:sz w:val="28"/>
          <w:szCs w:val="28"/>
        </w:rPr>
      </w:pPr>
      <w:r>
        <w:rPr>
          <w:rFonts w:ascii="仿宋_GB2312" w:eastAsia="仿宋_GB2312"/>
          <w:b/>
          <w:sz w:val="28"/>
          <w:szCs w:val="28"/>
        </w:rPr>
        <w:t>一、</w:t>
      </w:r>
      <w:r>
        <w:rPr>
          <w:rFonts w:hint="eastAsia" w:ascii="仿宋" w:hAnsi="仿宋" w:eastAsia="仿宋" w:cs="仿宋"/>
          <w:b/>
          <w:bCs/>
          <w:color w:val="000000"/>
          <w:kern w:val="0"/>
          <w:sz w:val="32"/>
          <w:szCs w:val="32"/>
        </w:rPr>
        <w:t>合格报价</w:t>
      </w:r>
      <w:r>
        <w:rPr>
          <w:rFonts w:hint="eastAsia" w:ascii="仿宋" w:hAnsi="仿宋" w:eastAsia="仿宋" w:cs="仿宋"/>
          <w:b/>
          <w:bCs/>
          <w:color w:val="000000"/>
          <w:kern w:val="0"/>
          <w:sz w:val="32"/>
          <w:szCs w:val="32"/>
          <w:lang w:eastAsia="zh-CN"/>
        </w:rPr>
        <w:t>承包商</w:t>
      </w:r>
      <w:r>
        <w:rPr>
          <w:rFonts w:hint="eastAsia" w:ascii="仿宋" w:hAnsi="仿宋" w:eastAsia="仿宋" w:cs="仿宋"/>
          <w:b/>
          <w:bCs/>
          <w:color w:val="000000"/>
          <w:kern w:val="0"/>
          <w:sz w:val="32"/>
          <w:szCs w:val="32"/>
        </w:rPr>
        <w:t>要求</w:t>
      </w:r>
      <w:r>
        <w:rPr>
          <w:rFonts w:hint="eastAsia" w:ascii="仿宋" w:hAnsi="仿宋" w:eastAsia="仿宋" w:cs="仿宋"/>
          <w:b/>
          <w:bCs/>
          <w:color w:val="000000"/>
          <w:kern w:val="0"/>
          <w:sz w:val="32"/>
          <w:szCs w:val="32"/>
          <w:lang w:eastAsia="zh-CN"/>
        </w:rPr>
        <w:t>：</w:t>
      </w:r>
    </w:p>
    <w:p>
      <w:pPr>
        <w:pStyle w:val="2"/>
        <w:shd w:val="clear" w:color="auto" w:fill="FFFFFF"/>
        <w:spacing w:before="0" w:beforeAutospacing="0" w:after="0" w:afterAutospacing="0" w:line="450" w:lineRule="atLeast"/>
        <w:ind w:firstLine="560" w:firstLineChars="200"/>
        <w:rPr>
          <w:rFonts w:hint="eastAsia" w:ascii="仿宋_GB2312" w:hAnsi="宋体" w:eastAsia="仿宋_GB2312" w:cstheme="minorBidi"/>
          <w:kern w:val="2"/>
          <w:sz w:val="28"/>
          <w:szCs w:val="28"/>
          <w:lang w:val="en-US" w:eastAsia="zh-CN" w:bidi="ar-SA"/>
        </w:rPr>
      </w:pPr>
      <w:r>
        <w:rPr>
          <w:rFonts w:hint="eastAsia" w:ascii="仿宋_GB2312" w:hAnsi="宋体" w:eastAsia="仿宋_GB2312" w:cstheme="minorBidi"/>
          <w:kern w:val="2"/>
          <w:sz w:val="28"/>
          <w:szCs w:val="28"/>
          <w:lang w:val="en-US" w:eastAsia="zh-CN" w:bidi="ar-SA"/>
        </w:rPr>
        <w:t>1、</w:t>
      </w:r>
      <w:r>
        <w:rPr>
          <w:rFonts w:hint="default" w:ascii="仿宋_GB2312" w:hAnsi="宋体" w:eastAsia="仿宋_GB2312" w:cstheme="minorBidi"/>
          <w:kern w:val="2"/>
          <w:sz w:val="28"/>
          <w:szCs w:val="28"/>
          <w:lang w:val="en-US" w:eastAsia="zh-CN" w:bidi="ar-SA"/>
        </w:rPr>
        <w:t>投标人在中华人民共和国注册，</w:t>
      </w:r>
      <w:r>
        <w:rPr>
          <w:rFonts w:hint="eastAsia" w:ascii="仿宋_GB2312" w:hAnsi="宋体" w:eastAsia="仿宋_GB2312" w:cstheme="minorBidi"/>
          <w:kern w:val="2"/>
          <w:sz w:val="28"/>
          <w:szCs w:val="28"/>
          <w:lang w:val="en-US" w:eastAsia="zh-CN" w:bidi="ar-SA"/>
        </w:rPr>
        <w:t>具有独立法人资格</w:t>
      </w:r>
      <w:r>
        <w:rPr>
          <w:rFonts w:hint="eastAsia" w:ascii="仿宋_GB2312" w:eastAsia="仿宋_GB2312" w:cstheme="minorBidi"/>
          <w:kern w:val="2"/>
          <w:sz w:val="28"/>
          <w:szCs w:val="28"/>
          <w:lang w:val="en-US" w:eastAsia="zh-CN" w:bidi="ar-SA"/>
        </w:rPr>
        <w:t>（或自然人）</w:t>
      </w:r>
      <w:r>
        <w:rPr>
          <w:rFonts w:hint="eastAsia" w:ascii="仿宋_GB2312" w:hAnsi="宋体" w:eastAsia="仿宋_GB2312" w:cstheme="minorBidi"/>
          <w:kern w:val="2"/>
          <w:sz w:val="28"/>
          <w:szCs w:val="28"/>
          <w:lang w:val="en-US" w:eastAsia="zh-CN" w:bidi="ar-SA"/>
        </w:rPr>
        <w:t>，</w:t>
      </w:r>
      <w:r>
        <w:rPr>
          <w:rFonts w:hint="eastAsia" w:ascii="仿宋" w:hAnsi="仿宋" w:eastAsia="仿宋" w:cs="仿宋"/>
          <w:kern w:val="2"/>
          <w:sz w:val="32"/>
          <w:szCs w:val="32"/>
          <w:lang w:val="en-US" w:eastAsia="zh-CN" w:bidi="ar-SA"/>
        </w:rPr>
        <w:t>注册资金达到150万以上（含150万）</w:t>
      </w:r>
      <w:r>
        <w:rPr>
          <w:rFonts w:hint="eastAsia" w:ascii="仿宋_GB2312" w:hAnsi="宋体" w:eastAsia="仿宋_GB2312" w:cstheme="minorBidi"/>
          <w:kern w:val="2"/>
          <w:sz w:val="28"/>
          <w:szCs w:val="28"/>
          <w:lang w:val="en-US" w:eastAsia="zh-CN" w:bidi="ar-SA"/>
        </w:rPr>
        <w:t>；</w:t>
      </w:r>
    </w:p>
    <w:p>
      <w:pPr>
        <w:pStyle w:val="2"/>
        <w:shd w:val="clear" w:color="auto" w:fill="FFFFFF"/>
        <w:spacing w:before="0" w:beforeAutospacing="0" w:after="0" w:afterAutospacing="0" w:line="450" w:lineRule="atLeast"/>
        <w:ind w:firstLine="560" w:firstLineChars="200"/>
        <w:rPr>
          <w:rFonts w:hint="eastAsia" w:ascii="仿宋_GB2312" w:hAnsi="宋体" w:eastAsia="仿宋_GB2312" w:cstheme="minorBidi"/>
          <w:kern w:val="2"/>
          <w:sz w:val="28"/>
          <w:szCs w:val="28"/>
          <w:lang w:val="en-US" w:eastAsia="zh-CN" w:bidi="ar-SA"/>
        </w:rPr>
      </w:pPr>
      <w:r>
        <w:rPr>
          <w:rFonts w:hint="eastAsia" w:ascii="仿宋_GB2312" w:hAnsi="宋体" w:eastAsia="仿宋_GB2312" w:cstheme="minorBidi"/>
          <w:kern w:val="2"/>
          <w:sz w:val="28"/>
          <w:szCs w:val="28"/>
          <w:lang w:val="en-US" w:eastAsia="zh-CN" w:bidi="ar-SA"/>
        </w:rPr>
        <w:t>2、法定代表人为同一个人的两个及以上法人、母公司、全资子公司及其控股公司，不得在本次招标中同时出现;</w:t>
      </w:r>
    </w:p>
    <w:p>
      <w:pPr>
        <w:pStyle w:val="2"/>
        <w:shd w:val="clear" w:color="auto" w:fill="FFFFFF"/>
        <w:spacing w:before="0" w:beforeAutospacing="0" w:after="0" w:afterAutospacing="0" w:line="450" w:lineRule="atLeast"/>
        <w:ind w:firstLine="560" w:firstLineChars="200"/>
        <w:rPr>
          <w:rFonts w:hint="eastAsia" w:ascii="仿宋_GB2312" w:hAnsi="宋体" w:eastAsia="仿宋_GB2312" w:cstheme="minorBidi"/>
          <w:kern w:val="2"/>
          <w:sz w:val="28"/>
          <w:szCs w:val="28"/>
          <w:lang w:val="en-US" w:eastAsia="zh-CN" w:bidi="ar-SA"/>
        </w:rPr>
      </w:pPr>
      <w:r>
        <w:rPr>
          <w:rFonts w:hint="eastAsia" w:ascii="仿宋_GB2312" w:hAnsi="宋体" w:eastAsia="仿宋_GB2312" w:cstheme="minorBidi"/>
          <w:kern w:val="2"/>
          <w:sz w:val="28"/>
          <w:szCs w:val="28"/>
          <w:lang w:val="en-US" w:eastAsia="zh-CN" w:bidi="ar-SA"/>
        </w:rPr>
        <w:t>3、所报单位需</w:t>
      </w:r>
      <w:r>
        <w:rPr>
          <w:rFonts w:hint="eastAsia" w:ascii="仿宋_GB2312" w:eastAsia="仿宋_GB2312" w:cstheme="minorBidi"/>
          <w:kern w:val="2"/>
          <w:sz w:val="28"/>
          <w:szCs w:val="28"/>
          <w:lang w:val="en-US" w:eastAsia="zh-CN" w:bidi="ar-SA"/>
        </w:rPr>
        <w:t>有</w:t>
      </w:r>
      <w:r>
        <w:rPr>
          <w:rFonts w:hint="eastAsia" w:ascii="仿宋_GB2312" w:hAnsi="宋体" w:eastAsia="仿宋_GB2312" w:cstheme="minorBidi"/>
          <w:kern w:val="2"/>
          <w:sz w:val="28"/>
          <w:szCs w:val="28"/>
          <w:lang w:val="en-US" w:eastAsia="zh-CN" w:bidi="ar-SA"/>
        </w:rPr>
        <w:t>从事花卉</w:t>
      </w:r>
      <w:r>
        <w:rPr>
          <w:rFonts w:hint="eastAsia" w:ascii="仿宋_GB2312" w:eastAsia="仿宋_GB2312" w:cstheme="minorBidi"/>
          <w:kern w:val="2"/>
          <w:sz w:val="28"/>
          <w:szCs w:val="28"/>
          <w:lang w:val="en-US" w:eastAsia="zh-CN" w:bidi="ar-SA"/>
        </w:rPr>
        <w:t>苗木</w:t>
      </w:r>
      <w:r>
        <w:rPr>
          <w:rFonts w:hint="eastAsia" w:ascii="仿宋_GB2312" w:hAnsi="宋体" w:eastAsia="仿宋_GB2312" w:cstheme="minorBidi"/>
          <w:kern w:val="2"/>
          <w:sz w:val="28"/>
          <w:szCs w:val="28"/>
          <w:lang w:val="en-US" w:eastAsia="zh-CN" w:bidi="ar-SA"/>
        </w:rPr>
        <w:t>养植、种植</w:t>
      </w:r>
      <w:r>
        <w:rPr>
          <w:rFonts w:hint="eastAsia" w:ascii="仿宋_GB2312" w:eastAsia="仿宋_GB2312" w:cstheme="minorBidi"/>
          <w:kern w:val="2"/>
          <w:sz w:val="28"/>
          <w:szCs w:val="28"/>
          <w:lang w:val="en-US" w:eastAsia="zh-CN" w:bidi="ar-SA"/>
        </w:rPr>
        <w:t>、</w:t>
      </w:r>
      <w:r>
        <w:rPr>
          <w:rFonts w:hint="eastAsia" w:ascii="仿宋_GB2312" w:hAnsi="宋体" w:eastAsia="仿宋_GB2312" w:cstheme="minorBidi"/>
          <w:kern w:val="2"/>
          <w:sz w:val="28"/>
          <w:szCs w:val="28"/>
          <w:lang w:val="en-US" w:eastAsia="zh-CN" w:bidi="ar-SA"/>
        </w:rPr>
        <w:t>经营</w:t>
      </w:r>
      <w:r>
        <w:rPr>
          <w:rFonts w:hint="eastAsia" w:ascii="仿宋_GB2312" w:eastAsia="仿宋_GB2312" w:cstheme="minorBidi"/>
          <w:kern w:val="2"/>
          <w:sz w:val="28"/>
          <w:szCs w:val="28"/>
          <w:lang w:val="en-US" w:eastAsia="zh-CN" w:bidi="ar-SA"/>
        </w:rPr>
        <w:t>、租摆等经营范围，</w:t>
      </w:r>
      <w:r>
        <w:rPr>
          <w:rFonts w:hint="eastAsia" w:ascii="仿宋_GB2312" w:hAnsi="宋体" w:eastAsia="仿宋_GB2312" w:cstheme="minorBidi"/>
          <w:kern w:val="2"/>
          <w:sz w:val="28"/>
          <w:szCs w:val="28"/>
          <w:lang w:val="en-US" w:eastAsia="zh-CN" w:bidi="ar-SA"/>
        </w:rPr>
        <w:t>营业执照、税务登记证、组织机构代码（或三证合一）等文件均须在有效期内，社会</w:t>
      </w:r>
      <w:r>
        <w:rPr>
          <w:rFonts w:hint="eastAsia" w:ascii="仿宋_GB2312" w:hAnsi="宋体" w:eastAsia="仿宋_GB2312" w:cstheme="minorBidi"/>
          <w:kern w:val="2"/>
          <w:sz w:val="28"/>
          <w:szCs w:val="28"/>
          <w:lang w:val="en-US" w:eastAsia="zh-CN" w:bidi="ar-SA"/>
        </w:rPr>
        <w:fldChar w:fldCharType="begin"/>
      </w:r>
      <w:r>
        <w:rPr>
          <w:rFonts w:hint="eastAsia" w:ascii="仿宋_GB2312" w:hAnsi="宋体" w:eastAsia="仿宋_GB2312" w:cstheme="minorBidi"/>
          <w:kern w:val="2"/>
          <w:sz w:val="28"/>
          <w:szCs w:val="28"/>
          <w:lang w:val="en-US" w:eastAsia="zh-CN" w:bidi="ar-SA"/>
        </w:rPr>
        <w:instrText xml:space="preserve"> HYPERLINK "javascript:;" \t "_blank" </w:instrText>
      </w:r>
      <w:r>
        <w:rPr>
          <w:rFonts w:hint="eastAsia" w:ascii="仿宋_GB2312" w:hAnsi="宋体" w:eastAsia="仿宋_GB2312" w:cstheme="minorBidi"/>
          <w:kern w:val="2"/>
          <w:sz w:val="28"/>
          <w:szCs w:val="28"/>
          <w:lang w:val="en-US" w:eastAsia="zh-CN" w:bidi="ar-SA"/>
        </w:rPr>
        <w:fldChar w:fldCharType="separate"/>
      </w:r>
      <w:r>
        <w:rPr>
          <w:rFonts w:hint="eastAsia" w:ascii="仿宋_GB2312" w:hAnsi="宋体" w:eastAsia="仿宋_GB2312" w:cstheme="minorBidi"/>
          <w:kern w:val="2"/>
          <w:sz w:val="28"/>
          <w:szCs w:val="28"/>
          <w:lang w:val="en-US" w:eastAsia="zh-CN" w:bidi="ar-SA"/>
        </w:rPr>
        <w:t>信誉</w:t>
      </w:r>
      <w:r>
        <w:rPr>
          <w:rFonts w:hint="eastAsia" w:ascii="仿宋_GB2312" w:hAnsi="宋体" w:eastAsia="仿宋_GB2312" w:cstheme="minorBidi"/>
          <w:kern w:val="2"/>
          <w:sz w:val="28"/>
          <w:szCs w:val="28"/>
          <w:lang w:val="en-US" w:eastAsia="zh-CN" w:bidi="ar-SA"/>
        </w:rPr>
        <w:fldChar w:fldCharType="end"/>
      </w:r>
      <w:r>
        <w:rPr>
          <w:rFonts w:hint="eastAsia" w:ascii="仿宋_GB2312" w:hAnsi="宋体" w:eastAsia="仿宋_GB2312" w:cstheme="minorBidi"/>
          <w:kern w:val="2"/>
          <w:sz w:val="28"/>
          <w:szCs w:val="28"/>
          <w:lang w:val="en-US" w:eastAsia="zh-CN" w:bidi="ar-SA"/>
        </w:rPr>
        <w:t>良好；</w:t>
      </w:r>
    </w:p>
    <w:p>
      <w:pPr>
        <w:pStyle w:val="2"/>
        <w:shd w:val="clear" w:color="auto" w:fill="FFFFFF"/>
        <w:spacing w:before="0" w:beforeAutospacing="0" w:after="0" w:afterAutospacing="0" w:line="450" w:lineRule="atLeast"/>
        <w:ind w:firstLine="560" w:firstLineChars="200"/>
        <w:rPr>
          <w:rFonts w:hint="eastAsia" w:ascii="仿宋_GB2312" w:hAnsi="宋体" w:eastAsia="仿宋_GB2312" w:cstheme="minorBidi"/>
          <w:kern w:val="2"/>
          <w:sz w:val="28"/>
          <w:szCs w:val="28"/>
          <w:lang w:val="en-US" w:eastAsia="zh-CN" w:bidi="ar-SA"/>
        </w:rPr>
      </w:pPr>
      <w:r>
        <w:rPr>
          <w:rFonts w:hint="eastAsia" w:ascii="仿宋_GB2312" w:hAnsi="宋体" w:eastAsia="仿宋_GB2312" w:cstheme="minorBidi"/>
          <w:kern w:val="2"/>
          <w:sz w:val="28"/>
          <w:szCs w:val="28"/>
          <w:lang w:val="en-US" w:eastAsia="zh-CN" w:bidi="ar-SA"/>
        </w:rPr>
        <w:t>4、以往的重点项目业绩证明材料（加盖公章）；</w:t>
      </w:r>
    </w:p>
    <w:p>
      <w:pPr>
        <w:pStyle w:val="6"/>
        <w:spacing w:line="360" w:lineRule="auto"/>
        <w:ind w:firstLine="560" w:firstLineChars="200"/>
        <w:rPr>
          <w:rFonts w:hint="eastAsia" w:ascii="仿宋_GB2312" w:hAnsi="宋体" w:eastAsia="仿宋_GB2312" w:cstheme="minorBidi"/>
          <w:kern w:val="2"/>
          <w:sz w:val="28"/>
          <w:szCs w:val="28"/>
          <w:lang w:val="en-US" w:eastAsia="zh-CN" w:bidi="ar-SA"/>
        </w:rPr>
      </w:pPr>
      <w:r>
        <w:rPr>
          <w:rFonts w:hint="eastAsia" w:ascii="仿宋_GB2312" w:hAnsi="宋体" w:eastAsia="仿宋_GB2312" w:cstheme="minorBidi"/>
          <w:kern w:val="2"/>
          <w:sz w:val="28"/>
          <w:szCs w:val="28"/>
          <w:lang w:val="en-US" w:eastAsia="zh-CN" w:bidi="ar-SA"/>
        </w:rPr>
        <w:t>5</w:t>
      </w:r>
      <w:r>
        <w:rPr>
          <w:rFonts w:ascii="仿宋_GB2312" w:hAnsi="宋体" w:eastAsia="仿宋_GB2312" w:cstheme="minorBidi"/>
          <w:kern w:val="2"/>
          <w:sz w:val="28"/>
          <w:szCs w:val="28"/>
          <w:lang w:val="en-US" w:eastAsia="zh-CN" w:bidi="ar-SA"/>
        </w:rPr>
        <w:t>、本项目不接受联合体投标。</w:t>
      </w:r>
    </w:p>
    <w:p>
      <w:pPr>
        <w:rPr>
          <w:rFonts w:ascii="仿宋_GB2312" w:eastAsia="仿宋_GB2312"/>
          <w:b/>
          <w:sz w:val="28"/>
          <w:szCs w:val="28"/>
        </w:rPr>
      </w:pPr>
      <w:r>
        <w:rPr>
          <w:rFonts w:ascii="仿宋_GB2312" w:eastAsia="仿宋_GB2312"/>
          <w:b/>
          <w:sz w:val="28"/>
          <w:szCs w:val="28"/>
        </w:rPr>
        <w:t>二、投标书需提供内容</w:t>
      </w:r>
    </w:p>
    <w:p>
      <w:pPr>
        <w:ind w:firstLine="560" w:firstLineChars="200"/>
        <w:rPr>
          <w:rFonts w:ascii="仿宋_GB2312" w:eastAsia="仿宋_GB2312"/>
          <w:sz w:val="28"/>
          <w:szCs w:val="28"/>
        </w:rPr>
      </w:pPr>
      <w:r>
        <w:rPr>
          <w:rFonts w:ascii="仿宋_GB2312" w:eastAsia="仿宋_GB2312"/>
          <w:sz w:val="28"/>
          <w:szCs w:val="28"/>
        </w:rPr>
        <w:t>1、投标方资质证明文件。</w:t>
      </w:r>
    </w:p>
    <w:p>
      <w:pPr>
        <w:ind w:firstLine="700" w:firstLineChars="250"/>
        <w:rPr>
          <w:rFonts w:ascii="仿宋_GB2312" w:eastAsia="仿宋_GB2312"/>
          <w:sz w:val="28"/>
          <w:szCs w:val="28"/>
        </w:rPr>
      </w:pPr>
      <w:r>
        <w:rPr>
          <w:rFonts w:ascii="仿宋_GB2312" w:eastAsia="仿宋_GB2312"/>
          <w:sz w:val="28"/>
          <w:szCs w:val="28"/>
        </w:rPr>
        <w:t>1）法人营业执照副本复印件（加盖公章）。</w:t>
      </w:r>
    </w:p>
    <w:p>
      <w:pPr>
        <w:ind w:firstLine="700" w:firstLineChars="250"/>
        <w:rPr>
          <w:rFonts w:ascii="仿宋_GB2312" w:eastAsia="仿宋_GB2312"/>
          <w:sz w:val="28"/>
          <w:szCs w:val="28"/>
        </w:rPr>
      </w:pPr>
      <w:r>
        <w:rPr>
          <w:rFonts w:ascii="仿宋_GB2312" w:eastAsia="仿宋_GB2312"/>
          <w:sz w:val="28"/>
          <w:szCs w:val="28"/>
        </w:rPr>
        <w:t>2）法人代表身份证复印件或法人授权代表身份证复印件。</w:t>
      </w:r>
    </w:p>
    <w:p>
      <w:pPr>
        <w:ind w:left="709"/>
        <w:rPr>
          <w:rFonts w:ascii="仿宋_GB2312" w:eastAsia="仿宋_GB2312"/>
          <w:sz w:val="28"/>
          <w:szCs w:val="28"/>
        </w:rPr>
      </w:pPr>
      <w:r>
        <w:rPr>
          <w:rFonts w:ascii="仿宋_GB2312" w:eastAsia="仿宋_GB2312"/>
          <w:sz w:val="28"/>
          <w:szCs w:val="28"/>
        </w:rPr>
        <w:t>2、报价单:</w:t>
      </w:r>
      <w:r>
        <w:rPr>
          <w:rFonts w:ascii="仿宋_GB2312" w:hAnsi="宋体" w:eastAsia="仿宋_GB2312"/>
          <w:sz w:val="28"/>
          <w:szCs w:val="28"/>
        </w:rPr>
        <w:t>报价单按照相关规范编制，包含</w:t>
      </w:r>
      <w:r>
        <w:rPr>
          <w:rFonts w:hint="eastAsia" w:ascii="仿宋_GB2312" w:hAnsi="宋体" w:eastAsia="仿宋_GB2312"/>
          <w:sz w:val="28"/>
          <w:szCs w:val="28"/>
          <w:lang w:eastAsia="zh-CN"/>
        </w:rPr>
        <w:t>比价（控制）单价、</w:t>
      </w:r>
      <w:r>
        <w:rPr>
          <w:rFonts w:ascii="仿宋_GB2312" w:hAnsi="宋体" w:eastAsia="仿宋_GB2312"/>
          <w:sz w:val="28"/>
          <w:szCs w:val="28"/>
        </w:rPr>
        <w:t>各分项</w:t>
      </w:r>
      <w:r>
        <w:rPr>
          <w:rFonts w:hint="eastAsia" w:ascii="仿宋_GB2312" w:hAnsi="宋体" w:eastAsia="仿宋_GB2312"/>
          <w:sz w:val="28"/>
          <w:szCs w:val="28"/>
          <w:lang w:eastAsia="zh-CN"/>
        </w:rPr>
        <w:t>价及控制总价</w:t>
      </w:r>
      <w:r>
        <w:rPr>
          <w:rFonts w:ascii="仿宋_GB2312" w:hAnsi="宋体" w:eastAsia="仿宋_GB2312"/>
          <w:sz w:val="28"/>
          <w:szCs w:val="28"/>
        </w:rPr>
        <w:t>。</w:t>
      </w:r>
    </w:p>
    <w:p>
      <w:pPr>
        <w:rPr>
          <w:rFonts w:ascii="仿宋_GB2312" w:hAnsi="宋体" w:eastAsia="仿宋_GB2312"/>
          <w:b/>
          <w:sz w:val="28"/>
          <w:szCs w:val="28"/>
        </w:rPr>
      </w:pPr>
      <w:r>
        <w:rPr>
          <w:rFonts w:ascii="仿宋_GB2312" w:hAnsi="宋体" w:eastAsia="仿宋_GB2312"/>
          <w:b/>
          <w:sz w:val="28"/>
          <w:szCs w:val="28"/>
        </w:rPr>
        <w:t>三、投标文件的编制及提交</w:t>
      </w:r>
    </w:p>
    <w:p>
      <w:pPr>
        <w:ind w:firstLine="280" w:firstLineChars="100"/>
        <w:rPr>
          <w:rFonts w:ascii="仿宋_GB2312" w:hAnsi="宋体" w:eastAsia="仿宋_GB2312"/>
          <w:sz w:val="28"/>
          <w:szCs w:val="28"/>
        </w:rPr>
      </w:pPr>
      <w:r>
        <w:rPr>
          <w:rFonts w:ascii="仿宋_GB2312" w:hAnsi="宋体" w:eastAsia="仿宋_GB2312"/>
          <w:sz w:val="28"/>
          <w:szCs w:val="28"/>
        </w:rPr>
        <w:t>1、投标文件由投标人参照比价文件的要求编写，采用法定计量单位、规范的中文术语，字迹清楚，涂改之处要加盖印章。</w:t>
      </w:r>
    </w:p>
    <w:p>
      <w:pPr>
        <w:ind w:firstLine="280" w:firstLineChars="100"/>
        <w:rPr>
          <w:rFonts w:ascii="仿宋_GB2312" w:hAnsi="宋体" w:eastAsia="仿宋_GB2312"/>
          <w:sz w:val="28"/>
          <w:szCs w:val="28"/>
        </w:rPr>
      </w:pPr>
      <w:r>
        <w:rPr>
          <w:rFonts w:ascii="仿宋_GB2312" w:hAnsi="宋体" w:eastAsia="仿宋_GB2312"/>
          <w:sz w:val="28"/>
          <w:szCs w:val="28"/>
        </w:rPr>
        <w:t>2、投标文件须由投标单位法定代表人或其委托代理人签署并加盖法人单位公章。</w:t>
      </w:r>
    </w:p>
    <w:p>
      <w:pPr>
        <w:ind w:firstLine="280" w:firstLineChars="100"/>
        <w:rPr>
          <w:rFonts w:ascii="仿宋_GB2312" w:hAnsi="宋体" w:eastAsia="仿宋_GB2312"/>
          <w:sz w:val="28"/>
          <w:szCs w:val="28"/>
        </w:rPr>
      </w:pPr>
      <w:r>
        <w:rPr>
          <w:rFonts w:ascii="仿宋_GB2312" w:hAnsi="宋体" w:eastAsia="仿宋_GB2312"/>
          <w:sz w:val="28"/>
          <w:szCs w:val="28"/>
        </w:rPr>
        <w:t>3、投标文件正本与副本均应使用不能擦去的墨水打印或书写。</w:t>
      </w:r>
    </w:p>
    <w:p>
      <w:pPr>
        <w:ind w:firstLine="280" w:firstLineChars="100"/>
        <w:rPr>
          <w:rFonts w:ascii="仿宋_GB2312" w:hAnsi="宋体" w:eastAsia="仿宋_GB2312"/>
          <w:sz w:val="28"/>
          <w:szCs w:val="28"/>
        </w:rPr>
      </w:pPr>
      <w:r>
        <w:rPr>
          <w:rFonts w:ascii="仿宋_GB2312" w:hAnsi="宋体" w:eastAsia="仿宋_GB2312"/>
          <w:sz w:val="28"/>
          <w:szCs w:val="28"/>
        </w:rPr>
        <w:t>4、投标文件应按照比价文件要求的顺序装订成册；投标文件中的</w:t>
      </w:r>
    </w:p>
    <w:p>
      <w:pPr>
        <w:rPr>
          <w:rFonts w:ascii="仿宋_GB2312" w:hAnsi="宋体" w:eastAsia="仿宋_GB2312"/>
          <w:sz w:val="28"/>
          <w:szCs w:val="28"/>
        </w:rPr>
      </w:pPr>
      <w:r>
        <w:rPr>
          <w:rFonts w:ascii="仿宋_GB2312" w:hAnsi="宋体" w:eastAsia="仿宋_GB2312"/>
          <w:sz w:val="28"/>
          <w:szCs w:val="28"/>
        </w:rPr>
        <w:t>各种资质证明材料应一并装订。</w:t>
      </w:r>
    </w:p>
    <w:p>
      <w:pPr>
        <w:ind w:firstLine="280" w:firstLineChars="100"/>
        <w:rPr>
          <w:rFonts w:ascii="仿宋_GB2312" w:eastAsia="仿宋_GB2312"/>
          <w:sz w:val="28"/>
          <w:szCs w:val="28"/>
        </w:rPr>
      </w:pPr>
      <w:r>
        <w:rPr>
          <w:rFonts w:ascii="仿宋_GB2312" w:hAnsi="宋体" w:eastAsia="仿宋_GB2312"/>
          <w:sz w:val="28"/>
          <w:szCs w:val="28"/>
        </w:rPr>
        <w:t>5、</w:t>
      </w:r>
      <w:r>
        <w:rPr>
          <w:rFonts w:ascii="仿宋_GB2312" w:eastAsia="仿宋_GB2312"/>
          <w:sz w:val="28"/>
          <w:szCs w:val="28"/>
        </w:rPr>
        <w:t>比价文件一式两份（正本、副本各一份，并各加盖“正本、</w:t>
      </w:r>
    </w:p>
    <w:p>
      <w:pPr>
        <w:rPr>
          <w:rFonts w:ascii="仿宋_GB2312" w:eastAsia="仿宋_GB2312"/>
          <w:sz w:val="28"/>
          <w:szCs w:val="28"/>
        </w:rPr>
      </w:pPr>
      <w:r>
        <w:rPr>
          <w:rFonts w:ascii="仿宋_GB2312" w:eastAsia="仿宋_GB2312"/>
          <w:sz w:val="28"/>
          <w:szCs w:val="28"/>
        </w:rPr>
        <w:t>副本”印章），装订成册，不得活页，编制清晰目录，标注连续页码。同时在提交</w:t>
      </w:r>
      <w:r>
        <w:rPr>
          <w:rFonts w:hint="eastAsia" w:ascii="仿宋_GB2312" w:eastAsia="仿宋_GB2312"/>
          <w:sz w:val="28"/>
          <w:szCs w:val="28"/>
          <w:lang w:eastAsia="zh-CN"/>
        </w:rPr>
        <w:t>比技术文件时附带</w:t>
      </w:r>
      <w:r>
        <w:rPr>
          <w:rFonts w:ascii="仿宋_GB2312" w:eastAsia="仿宋_GB2312"/>
          <w:sz w:val="28"/>
          <w:szCs w:val="28"/>
        </w:rPr>
        <w:t>电子版比价文件一份（比价文件正本签字盖章后扫描版，PDF格式）</w:t>
      </w:r>
      <w:r>
        <w:rPr>
          <w:rFonts w:hint="eastAsia" w:ascii="仿宋_GB2312" w:eastAsia="仿宋_GB2312"/>
          <w:sz w:val="28"/>
          <w:szCs w:val="28"/>
          <w:lang w:eastAsia="zh-CN"/>
        </w:rPr>
        <w:t>一起封装</w:t>
      </w:r>
      <w:r>
        <w:rPr>
          <w:rFonts w:ascii="仿宋_GB2312" w:eastAsia="仿宋_GB2312"/>
          <w:sz w:val="28"/>
          <w:szCs w:val="28"/>
        </w:rPr>
        <w:t>。</w:t>
      </w:r>
    </w:p>
    <w:p>
      <w:pPr>
        <w:ind w:firstLine="280" w:firstLineChars="100"/>
        <w:rPr>
          <w:rFonts w:ascii="仿宋_GB2312" w:hAnsi="宋体" w:eastAsia="仿宋_GB2312"/>
          <w:sz w:val="28"/>
          <w:szCs w:val="28"/>
        </w:rPr>
      </w:pPr>
      <w:r>
        <w:rPr>
          <w:rFonts w:ascii="仿宋_GB2312" w:hAnsi="宋体" w:eastAsia="仿宋_GB2312"/>
          <w:sz w:val="28"/>
          <w:szCs w:val="28"/>
        </w:rPr>
        <w:t>6、所有投标文件必须提交1套正本与1套副本，并标注“正本”</w:t>
      </w:r>
    </w:p>
    <w:p>
      <w:pPr>
        <w:rPr>
          <w:rFonts w:ascii="仿宋_GB2312" w:hAnsi="宋体" w:eastAsia="仿宋_GB2312"/>
          <w:sz w:val="28"/>
          <w:szCs w:val="28"/>
        </w:rPr>
      </w:pPr>
      <w:r>
        <w:rPr>
          <w:rFonts w:ascii="仿宋_GB2312" w:hAnsi="宋体" w:eastAsia="仿宋_GB2312"/>
          <w:sz w:val="28"/>
          <w:szCs w:val="28"/>
        </w:rPr>
        <w:t>和“副本”字样。当正本和副本之间出现差异时，以正本为准。</w:t>
      </w:r>
    </w:p>
    <w:p>
      <w:pPr>
        <w:ind w:firstLine="280" w:firstLineChars="100"/>
        <w:rPr>
          <w:rFonts w:ascii="仿宋_GB2312" w:hAnsi="宋体" w:eastAsia="仿宋_GB2312"/>
          <w:sz w:val="28"/>
          <w:szCs w:val="28"/>
        </w:rPr>
      </w:pPr>
      <w:r>
        <w:rPr>
          <w:rFonts w:ascii="仿宋_GB2312" w:hAnsi="宋体" w:eastAsia="仿宋_GB2312"/>
          <w:sz w:val="28"/>
          <w:szCs w:val="28"/>
        </w:rPr>
        <w:t>7、所有投标文件需委派专人送至神华上航疏浚公司</w:t>
      </w:r>
      <w:r>
        <w:rPr>
          <w:rFonts w:hint="eastAsia" w:ascii="仿宋_GB2312" w:hAnsi="宋体" w:eastAsia="仿宋_GB2312"/>
          <w:sz w:val="28"/>
          <w:szCs w:val="28"/>
          <w:lang w:eastAsia="zh-CN"/>
        </w:rPr>
        <w:t>综合办公室</w:t>
      </w:r>
      <w:r>
        <w:rPr>
          <w:rFonts w:ascii="仿宋_GB2312" w:hAnsi="宋体" w:eastAsia="仿宋_GB2312"/>
          <w:sz w:val="28"/>
          <w:szCs w:val="28"/>
        </w:rPr>
        <w:t>。</w:t>
      </w:r>
    </w:p>
    <w:p>
      <w:pPr>
        <w:ind w:firstLine="280" w:firstLineChars="100"/>
        <w:rPr>
          <w:rFonts w:ascii="仿宋_GB2312" w:hAnsi="宋体" w:eastAsia="仿宋_GB2312"/>
          <w:sz w:val="28"/>
          <w:szCs w:val="28"/>
        </w:rPr>
      </w:pPr>
      <w:r>
        <w:rPr>
          <w:rFonts w:ascii="仿宋_GB2312" w:hAnsi="宋体" w:eastAsia="仿宋_GB2312"/>
          <w:sz w:val="28"/>
          <w:szCs w:val="28"/>
        </w:rPr>
        <w:t>8、由于不可抗拒的原因或无法控制的事件导致投标文件丢失或</w:t>
      </w:r>
    </w:p>
    <w:p>
      <w:pPr>
        <w:rPr>
          <w:rFonts w:ascii="仿宋_GB2312" w:hAnsi="宋体" w:eastAsia="仿宋_GB2312"/>
          <w:sz w:val="28"/>
          <w:szCs w:val="28"/>
        </w:rPr>
      </w:pPr>
      <w:r>
        <w:rPr>
          <w:rFonts w:ascii="仿宋_GB2312" w:hAnsi="宋体" w:eastAsia="仿宋_GB2312"/>
          <w:sz w:val="28"/>
          <w:szCs w:val="28"/>
        </w:rPr>
        <w:t>损坏，比价方将不承担任何责任。</w:t>
      </w:r>
    </w:p>
    <w:p>
      <w:pPr>
        <w:ind w:firstLine="280" w:firstLineChars="100"/>
        <w:rPr>
          <w:rFonts w:ascii="仿宋_GB2312" w:hAnsi="宋体" w:eastAsia="仿宋_GB2312"/>
          <w:sz w:val="28"/>
          <w:szCs w:val="28"/>
        </w:rPr>
      </w:pPr>
      <w:r>
        <w:rPr>
          <w:rFonts w:ascii="仿宋_GB2312" w:hAnsi="宋体" w:eastAsia="仿宋_GB2312"/>
          <w:sz w:val="28"/>
          <w:szCs w:val="28"/>
        </w:rPr>
        <w:t>9、投标文件的修改与撤回</w:t>
      </w:r>
    </w:p>
    <w:p>
      <w:pPr>
        <w:ind w:firstLine="700" w:firstLineChars="250"/>
        <w:rPr>
          <w:rFonts w:ascii="仿宋_GB2312" w:hAnsi="宋体" w:eastAsia="仿宋_GB2312"/>
          <w:sz w:val="28"/>
          <w:szCs w:val="28"/>
        </w:rPr>
      </w:pPr>
      <w:r>
        <w:rPr>
          <w:rFonts w:ascii="仿宋_GB2312" w:hAnsi="宋体" w:eastAsia="仿宋_GB2312"/>
          <w:sz w:val="28"/>
          <w:szCs w:val="28"/>
        </w:rPr>
        <w:t>⑴、在投标截止时间以后，不能更改投标文件。</w:t>
      </w:r>
    </w:p>
    <w:p>
      <w:pPr>
        <w:ind w:left="701" w:leftChars="334"/>
        <w:rPr>
          <w:rFonts w:ascii="仿宋_GB2312" w:hAnsi="宋体" w:eastAsia="仿宋_GB2312"/>
          <w:sz w:val="28"/>
          <w:szCs w:val="28"/>
        </w:rPr>
      </w:pPr>
      <w:r>
        <w:rPr>
          <w:rFonts w:ascii="仿宋_GB2312" w:hAnsi="宋体" w:eastAsia="仿宋_GB2312"/>
          <w:sz w:val="28"/>
          <w:szCs w:val="28"/>
        </w:rPr>
        <w:t>⑵、投标文件送达以后，如果投标方提出修改或撤标要求，应</w:t>
      </w:r>
    </w:p>
    <w:p>
      <w:pPr>
        <w:rPr>
          <w:rFonts w:ascii="仿宋_GB2312" w:hAnsi="宋体" w:eastAsia="仿宋_GB2312"/>
          <w:sz w:val="28"/>
          <w:szCs w:val="28"/>
        </w:rPr>
      </w:pPr>
      <w:r>
        <w:rPr>
          <w:rFonts w:ascii="仿宋_GB2312" w:hAnsi="宋体" w:eastAsia="仿宋_GB2312"/>
          <w:sz w:val="28"/>
          <w:szCs w:val="28"/>
        </w:rPr>
        <w:t>至少在投标截止时间前两天将书面申请送达比价方，但不退还投标文件。</w:t>
      </w:r>
    </w:p>
    <w:p>
      <w:pPr>
        <w:ind w:firstLine="560" w:firstLineChars="200"/>
        <w:rPr>
          <w:rFonts w:ascii="仿宋_GB2312" w:hAnsi="宋体" w:eastAsia="仿宋_GB2312"/>
          <w:sz w:val="28"/>
          <w:szCs w:val="28"/>
        </w:rPr>
      </w:pPr>
      <w:r>
        <w:rPr>
          <w:rFonts w:ascii="仿宋_GB2312" w:hAnsi="宋体" w:eastAsia="仿宋_GB2312"/>
          <w:sz w:val="28"/>
          <w:szCs w:val="28"/>
        </w:rPr>
        <w:t>10、投标报价均以人民币报价。</w:t>
      </w:r>
    </w:p>
    <w:p>
      <w:pPr>
        <w:rPr>
          <w:rFonts w:ascii="仿宋_GB2312" w:hAnsi="宋体" w:eastAsia="仿宋_GB2312"/>
          <w:b/>
          <w:bCs/>
          <w:sz w:val="28"/>
          <w:szCs w:val="28"/>
        </w:rPr>
      </w:pPr>
      <w:r>
        <w:rPr>
          <w:rFonts w:ascii="仿宋_GB2312" w:hAnsi="宋体" w:eastAsia="仿宋_GB2312"/>
          <w:b/>
          <w:bCs/>
          <w:sz w:val="28"/>
          <w:szCs w:val="28"/>
        </w:rPr>
        <w:t>四、</w:t>
      </w:r>
      <w:r>
        <w:rPr>
          <w:rFonts w:hint="eastAsia" w:ascii="仿宋_GB2312" w:hAnsi="宋体" w:eastAsia="仿宋_GB2312"/>
          <w:b/>
          <w:bCs/>
          <w:sz w:val="28"/>
          <w:szCs w:val="28"/>
          <w:lang w:eastAsia="zh-CN"/>
        </w:rPr>
        <w:t>后勤日常维修控制价格、技术要求及付款条件：</w:t>
      </w:r>
    </w:p>
    <w:p>
      <w:pPr>
        <w:ind w:firstLine="560" w:firstLineChars="200"/>
        <w:rPr>
          <w:rFonts w:hint="default" w:ascii="仿宋_GB2312" w:hAnsi="宋体" w:eastAsia="仿宋_GB2312"/>
          <w:sz w:val="28"/>
          <w:szCs w:val="28"/>
          <w:lang w:val="en-US" w:eastAsia="zh-CN"/>
        </w:rPr>
      </w:pPr>
      <w:r>
        <w:rPr>
          <w:rFonts w:hint="eastAsia" w:ascii="仿宋_GB2312" w:hAnsi="宋体" w:eastAsia="仿宋_GB2312"/>
          <w:sz w:val="28"/>
          <w:szCs w:val="28"/>
        </w:rPr>
        <w:t>1</w:t>
      </w:r>
      <w:r>
        <w:rPr>
          <w:rFonts w:hint="eastAsia" w:ascii="仿宋_GB2312" w:hAnsi="宋体" w:eastAsia="仿宋_GB2312"/>
          <w:sz w:val="28"/>
          <w:szCs w:val="28"/>
          <w:lang w:val="en-US" w:eastAsia="zh-CN"/>
        </w:rPr>
        <w:t>、项目概况：</w:t>
      </w:r>
    </w:p>
    <w:p>
      <w:pPr>
        <w:ind w:firstLine="560" w:firstLineChars="200"/>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沧州渤海新区神华黄骅港务公司原综合办公楼内神华上航疏浚有限责任公司</w:t>
      </w:r>
      <w:bookmarkStart w:id="0" w:name="_GoBack"/>
      <w:bookmarkEnd w:id="0"/>
      <w:r>
        <w:rPr>
          <w:rFonts w:hint="eastAsia" w:ascii="仿宋_GB2312" w:hAnsi="宋体" w:eastAsia="仿宋_GB2312"/>
          <w:sz w:val="28"/>
          <w:szCs w:val="28"/>
          <w:lang w:val="en-US" w:eastAsia="zh-CN"/>
        </w:rPr>
        <w:t>公共办公区域及各部室范围内的绿化、美化。</w:t>
      </w:r>
    </w:p>
    <w:p>
      <w:pPr>
        <w:ind w:left="701" w:leftChars="267" w:hanging="140" w:hangingChars="50"/>
        <w:rPr>
          <w:rFonts w:hint="eastAsia" w:ascii="仿宋_GB2312" w:hAnsi="宋体" w:eastAsia="仿宋_GB2312"/>
          <w:sz w:val="28"/>
          <w:szCs w:val="28"/>
          <w:lang w:eastAsia="zh-CN"/>
        </w:rPr>
      </w:pPr>
      <w:r>
        <w:rPr>
          <w:rFonts w:hint="eastAsia" w:ascii="仿宋_GB2312" w:hAnsi="宋体" w:eastAsia="仿宋_GB2312"/>
          <w:sz w:val="28"/>
          <w:szCs w:val="28"/>
          <w:lang w:val="en-US" w:eastAsia="zh-CN"/>
        </w:rPr>
        <w:t>2、</w:t>
      </w:r>
      <w:r>
        <w:rPr>
          <w:rFonts w:hint="eastAsia" w:ascii="仿宋_GB2312" w:hAnsi="宋体" w:eastAsia="仿宋_GB2312"/>
          <w:sz w:val="28"/>
          <w:szCs w:val="28"/>
          <w:lang w:eastAsia="zh-CN"/>
        </w:rPr>
        <w:t>质量要求：</w:t>
      </w:r>
    </w:p>
    <w:p>
      <w:pPr>
        <w:ind w:firstLine="560" w:firstLineChars="200"/>
        <w:rPr>
          <w:rFonts w:hint="eastAsia" w:ascii="仿宋_GB2312" w:hAnsi="宋体" w:eastAsia="仿宋_GB2312"/>
          <w:sz w:val="28"/>
          <w:szCs w:val="28"/>
          <w:lang w:eastAsia="zh-CN"/>
        </w:rPr>
      </w:pPr>
      <w:r>
        <w:rPr>
          <w:rFonts w:hint="eastAsia" w:ascii="仿宋_GB2312" w:hAnsi="宋体" w:eastAsia="仿宋_GB2312"/>
          <w:sz w:val="28"/>
          <w:szCs w:val="28"/>
          <w:lang w:eastAsia="zh-CN"/>
        </w:rPr>
        <w:t>必须满足附件中所列标的物技术参数和品牌等技术要求，商品提供必须为标的物合格产品；必须满足并达到项目业主单位的需求、质量、服务等相关要求。</w:t>
      </w:r>
    </w:p>
    <w:p>
      <w:pPr>
        <w:ind w:firstLine="560" w:firstLineChars="200"/>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3、控制价格：</w:t>
      </w:r>
    </w:p>
    <w:p>
      <w:pPr>
        <w:ind w:firstLine="560" w:firstLineChars="200"/>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报价人所投价格为最终目的价格即控制价格（含相关税费、运输费用、保险费、和后期维护的养护服务费等相关的所有费用）。</w:t>
      </w:r>
    </w:p>
    <w:p>
      <w:pPr>
        <w:ind w:firstLine="560" w:firstLineChars="200"/>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本次采购确定控制价（及单价）后，合同有效期内执行该价格，在有效期内出现价格浮动或其他方面的原因，双方各自承担相应的风险，在合同有效期内因供应商原因耽误日常维护、及绿化、美化效果，影响业主单位对外窗口形象的，根据情节严重程度按照公司相关规定对供应商进行相应的处罚。</w:t>
      </w:r>
    </w:p>
    <w:p>
      <w:pPr>
        <w:ind w:firstLine="560" w:firstLineChars="200"/>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4、付款条件：</w:t>
      </w:r>
    </w:p>
    <w:p>
      <w:pPr>
        <w:pStyle w:val="6"/>
        <w:spacing w:line="360" w:lineRule="auto"/>
        <w:ind w:firstLine="560" w:firstLineChars="200"/>
        <w:rPr>
          <w:rFonts w:hint="eastAsia" w:ascii="仿宋_GB2312" w:hAnsi="宋体" w:eastAsia="仿宋_GB2312"/>
          <w:color w:val="auto"/>
          <w:sz w:val="28"/>
          <w:szCs w:val="28"/>
          <w:lang w:val="en-US" w:eastAsia="zh-CN"/>
        </w:rPr>
      </w:pPr>
      <w:r>
        <w:rPr>
          <w:rFonts w:hint="eastAsia" w:ascii="仿宋_GB2312" w:hAnsi="宋体" w:eastAsia="仿宋_GB2312"/>
          <w:color w:val="auto"/>
          <w:sz w:val="28"/>
          <w:szCs w:val="28"/>
          <w:lang w:val="en-US" w:eastAsia="zh-CN"/>
        </w:rPr>
        <w:t>本次确定的控制价有效期自2018年5月25日至2019年5月25日止，在有效期内，根据供求双方实际需求量，按照合同约定控制（单）价进行核算、结算。具体结算方式，在合同签订时确立。</w:t>
      </w:r>
    </w:p>
    <w:p>
      <w:pPr>
        <w:spacing w:line="360" w:lineRule="auto"/>
        <w:ind w:firstLine="560" w:firstLineChars="200"/>
        <w:rPr>
          <w:rFonts w:ascii="仿宋_GB2312" w:hAnsi="宋体" w:eastAsia="仿宋_GB2312"/>
          <w:sz w:val="28"/>
          <w:szCs w:val="28"/>
        </w:rPr>
      </w:pPr>
      <w:r>
        <w:rPr>
          <w:rFonts w:ascii="仿宋_GB2312" w:hAnsi="宋体" w:eastAsia="仿宋_GB2312"/>
          <w:color w:val="auto"/>
          <w:sz w:val="28"/>
          <w:szCs w:val="28"/>
        </w:rPr>
        <w:t>备注：</w:t>
      </w:r>
      <w:r>
        <w:rPr>
          <w:rFonts w:hint="eastAsia" w:ascii="仿宋_GB2312" w:hAnsi="宋体" w:eastAsia="仿宋_GB2312"/>
          <w:color w:val="auto"/>
          <w:sz w:val="28"/>
          <w:szCs w:val="28"/>
          <w:lang w:eastAsia="zh-CN"/>
        </w:rPr>
        <w:t>由于业主对部分绿化、美化方面实际需求未尽事宜，本部分未能列出控制（单）价部分，服务方所提供的材料价格必须不得高于市场价格为基准，进行相关服务</w:t>
      </w:r>
      <w:r>
        <w:rPr>
          <w:rFonts w:ascii="仿宋_GB2312" w:hAnsi="宋体" w:eastAsia="仿宋_GB2312"/>
          <w:sz w:val="28"/>
          <w:szCs w:val="28"/>
        </w:rPr>
        <w:t>。</w:t>
      </w:r>
    </w:p>
    <w:p>
      <w:pPr>
        <w:ind w:firstLine="138" w:firstLineChars="49"/>
        <w:rPr>
          <w:rFonts w:ascii="仿宋_GB2312" w:hAnsi="宋体" w:eastAsia="仿宋_GB2312"/>
          <w:b/>
          <w:sz w:val="28"/>
          <w:szCs w:val="28"/>
        </w:rPr>
      </w:pPr>
      <w:r>
        <w:rPr>
          <w:rFonts w:ascii="仿宋_GB2312" w:hAnsi="宋体" w:eastAsia="仿宋_GB2312"/>
          <w:b/>
          <w:sz w:val="28"/>
          <w:szCs w:val="28"/>
        </w:rPr>
        <w:t>五、开标</w:t>
      </w:r>
    </w:p>
    <w:p>
      <w:pPr>
        <w:ind w:firstLine="560" w:firstLineChars="200"/>
        <w:rPr>
          <w:rFonts w:ascii="仿宋_GB2312" w:hAnsi="宋体" w:eastAsia="仿宋_GB2312"/>
          <w:sz w:val="28"/>
          <w:szCs w:val="28"/>
        </w:rPr>
      </w:pPr>
      <w:r>
        <w:rPr>
          <w:rFonts w:ascii="仿宋_GB2312" w:hAnsi="宋体" w:eastAsia="仿宋_GB2312"/>
          <w:sz w:val="28"/>
          <w:szCs w:val="28"/>
        </w:rPr>
        <w:t>1、开标会议由比价方确定时间、地点、方式。</w:t>
      </w:r>
    </w:p>
    <w:p>
      <w:pPr>
        <w:ind w:firstLine="560" w:firstLineChars="200"/>
        <w:rPr>
          <w:rFonts w:ascii="仿宋_GB2312" w:hAnsi="宋体" w:eastAsia="仿宋_GB2312"/>
          <w:sz w:val="28"/>
          <w:szCs w:val="28"/>
        </w:rPr>
      </w:pPr>
      <w:r>
        <w:rPr>
          <w:rFonts w:ascii="仿宋_GB2312" w:hAnsi="宋体" w:eastAsia="仿宋_GB2312"/>
          <w:sz w:val="28"/>
          <w:szCs w:val="28"/>
        </w:rPr>
        <w:t>2、投标文件有下列情况之一者将视为无效。</w:t>
      </w:r>
    </w:p>
    <w:p>
      <w:pPr>
        <w:ind w:firstLine="560" w:firstLineChars="200"/>
        <w:rPr>
          <w:rFonts w:ascii="仿宋_GB2312" w:hAnsi="宋体" w:eastAsia="仿宋_GB2312"/>
          <w:sz w:val="28"/>
          <w:szCs w:val="28"/>
        </w:rPr>
      </w:pPr>
      <w:r>
        <w:rPr>
          <w:rFonts w:ascii="仿宋_GB2312" w:hAnsi="宋体" w:eastAsia="仿宋_GB2312"/>
          <w:sz w:val="28"/>
          <w:szCs w:val="28"/>
        </w:rPr>
        <w:t>1)、投标文件未按规定标注、密封。</w:t>
      </w:r>
    </w:p>
    <w:p>
      <w:pPr>
        <w:ind w:firstLine="560" w:firstLineChars="200"/>
        <w:rPr>
          <w:rFonts w:ascii="仿宋_GB2312" w:hAnsi="宋体" w:eastAsia="仿宋_GB2312"/>
          <w:sz w:val="28"/>
          <w:szCs w:val="28"/>
        </w:rPr>
      </w:pPr>
      <w:r>
        <w:rPr>
          <w:rFonts w:ascii="仿宋_GB2312" w:hAnsi="宋体" w:eastAsia="仿宋_GB2312"/>
          <w:sz w:val="28"/>
          <w:szCs w:val="28"/>
        </w:rPr>
        <w:t>2)、未按规定的格式填写，内容不全或字迹模糊辨认不清。</w:t>
      </w:r>
    </w:p>
    <w:p>
      <w:pPr>
        <w:ind w:firstLine="560" w:firstLineChars="200"/>
        <w:rPr>
          <w:rFonts w:ascii="仿宋_GB2312" w:hAnsi="宋体" w:eastAsia="仿宋_GB2312"/>
          <w:sz w:val="28"/>
          <w:szCs w:val="28"/>
        </w:rPr>
      </w:pPr>
      <w:r>
        <w:rPr>
          <w:rFonts w:ascii="仿宋_GB2312" w:hAnsi="宋体" w:eastAsia="仿宋_GB2312"/>
          <w:sz w:val="28"/>
          <w:szCs w:val="28"/>
        </w:rPr>
        <w:t>3)、任何不完整或不满足比价要求的投标书。</w:t>
      </w:r>
    </w:p>
    <w:p>
      <w:pPr>
        <w:ind w:left="701" w:leftChars="267" w:hanging="140" w:hangingChars="50"/>
        <w:rPr>
          <w:rFonts w:ascii="仿宋_GB2312" w:hAnsi="宋体" w:eastAsia="仿宋_GB2312"/>
          <w:sz w:val="28"/>
          <w:szCs w:val="28"/>
        </w:rPr>
      </w:pPr>
      <w:r>
        <w:rPr>
          <w:rFonts w:ascii="仿宋_GB2312" w:hAnsi="宋体" w:eastAsia="仿宋_GB2312"/>
          <w:sz w:val="28"/>
          <w:szCs w:val="28"/>
        </w:rPr>
        <w:t>3、 开标时，比价方有权就比价文件中含混之处向投标方提出询</w:t>
      </w:r>
    </w:p>
    <w:p>
      <w:pPr>
        <w:rPr>
          <w:rFonts w:ascii="仿宋_GB2312" w:hAnsi="宋体" w:eastAsia="仿宋_GB2312"/>
          <w:sz w:val="28"/>
          <w:szCs w:val="28"/>
        </w:rPr>
      </w:pPr>
      <w:r>
        <w:rPr>
          <w:rFonts w:ascii="仿宋_GB2312" w:hAnsi="宋体" w:eastAsia="仿宋_GB2312"/>
          <w:sz w:val="28"/>
          <w:szCs w:val="28"/>
        </w:rPr>
        <w:t>问或澄清要求。</w:t>
      </w:r>
    </w:p>
    <w:p>
      <w:pPr>
        <w:ind w:firstLine="275" w:firstLineChars="98"/>
        <w:rPr>
          <w:rFonts w:ascii="仿宋_GB2312" w:eastAsia="仿宋_GB2312"/>
          <w:b/>
          <w:sz w:val="28"/>
          <w:szCs w:val="28"/>
        </w:rPr>
      </w:pPr>
      <w:r>
        <w:rPr>
          <w:rFonts w:ascii="仿宋_GB2312" w:eastAsia="仿宋_GB2312"/>
          <w:b/>
          <w:sz w:val="28"/>
          <w:szCs w:val="28"/>
        </w:rPr>
        <w:t>六、评</w:t>
      </w:r>
      <w:r>
        <w:rPr>
          <w:rFonts w:hint="eastAsia" w:ascii="仿宋_GB2312" w:eastAsia="仿宋_GB2312"/>
          <w:b/>
          <w:sz w:val="28"/>
          <w:szCs w:val="28"/>
          <w:lang w:eastAsia="zh-CN"/>
        </w:rPr>
        <w:t>选</w:t>
      </w:r>
      <w:r>
        <w:rPr>
          <w:rFonts w:ascii="仿宋_GB2312" w:eastAsia="仿宋_GB2312"/>
          <w:b/>
          <w:sz w:val="28"/>
          <w:szCs w:val="28"/>
        </w:rPr>
        <w:t>标准</w:t>
      </w:r>
    </w:p>
    <w:p>
      <w:pPr>
        <w:spacing w:line="360" w:lineRule="auto"/>
        <w:rPr>
          <w:rFonts w:ascii="仿宋_GB2312" w:hAnsi="宋体" w:eastAsia="仿宋_GB2312"/>
          <w:b/>
          <w:sz w:val="28"/>
          <w:szCs w:val="28"/>
        </w:rPr>
      </w:pPr>
      <w:r>
        <w:rPr>
          <w:rFonts w:ascii="仿宋_GB2312" w:hAnsi="宋体" w:eastAsia="仿宋_GB2312"/>
          <w:b/>
          <w:sz w:val="28"/>
          <w:szCs w:val="28"/>
        </w:rPr>
        <w:t xml:space="preserve">   一)、评</w:t>
      </w:r>
      <w:r>
        <w:rPr>
          <w:rFonts w:hint="eastAsia" w:ascii="仿宋_GB2312" w:hAnsi="宋体" w:eastAsia="仿宋_GB2312"/>
          <w:b/>
          <w:sz w:val="28"/>
          <w:szCs w:val="28"/>
          <w:lang w:eastAsia="zh-CN"/>
        </w:rPr>
        <w:t>选</w:t>
      </w:r>
      <w:r>
        <w:rPr>
          <w:rFonts w:ascii="仿宋_GB2312" w:hAnsi="宋体" w:eastAsia="仿宋_GB2312"/>
          <w:b/>
          <w:sz w:val="28"/>
          <w:szCs w:val="28"/>
        </w:rPr>
        <w:t>办法</w:t>
      </w:r>
    </w:p>
    <w:p>
      <w:pPr>
        <w:rPr>
          <w:rFonts w:ascii="仿宋" w:hAnsi="仿宋" w:eastAsia="仿宋"/>
          <w:sz w:val="30"/>
        </w:rPr>
      </w:pPr>
      <w:r>
        <w:rPr>
          <w:rFonts w:ascii="仿宋" w:hAnsi="仿宋" w:eastAsia="仿宋"/>
          <w:sz w:val="30"/>
        </w:rPr>
        <w:t xml:space="preserve">     </w:t>
      </w:r>
      <w:r>
        <w:rPr>
          <w:rFonts w:ascii="仿宋" w:hAnsi="仿宋" w:eastAsia="仿宋"/>
          <w:color w:val="auto"/>
          <w:sz w:val="30"/>
        </w:rPr>
        <w:t>采用</w:t>
      </w:r>
      <w:r>
        <w:rPr>
          <w:rFonts w:hint="eastAsia" w:ascii="仿宋" w:hAnsi="仿宋" w:eastAsia="仿宋"/>
          <w:color w:val="auto"/>
          <w:sz w:val="30"/>
          <w:lang w:eastAsia="zh-CN"/>
        </w:rPr>
        <w:t>满足项目需求，质量和服务相等控制（单价）总价（含税）低者优先，控制价格相等的质量或服务好者优先评选原则，选中中选者；报价超过控制价的比价文件无效。</w:t>
      </w:r>
    </w:p>
    <w:p>
      <w:pPr>
        <w:spacing w:line="360" w:lineRule="auto"/>
        <w:ind w:firstLine="413" w:firstLineChars="147"/>
        <w:rPr>
          <w:rFonts w:ascii="仿宋_GB2312" w:hAnsi="宋体" w:eastAsia="仿宋_GB2312"/>
          <w:b/>
          <w:sz w:val="28"/>
          <w:szCs w:val="28"/>
        </w:rPr>
      </w:pPr>
      <w:r>
        <w:rPr>
          <w:rFonts w:ascii="仿宋_GB2312" w:hAnsi="宋体" w:eastAsia="仿宋_GB2312"/>
          <w:b/>
          <w:sz w:val="28"/>
          <w:szCs w:val="28"/>
        </w:rPr>
        <w:t>二）、评标程序</w:t>
      </w:r>
    </w:p>
    <w:p>
      <w:pPr>
        <w:spacing w:line="360" w:lineRule="auto"/>
        <w:ind w:firstLine="560" w:firstLineChars="200"/>
        <w:rPr>
          <w:rFonts w:hint="default" w:ascii="仿宋_GB2312" w:hAnsi="宋体" w:eastAsia="仿宋_GB2312"/>
          <w:sz w:val="28"/>
          <w:szCs w:val="28"/>
        </w:rPr>
      </w:pPr>
      <w:r>
        <w:rPr>
          <w:rFonts w:ascii="仿宋_GB2312" w:hAnsi="宋体" w:eastAsia="仿宋_GB2312"/>
          <w:sz w:val="28"/>
          <w:szCs w:val="28"/>
        </w:rPr>
        <w:t>1、首先评标专家对投标文件的符合性、完整性和有效性进行评审，不合格的按废标处理。</w:t>
      </w:r>
    </w:p>
    <w:p>
      <w:pPr>
        <w:spacing w:line="360" w:lineRule="auto"/>
        <w:ind w:firstLine="560" w:firstLineChars="200"/>
        <w:rPr>
          <w:rFonts w:ascii="仿宋_GB2312" w:hAnsi="宋体" w:eastAsia="仿宋_GB2312"/>
          <w:sz w:val="28"/>
          <w:szCs w:val="28"/>
        </w:rPr>
      </w:pPr>
      <w:r>
        <w:rPr>
          <w:rFonts w:ascii="仿宋_GB2312" w:hAnsi="宋体" w:eastAsia="仿宋_GB2312"/>
          <w:sz w:val="28"/>
          <w:szCs w:val="28"/>
        </w:rPr>
        <w:t>2、对投标人的投标报价进行汇总，按照</w:t>
      </w:r>
      <w:r>
        <w:rPr>
          <w:rFonts w:hint="eastAsia" w:ascii="仿宋_GB2312" w:hAnsi="宋体" w:eastAsia="仿宋_GB2312"/>
          <w:b/>
          <w:bCs/>
          <w:sz w:val="28"/>
          <w:szCs w:val="28"/>
          <w:lang w:eastAsia="zh-CN"/>
        </w:rPr>
        <w:t>不得</w:t>
      </w:r>
      <w:r>
        <w:rPr>
          <w:rFonts w:hint="eastAsia" w:ascii="仿宋_GB2312" w:hAnsi="宋体" w:eastAsia="仿宋_GB2312"/>
          <w:b/>
          <w:bCs/>
          <w:sz w:val="28"/>
          <w:szCs w:val="28"/>
        </w:rPr>
        <w:t>超过控制</w:t>
      </w:r>
      <w:r>
        <w:rPr>
          <w:rFonts w:hint="eastAsia" w:ascii="仿宋_GB2312" w:hAnsi="宋体" w:eastAsia="仿宋_GB2312"/>
          <w:b/>
          <w:bCs/>
          <w:sz w:val="28"/>
          <w:szCs w:val="28"/>
          <w:lang w:eastAsia="zh-CN"/>
        </w:rPr>
        <w:t>总价</w:t>
      </w:r>
      <w:r>
        <w:rPr>
          <w:rFonts w:ascii="仿宋_GB2312" w:hAnsi="宋体" w:eastAsia="仿宋_GB2312"/>
          <w:sz w:val="28"/>
          <w:szCs w:val="28"/>
        </w:rPr>
        <w:t>报价最低者排名第一，</w:t>
      </w:r>
      <w:r>
        <w:rPr>
          <w:rFonts w:hint="eastAsia" w:ascii="仿宋" w:hAnsi="仿宋" w:eastAsia="仿宋"/>
          <w:color w:val="auto"/>
          <w:sz w:val="30"/>
        </w:rPr>
        <w:t xml:space="preserve"> 采用满足项目需求，质量和服务相等控制（单价）总价（含税）低者优先，控制价格相等的质量或服务好者优先评选原则</w:t>
      </w:r>
      <w:r>
        <w:rPr>
          <w:rFonts w:hint="eastAsia" w:ascii="仿宋" w:hAnsi="仿宋" w:eastAsia="仿宋"/>
          <w:color w:val="auto"/>
          <w:sz w:val="30"/>
          <w:lang w:eastAsia="zh-CN"/>
        </w:rPr>
        <w:t>，选中中选</w:t>
      </w:r>
      <w:r>
        <w:rPr>
          <w:rFonts w:ascii="仿宋_GB2312" w:hAnsi="宋体" w:eastAsia="仿宋_GB2312"/>
          <w:sz w:val="28"/>
          <w:szCs w:val="28"/>
        </w:rPr>
        <w:t>人。</w:t>
      </w:r>
    </w:p>
    <w:p>
      <w:pPr>
        <w:autoSpaceDE w:val="0"/>
        <w:autoSpaceDN w:val="0"/>
        <w:adjustRightInd w:val="0"/>
        <w:snapToGrid w:val="0"/>
        <w:spacing w:line="360" w:lineRule="auto"/>
        <w:ind w:firstLine="138" w:firstLineChars="49"/>
        <w:jc w:val="left"/>
        <w:rPr>
          <w:rFonts w:ascii="仿宋_GB2312" w:hAnsi="宋体" w:eastAsia="仿宋_GB2312"/>
          <w:b/>
          <w:bCs/>
          <w:sz w:val="28"/>
          <w:szCs w:val="28"/>
        </w:rPr>
      </w:pPr>
      <w:r>
        <w:rPr>
          <w:rFonts w:ascii="仿宋_GB2312" w:hAnsi="宋体" w:eastAsia="仿宋_GB2312"/>
          <w:b/>
          <w:sz w:val="28"/>
          <w:szCs w:val="28"/>
        </w:rPr>
        <w:t>七、</w:t>
      </w:r>
      <w:r>
        <w:rPr>
          <w:rFonts w:ascii="仿宋_GB2312" w:hAnsi="宋体" w:eastAsia="仿宋_GB2312"/>
          <w:b/>
          <w:bCs/>
          <w:sz w:val="28"/>
          <w:szCs w:val="28"/>
        </w:rPr>
        <w:t>质量标准：</w:t>
      </w:r>
      <w:r>
        <w:rPr>
          <w:rFonts w:hint="eastAsia" w:ascii="仿宋_GB2312" w:hAnsi="宋体" w:eastAsia="仿宋_GB2312"/>
          <w:bCs/>
          <w:sz w:val="28"/>
          <w:szCs w:val="28"/>
          <w:lang w:eastAsia="zh-CN"/>
        </w:rPr>
        <w:t>服务</w:t>
      </w:r>
      <w:r>
        <w:rPr>
          <w:rFonts w:ascii="仿宋_GB2312" w:hAnsi="宋体" w:eastAsia="仿宋_GB2312"/>
          <w:bCs/>
          <w:sz w:val="28"/>
          <w:szCs w:val="28"/>
        </w:rPr>
        <w:t>质量标准：</w:t>
      </w:r>
      <w:r>
        <w:rPr>
          <w:rFonts w:ascii="仿宋_GB2312" w:hAnsi="宋体" w:eastAsia="仿宋_GB2312"/>
          <w:bCs/>
          <w:sz w:val="28"/>
          <w:szCs w:val="28"/>
          <w:u w:val="single"/>
        </w:rPr>
        <w:t xml:space="preserve"> </w:t>
      </w:r>
      <w:r>
        <w:rPr>
          <w:rFonts w:hint="eastAsia" w:ascii="仿宋_GB2312" w:hAnsi="宋体" w:eastAsia="仿宋_GB2312"/>
          <w:bCs/>
          <w:sz w:val="28"/>
          <w:szCs w:val="28"/>
          <w:u w:val="single"/>
          <w:lang w:eastAsia="zh-CN"/>
        </w:rPr>
        <w:t>满足业主项目需求、质量和服务要求的即为合格</w:t>
      </w:r>
      <w:r>
        <w:rPr>
          <w:rFonts w:ascii="仿宋_GB2312" w:hAnsi="宋体" w:eastAsia="仿宋_GB2312"/>
          <w:bCs/>
          <w:sz w:val="28"/>
          <w:szCs w:val="28"/>
          <w:u w:val="single"/>
        </w:rPr>
        <w:t xml:space="preserve">  </w:t>
      </w:r>
      <w:r>
        <w:rPr>
          <w:rFonts w:ascii="仿宋_GB2312" w:hAnsi="宋体" w:eastAsia="仿宋_GB2312"/>
          <w:bCs/>
          <w:sz w:val="28"/>
          <w:szCs w:val="28"/>
        </w:rPr>
        <w:t>。</w:t>
      </w:r>
    </w:p>
    <w:p>
      <w:pPr>
        <w:adjustRightInd w:val="0"/>
        <w:snapToGrid w:val="0"/>
        <w:spacing w:line="360" w:lineRule="auto"/>
        <w:ind w:firstLine="138" w:firstLineChars="49"/>
        <w:jc w:val="left"/>
        <w:rPr>
          <w:rFonts w:ascii="仿宋_GB2312" w:eastAsia="仿宋_GB2312"/>
          <w:b/>
          <w:sz w:val="28"/>
          <w:szCs w:val="28"/>
        </w:rPr>
      </w:pPr>
      <w:r>
        <w:rPr>
          <w:rFonts w:ascii="仿宋_GB2312" w:eastAsia="仿宋_GB2312"/>
          <w:b/>
          <w:sz w:val="28"/>
          <w:szCs w:val="28"/>
        </w:rPr>
        <w:t>八、合同价款与支付</w:t>
      </w:r>
    </w:p>
    <w:p>
      <w:pPr>
        <w:adjustRightInd w:val="0"/>
        <w:snapToGrid w:val="0"/>
        <w:spacing w:line="360" w:lineRule="auto"/>
        <w:ind w:firstLine="560" w:firstLineChars="200"/>
        <w:jc w:val="left"/>
        <w:rPr>
          <w:rFonts w:ascii="仿宋_GB2312" w:eastAsia="仿宋_GB2312"/>
          <w:sz w:val="28"/>
          <w:szCs w:val="28"/>
        </w:rPr>
      </w:pPr>
      <w:r>
        <w:rPr>
          <w:rFonts w:ascii="仿宋_GB2312" w:eastAsia="仿宋_GB2312"/>
          <w:sz w:val="28"/>
          <w:szCs w:val="28"/>
        </w:rPr>
        <w:t>1、合同价款</w:t>
      </w:r>
    </w:p>
    <w:p>
      <w:pPr>
        <w:adjustRightInd w:val="0"/>
        <w:snapToGrid w:val="0"/>
        <w:spacing w:line="360" w:lineRule="auto"/>
        <w:ind w:firstLine="560" w:firstLineChars="200"/>
        <w:jc w:val="left"/>
        <w:rPr>
          <w:rFonts w:ascii="仿宋_GB2312" w:eastAsia="仿宋_GB2312"/>
          <w:sz w:val="28"/>
          <w:szCs w:val="28"/>
        </w:rPr>
      </w:pPr>
      <w:r>
        <w:rPr>
          <w:rFonts w:ascii="仿宋_GB2312" w:eastAsia="仿宋_GB2312"/>
          <w:sz w:val="28"/>
          <w:szCs w:val="28"/>
        </w:rPr>
        <w:t>1）本合同价款采用固定</w:t>
      </w:r>
      <w:r>
        <w:rPr>
          <w:rFonts w:hint="eastAsia" w:ascii="仿宋_GB2312" w:eastAsia="仿宋_GB2312"/>
          <w:sz w:val="28"/>
          <w:szCs w:val="28"/>
          <w:lang w:eastAsia="zh-CN"/>
        </w:rPr>
        <w:t>单价（即合同控制单价），预估暂定控制总价为</w:t>
      </w:r>
      <w:r>
        <w:rPr>
          <w:rFonts w:hint="eastAsia" w:ascii="仿宋_GB2312" w:eastAsia="仿宋_GB2312"/>
          <w:b/>
          <w:bCs/>
          <w:sz w:val="28"/>
          <w:szCs w:val="28"/>
          <w:u w:val="single"/>
          <w:lang w:val="en-US" w:eastAsia="zh-CN"/>
        </w:rPr>
        <w:t>中选者最终报价确定</w:t>
      </w:r>
      <w:r>
        <w:rPr>
          <w:rFonts w:hint="eastAsia" w:ascii="仿宋_GB2312" w:eastAsia="仿宋_GB2312"/>
          <w:sz w:val="28"/>
          <w:szCs w:val="28"/>
          <w:lang w:eastAsia="zh-CN"/>
        </w:rPr>
        <w:t>，结算按双方实际</w:t>
      </w:r>
      <w:r>
        <w:rPr>
          <w:rFonts w:hint="eastAsia" w:ascii="仿宋_GB2312" w:hAnsi="宋体" w:eastAsia="仿宋_GB2312"/>
          <w:color w:val="auto"/>
          <w:sz w:val="28"/>
          <w:szCs w:val="28"/>
          <w:lang w:val="en-US" w:eastAsia="zh-CN"/>
        </w:rPr>
        <w:t>需求量，按照合同约定控制（单）价进行核算、结算，但不高于最终合同总价</w:t>
      </w:r>
      <w:r>
        <w:rPr>
          <w:rFonts w:ascii="仿宋_GB2312" w:eastAsia="仿宋_GB2312"/>
          <w:sz w:val="28"/>
          <w:szCs w:val="28"/>
        </w:rPr>
        <w:t>。</w:t>
      </w:r>
    </w:p>
    <w:p>
      <w:pPr>
        <w:adjustRightInd w:val="0"/>
        <w:snapToGrid w:val="0"/>
        <w:spacing w:line="360" w:lineRule="auto"/>
        <w:ind w:firstLine="560" w:firstLineChars="200"/>
        <w:jc w:val="left"/>
        <w:rPr>
          <w:rFonts w:ascii="仿宋_GB2312" w:eastAsia="仿宋_GB2312"/>
          <w:sz w:val="28"/>
          <w:szCs w:val="28"/>
        </w:rPr>
      </w:pPr>
      <w:r>
        <w:rPr>
          <w:rFonts w:ascii="仿宋_GB2312" w:eastAsia="仿宋_GB2312"/>
          <w:sz w:val="28"/>
          <w:szCs w:val="28"/>
        </w:rPr>
        <w:t>2）双方约定合同价款的其他调整因素：</w:t>
      </w:r>
      <w:r>
        <w:rPr>
          <w:rFonts w:ascii="仿宋_GB2312" w:eastAsia="仿宋_GB2312"/>
          <w:sz w:val="28"/>
          <w:szCs w:val="28"/>
          <w:u w:val="single"/>
        </w:rPr>
        <w:t>无</w:t>
      </w:r>
    </w:p>
    <w:p>
      <w:pPr>
        <w:adjustRightInd w:val="0"/>
        <w:snapToGrid w:val="0"/>
        <w:spacing w:line="360" w:lineRule="auto"/>
        <w:ind w:firstLine="560" w:firstLineChars="200"/>
        <w:jc w:val="left"/>
        <w:rPr>
          <w:rFonts w:ascii="仿宋_GB2312" w:eastAsia="仿宋_GB2312"/>
          <w:sz w:val="28"/>
          <w:szCs w:val="28"/>
        </w:rPr>
      </w:pPr>
      <w:r>
        <w:rPr>
          <w:rFonts w:ascii="仿宋_GB2312" w:eastAsia="仿宋_GB2312"/>
          <w:sz w:val="28"/>
          <w:szCs w:val="28"/>
        </w:rPr>
        <w:t>2、</w:t>
      </w:r>
      <w:r>
        <w:rPr>
          <w:rFonts w:hint="eastAsia" w:ascii="仿宋_GB2312" w:eastAsia="仿宋_GB2312"/>
          <w:sz w:val="28"/>
          <w:szCs w:val="28"/>
          <w:lang w:eastAsia="zh-CN"/>
        </w:rPr>
        <w:t>采购项目</w:t>
      </w:r>
      <w:r>
        <w:rPr>
          <w:rFonts w:ascii="仿宋_GB2312" w:eastAsia="仿宋_GB2312"/>
          <w:sz w:val="28"/>
          <w:szCs w:val="28"/>
        </w:rPr>
        <w:t>预付款</w:t>
      </w:r>
    </w:p>
    <w:p>
      <w:pPr>
        <w:adjustRightInd w:val="0"/>
        <w:snapToGrid w:val="0"/>
        <w:spacing w:line="360" w:lineRule="auto"/>
        <w:ind w:firstLine="560" w:firstLineChars="200"/>
        <w:jc w:val="left"/>
        <w:rPr>
          <w:rFonts w:ascii="仿宋_GB2312" w:eastAsia="仿宋_GB2312"/>
          <w:sz w:val="28"/>
          <w:szCs w:val="28"/>
        </w:rPr>
      </w:pPr>
      <w:r>
        <w:rPr>
          <w:rFonts w:ascii="仿宋_GB2312" w:eastAsia="仿宋_GB2312"/>
          <w:sz w:val="28"/>
          <w:szCs w:val="28"/>
        </w:rPr>
        <w:t>甲方向乙方预付</w:t>
      </w:r>
      <w:r>
        <w:rPr>
          <w:rFonts w:hint="eastAsia" w:ascii="仿宋_GB2312" w:eastAsia="仿宋_GB2312"/>
          <w:sz w:val="28"/>
          <w:szCs w:val="28"/>
          <w:lang w:eastAsia="zh-CN"/>
        </w:rPr>
        <w:t>采购项目款</w:t>
      </w:r>
      <w:r>
        <w:rPr>
          <w:rFonts w:ascii="仿宋_GB2312" w:eastAsia="仿宋_GB2312"/>
          <w:sz w:val="28"/>
          <w:szCs w:val="28"/>
        </w:rPr>
        <w:t>的时间和比例：</w:t>
      </w:r>
      <w:r>
        <w:rPr>
          <w:rFonts w:ascii="仿宋_GB2312" w:eastAsia="仿宋_GB2312"/>
          <w:b/>
          <w:bCs/>
          <w:sz w:val="28"/>
          <w:szCs w:val="28"/>
          <w:u w:val="single"/>
        </w:rPr>
        <w:t>本</w:t>
      </w:r>
      <w:r>
        <w:rPr>
          <w:rFonts w:hint="eastAsia" w:ascii="仿宋_GB2312" w:eastAsia="仿宋_GB2312"/>
          <w:b/>
          <w:bCs/>
          <w:sz w:val="28"/>
          <w:szCs w:val="28"/>
          <w:u w:val="single"/>
          <w:lang w:eastAsia="zh-CN"/>
        </w:rPr>
        <w:t>项目</w:t>
      </w:r>
      <w:r>
        <w:rPr>
          <w:rFonts w:ascii="仿宋_GB2312" w:eastAsia="仿宋_GB2312"/>
          <w:b/>
          <w:bCs/>
          <w:sz w:val="28"/>
          <w:szCs w:val="28"/>
          <w:u w:val="single"/>
        </w:rPr>
        <w:t>无预付款</w:t>
      </w:r>
      <w:r>
        <w:rPr>
          <w:rFonts w:ascii="仿宋_GB2312" w:eastAsia="仿宋_GB2312"/>
          <w:sz w:val="28"/>
          <w:szCs w:val="28"/>
        </w:rPr>
        <w:t>。</w:t>
      </w:r>
    </w:p>
    <w:p>
      <w:pPr>
        <w:adjustRightInd w:val="0"/>
        <w:snapToGrid w:val="0"/>
        <w:spacing w:line="360" w:lineRule="auto"/>
        <w:ind w:firstLine="560" w:firstLineChars="200"/>
        <w:jc w:val="left"/>
        <w:rPr>
          <w:rFonts w:ascii="仿宋_GB2312" w:eastAsia="仿宋_GB2312"/>
          <w:sz w:val="28"/>
          <w:szCs w:val="28"/>
        </w:rPr>
      </w:pPr>
      <w:r>
        <w:rPr>
          <w:rFonts w:ascii="仿宋_GB2312" w:eastAsia="仿宋_GB2312"/>
          <w:sz w:val="28"/>
          <w:szCs w:val="28"/>
        </w:rPr>
        <w:t>3、</w:t>
      </w:r>
      <w:r>
        <w:rPr>
          <w:rFonts w:hint="eastAsia" w:ascii="仿宋_GB2312" w:eastAsia="仿宋_GB2312"/>
          <w:sz w:val="28"/>
          <w:szCs w:val="28"/>
          <w:lang w:eastAsia="zh-CN"/>
        </w:rPr>
        <w:t>采购项目款</w:t>
      </w:r>
      <w:r>
        <w:rPr>
          <w:rFonts w:ascii="仿宋_GB2312" w:eastAsia="仿宋_GB2312"/>
          <w:sz w:val="28"/>
          <w:szCs w:val="28"/>
        </w:rPr>
        <w:t>支付</w:t>
      </w:r>
    </w:p>
    <w:p>
      <w:pPr>
        <w:adjustRightInd w:val="0"/>
        <w:snapToGrid w:val="0"/>
        <w:spacing w:line="360" w:lineRule="auto"/>
        <w:ind w:firstLine="560" w:firstLineChars="200"/>
        <w:jc w:val="left"/>
        <w:rPr>
          <w:rFonts w:hint="eastAsia" w:ascii="仿宋_GB2312" w:hAnsi="宋体" w:eastAsia="仿宋_GB2312"/>
          <w:color w:val="auto"/>
          <w:sz w:val="28"/>
          <w:szCs w:val="28"/>
          <w:lang w:val="en-US" w:eastAsia="zh-CN"/>
        </w:rPr>
      </w:pPr>
      <w:r>
        <w:rPr>
          <w:rFonts w:ascii="仿宋_GB2312" w:eastAsia="仿宋_GB2312"/>
          <w:sz w:val="28"/>
          <w:szCs w:val="28"/>
        </w:rPr>
        <w:t>双方约定的</w:t>
      </w:r>
      <w:r>
        <w:rPr>
          <w:rFonts w:hint="eastAsia" w:ascii="仿宋_GB2312" w:eastAsia="仿宋_GB2312"/>
          <w:sz w:val="28"/>
          <w:szCs w:val="28"/>
          <w:lang w:eastAsia="zh-CN"/>
        </w:rPr>
        <w:t>采购项目款</w:t>
      </w:r>
      <w:r>
        <w:rPr>
          <w:rFonts w:ascii="仿宋_GB2312" w:eastAsia="仿宋_GB2312"/>
          <w:sz w:val="28"/>
          <w:szCs w:val="28"/>
        </w:rPr>
        <w:t>支付的方式和时间：</w:t>
      </w:r>
      <w:r>
        <w:rPr>
          <w:rFonts w:hint="eastAsia" w:ascii="仿宋_GB2312" w:hAnsi="宋体" w:eastAsia="仿宋_GB2312"/>
          <w:color w:val="auto"/>
          <w:sz w:val="28"/>
          <w:szCs w:val="28"/>
          <w:lang w:val="en-US" w:eastAsia="zh-CN"/>
        </w:rPr>
        <w:t>本次确定的控制（单）价有效期自2018年5月25日至2019年5月25日止，在有效期内，根据供求双方实际需求量，按照合同约定控制（单）价进行核算、结算。具体结算方式，在合同签订时确立。</w:t>
      </w:r>
    </w:p>
    <w:p>
      <w:pPr>
        <w:adjustRightInd w:val="0"/>
        <w:snapToGrid w:val="0"/>
        <w:spacing w:line="360" w:lineRule="auto"/>
        <w:ind w:firstLine="560" w:firstLineChars="200"/>
        <w:jc w:val="left"/>
        <w:rPr>
          <w:rFonts w:hint="eastAsia" w:ascii="仿宋_GB2312" w:hAnsi="宋体" w:eastAsia="仿宋_GB2312"/>
          <w:color w:val="auto"/>
          <w:sz w:val="28"/>
          <w:szCs w:val="28"/>
          <w:lang w:val="en-US" w:eastAsia="zh-CN"/>
        </w:rPr>
      </w:pPr>
    </w:p>
    <w:p>
      <w:pPr>
        <w:adjustRightInd w:val="0"/>
        <w:snapToGrid w:val="0"/>
        <w:spacing w:line="360" w:lineRule="auto"/>
        <w:ind w:firstLine="560" w:firstLineChars="200"/>
        <w:jc w:val="left"/>
        <w:rPr>
          <w:rFonts w:hint="eastAsia" w:ascii="仿宋_GB2312" w:hAnsi="宋体" w:eastAsia="仿宋_GB2312"/>
          <w:color w:val="auto"/>
          <w:sz w:val="28"/>
          <w:szCs w:val="28"/>
          <w:lang w:val="en-US" w:eastAsia="zh-CN"/>
        </w:rPr>
      </w:pPr>
    </w:p>
    <w:p>
      <w:pPr>
        <w:adjustRightInd w:val="0"/>
        <w:snapToGrid w:val="0"/>
        <w:spacing w:line="360" w:lineRule="auto"/>
        <w:ind w:firstLine="560" w:firstLineChars="200"/>
        <w:jc w:val="left"/>
        <w:rPr>
          <w:rFonts w:hint="eastAsia" w:ascii="仿宋_GB2312" w:hAnsi="宋体" w:eastAsia="仿宋_GB2312"/>
          <w:color w:val="auto"/>
          <w:sz w:val="28"/>
          <w:szCs w:val="28"/>
          <w:lang w:val="en-US" w:eastAsia="zh-CN"/>
        </w:rPr>
      </w:pPr>
    </w:p>
    <w:p>
      <w:pPr>
        <w:adjustRightInd w:val="0"/>
        <w:snapToGrid w:val="0"/>
        <w:spacing w:line="360" w:lineRule="auto"/>
        <w:ind w:firstLine="560" w:firstLineChars="200"/>
        <w:jc w:val="left"/>
        <w:rPr>
          <w:rFonts w:hint="eastAsia" w:ascii="仿宋_GB2312" w:hAnsi="宋体" w:eastAsia="仿宋_GB2312"/>
          <w:color w:val="auto"/>
          <w:sz w:val="28"/>
          <w:szCs w:val="28"/>
          <w:lang w:val="en-US" w:eastAsia="zh-CN"/>
        </w:rPr>
      </w:pPr>
    </w:p>
    <w:p>
      <w:pPr>
        <w:adjustRightInd w:val="0"/>
        <w:snapToGrid w:val="0"/>
        <w:spacing w:line="360" w:lineRule="auto"/>
        <w:ind w:firstLine="560" w:firstLineChars="200"/>
        <w:jc w:val="left"/>
        <w:rPr>
          <w:rFonts w:hint="eastAsia" w:ascii="仿宋_GB2312" w:hAnsi="宋体" w:eastAsia="仿宋_GB2312"/>
          <w:color w:val="auto"/>
          <w:sz w:val="28"/>
          <w:szCs w:val="28"/>
          <w:lang w:val="en-US" w:eastAsia="zh-CN"/>
        </w:rPr>
      </w:pPr>
    </w:p>
    <w:p>
      <w:pPr>
        <w:adjustRightInd w:val="0"/>
        <w:snapToGrid w:val="0"/>
        <w:spacing w:line="360" w:lineRule="auto"/>
        <w:ind w:firstLine="560" w:firstLineChars="200"/>
        <w:jc w:val="left"/>
        <w:rPr>
          <w:rFonts w:hint="eastAsia" w:ascii="仿宋_GB2312" w:hAnsi="宋体" w:eastAsia="仿宋_GB2312"/>
          <w:color w:val="auto"/>
          <w:sz w:val="28"/>
          <w:szCs w:val="28"/>
          <w:lang w:val="en-US" w:eastAsia="zh-CN"/>
        </w:rPr>
      </w:pPr>
    </w:p>
    <w:p>
      <w:pPr>
        <w:adjustRightInd w:val="0"/>
        <w:snapToGrid w:val="0"/>
        <w:spacing w:line="360" w:lineRule="auto"/>
        <w:ind w:firstLine="560" w:firstLineChars="200"/>
        <w:jc w:val="left"/>
        <w:rPr>
          <w:rFonts w:hint="eastAsia" w:ascii="仿宋_GB2312" w:hAnsi="宋体" w:eastAsia="仿宋_GB2312"/>
          <w:color w:val="auto"/>
          <w:sz w:val="28"/>
          <w:szCs w:val="28"/>
          <w:lang w:val="en-US" w:eastAsia="zh-CN"/>
        </w:rPr>
      </w:pPr>
    </w:p>
    <w:p>
      <w:pPr>
        <w:adjustRightInd w:val="0"/>
        <w:snapToGrid w:val="0"/>
        <w:spacing w:line="360" w:lineRule="auto"/>
        <w:ind w:firstLine="560" w:firstLineChars="200"/>
        <w:jc w:val="left"/>
        <w:rPr>
          <w:rFonts w:hint="eastAsia" w:ascii="仿宋_GB2312" w:hAnsi="宋体" w:eastAsia="仿宋_GB2312"/>
          <w:color w:val="auto"/>
          <w:sz w:val="28"/>
          <w:szCs w:val="28"/>
          <w:lang w:val="en-US" w:eastAsia="zh-CN"/>
        </w:rPr>
      </w:pPr>
    </w:p>
    <w:p>
      <w:pPr>
        <w:adjustRightInd w:val="0"/>
        <w:snapToGrid w:val="0"/>
        <w:spacing w:line="360" w:lineRule="auto"/>
        <w:ind w:firstLine="560" w:firstLineChars="200"/>
        <w:jc w:val="left"/>
        <w:rPr>
          <w:rFonts w:hint="eastAsia" w:ascii="仿宋_GB2312" w:hAnsi="宋体" w:eastAsia="仿宋_GB2312"/>
          <w:color w:val="auto"/>
          <w:sz w:val="28"/>
          <w:szCs w:val="28"/>
          <w:lang w:val="en-US" w:eastAsia="zh-CN"/>
        </w:rPr>
      </w:pPr>
    </w:p>
    <w:p>
      <w:pPr>
        <w:adjustRightInd w:val="0"/>
        <w:snapToGrid w:val="0"/>
        <w:spacing w:line="360" w:lineRule="auto"/>
        <w:ind w:firstLine="560" w:firstLineChars="200"/>
        <w:jc w:val="left"/>
        <w:rPr>
          <w:rFonts w:hint="eastAsia" w:ascii="仿宋_GB2312" w:hAnsi="宋体" w:eastAsia="仿宋_GB2312"/>
          <w:color w:val="auto"/>
          <w:sz w:val="28"/>
          <w:szCs w:val="28"/>
          <w:lang w:val="en-US" w:eastAsia="zh-CN"/>
        </w:rPr>
      </w:pPr>
    </w:p>
    <w:p>
      <w:pPr>
        <w:adjustRightInd w:val="0"/>
        <w:snapToGrid w:val="0"/>
        <w:spacing w:line="360" w:lineRule="auto"/>
        <w:ind w:firstLine="560" w:firstLineChars="200"/>
        <w:jc w:val="left"/>
        <w:rPr>
          <w:rFonts w:hint="eastAsia" w:ascii="仿宋_GB2312" w:hAnsi="宋体" w:eastAsia="仿宋_GB2312"/>
          <w:color w:val="auto"/>
          <w:sz w:val="28"/>
          <w:szCs w:val="28"/>
          <w:lang w:val="en-US" w:eastAsia="zh-CN"/>
        </w:rPr>
      </w:pPr>
    </w:p>
    <w:p>
      <w:pPr>
        <w:adjustRightInd w:val="0"/>
        <w:snapToGrid w:val="0"/>
        <w:spacing w:line="360" w:lineRule="auto"/>
        <w:ind w:firstLine="560" w:firstLineChars="200"/>
        <w:jc w:val="left"/>
        <w:rPr>
          <w:rFonts w:hint="eastAsia" w:ascii="仿宋_GB2312" w:hAnsi="宋体" w:eastAsia="仿宋_GB2312"/>
          <w:color w:val="auto"/>
          <w:sz w:val="28"/>
          <w:szCs w:val="28"/>
          <w:lang w:val="en-US" w:eastAsia="zh-CN"/>
        </w:rPr>
      </w:pPr>
    </w:p>
    <w:p>
      <w:pPr>
        <w:jc w:val="left"/>
        <w:rPr>
          <w:rFonts w:hint="eastAsia" w:ascii="仿宋_GB2312" w:hAnsi="宋体" w:eastAsia="仿宋_GB2312"/>
          <w:b/>
          <w:bCs/>
          <w:color w:val="auto"/>
          <w:sz w:val="28"/>
          <w:szCs w:val="28"/>
          <w:lang w:val="en-US" w:eastAsia="zh-CN"/>
        </w:rPr>
      </w:pPr>
    </w:p>
    <w:p>
      <w:pPr>
        <w:jc w:val="left"/>
        <w:rPr>
          <w:rFonts w:hint="eastAsia" w:eastAsiaTheme="minorEastAsia"/>
          <w:b/>
          <w:bCs/>
          <w:lang w:eastAsia="zh-CN"/>
        </w:rPr>
      </w:pPr>
      <w:r>
        <w:rPr>
          <w:rFonts w:hint="eastAsia" w:ascii="仿宋" w:hAnsi="仿宋" w:eastAsia="仿宋" w:cs="仿宋"/>
          <w:b/>
          <w:bCs/>
          <w:sz w:val="22"/>
          <w:szCs w:val="28"/>
          <w:lang w:eastAsia="zh-CN"/>
        </w:rPr>
        <w:t>附件一</w:t>
      </w:r>
      <w:r>
        <w:rPr>
          <w:rFonts w:hint="eastAsia"/>
          <w:b/>
          <w:bCs/>
          <w:lang w:eastAsia="zh-CN"/>
        </w:rPr>
        <w:t>：</w:t>
      </w:r>
    </w:p>
    <w:p>
      <w:pPr>
        <w:jc w:val="center"/>
        <w:rPr>
          <w:rFonts w:hint="eastAsia" w:ascii="仿宋" w:hAnsi="仿宋" w:eastAsia="仿宋" w:cs="仿宋"/>
          <w:b/>
          <w:bCs/>
          <w:sz w:val="28"/>
          <w:szCs w:val="36"/>
          <w:lang w:eastAsia="zh-CN"/>
        </w:rPr>
      </w:pPr>
      <w:r>
        <w:rPr>
          <w:rFonts w:hint="eastAsia" w:ascii="仿宋" w:hAnsi="仿宋" w:eastAsia="仿宋" w:cs="仿宋"/>
          <w:b/>
          <w:bCs/>
          <w:sz w:val="28"/>
          <w:szCs w:val="36"/>
          <w:lang w:eastAsia="zh-CN"/>
        </w:rPr>
        <w:t>花</w:t>
      </w:r>
      <w:r>
        <w:rPr>
          <w:rFonts w:hint="eastAsia" w:ascii="仿宋" w:hAnsi="仿宋" w:eastAsia="仿宋" w:cs="仿宋"/>
          <w:b/>
          <w:bCs/>
          <w:sz w:val="28"/>
          <w:szCs w:val="36"/>
          <w:lang w:val="en-US" w:eastAsia="zh-CN"/>
        </w:rPr>
        <w:t xml:space="preserve"> </w:t>
      </w:r>
      <w:r>
        <w:rPr>
          <w:rFonts w:hint="eastAsia" w:ascii="仿宋" w:hAnsi="仿宋" w:eastAsia="仿宋" w:cs="仿宋"/>
          <w:b/>
          <w:bCs/>
          <w:sz w:val="28"/>
          <w:szCs w:val="36"/>
          <w:lang w:eastAsia="zh-CN"/>
        </w:rPr>
        <w:t>卉</w:t>
      </w:r>
      <w:r>
        <w:rPr>
          <w:rFonts w:hint="eastAsia" w:ascii="仿宋" w:hAnsi="仿宋" w:eastAsia="仿宋" w:cs="仿宋"/>
          <w:b/>
          <w:bCs/>
          <w:sz w:val="28"/>
          <w:szCs w:val="36"/>
          <w:lang w:val="en-US" w:eastAsia="zh-CN"/>
        </w:rPr>
        <w:t xml:space="preserve"> </w:t>
      </w:r>
      <w:r>
        <w:rPr>
          <w:rFonts w:hint="eastAsia" w:ascii="仿宋" w:hAnsi="仿宋" w:eastAsia="仿宋" w:cs="仿宋"/>
          <w:b/>
          <w:bCs/>
          <w:sz w:val="28"/>
          <w:szCs w:val="36"/>
          <w:lang w:eastAsia="zh-CN"/>
        </w:rPr>
        <w:t>租</w:t>
      </w:r>
      <w:r>
        <w:rPr>
          <w:rFonts w:hint="eastAsia" w:ascii="仿宋" w:hAnsi="仿宋" w:eastAsia="仿宋" w:cs="仿宋"/>
          <w:b/>
          <w:bCs/>
          <w:sz w:val="28"/>
          <w:szCs w:val="36"/>
          <w:lang w:val="en-US" w:eastAsia="zh-CN"/>
        </w:rPr>
        <w:t xml:space="preserve"> </w:t>
      </w:r>
      <w:r>
        <w:rPr>
          <w:rFonts w:hint="eastAsia" w:ascii="仿宋" w:hAnsi="仿宋" w:eastAsia="仿宋" w:cs="仿宋"/>
          <w:b/>
          <w:bCs/>
          <w:sz w:val="28"/>
          <w:szCs w:val="36"/>
          <w:lang w:eastAsia="zh-CN"/>
        </w:rPr>
        <w:t>摆</w:t>
      </w:r>
      <w:r>
        <w:rPr>
          <w:rFonts w:hint="eastAsia" w:ascii="仿宋" w:hAnsi="仿宋" w:eastAsia="仿宋" w:cs="仿宋"/>
          <w:b/>
          <w:bCs/>
          <w:sz w:val="28"/>
          <w:szCs w:val="36"/>
          <w:lang w:val="en-US" w:eastAsia="zh-CN"/>
        </w:rPr>
        <w:t xml:space="preserve"> </w:t>
      </w:r>
      <w:r>
        <w:rPr>
          <w:rFonts w:hint="eastAsia" w:ascii="仿宋" w:hAnsi="仿宋" w:eastAsia="仿宋" w:cs="仿宋"/>
          <w:b/>
          <w:bCs/>
          <w:sz w:val="28"/>
          <w:szCs w:val="36"/>
          <w:lang w:eastAsia="zh-CN"/>
        </w:rPr>
        <w:t>明</w:t>
      </w:r>
      <w:r>
        <w:rPr>
          <w:rFonts w:hint="eastAsia" w:ascii="仿宋" w:hAnsi="仿宋" w:eastAsia="仿宋" w:cs="仿宋"/>
          <w:b/>
          <w:bCs/>
          <w:sz w:val="28"/>
          <w:szCs w:val="36"/>
          <w:lang w:val="en-US" w:eastAsia="zh-CN"/>
        </w:rPr>
        <w:t xml:space="preserve"> </w:t>
      </w:r>
      <w:r>
        <w:rPr>
          <w:rFonts w:hint="eastAsia" w:ascii="仿宋" w:hAnsi="仿宋" w:eastAsia="仿宋" w:cs="仿宋"/>
          <w:b/>
          <w:bCs/>
          <w:sz w:val="28"/>
          <w:szCs w:val="36"/>
          <w:lang w:eastAsia="zh-CN"/>
        </w:rPr>
        <w:t>细</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
        <w:gridCol w:w="590"/>
        <w:gridCol w:w="928"/>
        <w:gridCol w:w="1722"/>
        <w:gridCol w:w="712"/>
        <w:gridCol w:w="272"/>
        <w:gridCol w:w="1251"/>
        <w:gridCol w:w="1425"/>
        <w:gridCol w:w="7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shd w:val="clear" w:color="auto" w:fill="D7D7D7" w:themeFill="background1" w:themeFillShade="D8"/>
            <w:vAlign w:val="center"/>
          </w:tcPr>
          <w:p>
            <w:pPr>
              <w:jc w:val="center"/>
              <w:rPr>
                <w:rFonts w:hint="eastAsia" w:ascii="仿宋" w:hAnsi="仿宋" w:eastAsia="仿宋" w:cs="仿宋"/>
                <w:b/>
                <w:bCs/>
                <w:sz w:val="24"/>
                <w:szCs w:val="24"/>
                <w:vertAlign w:val="baseline"/>
                <w:lang w:eastAsia="zh-CN"/>
              </w:rPr>
            </w:pPr>
            <w:r>
              <w:rPr>
                <w:rFonts w:hint="eastAsia" w:ascii="仿宋" w:hAnsi="仿宋" w:eastAsia="仿宋" w:cs="仿宋"/>
                <w:b/>
                <w:bCs/>
                <w:sz w:val="24"/>
                <w:szCs w:val="24"/>
                <w:vertAlign w:val="baseline"/>
                <w:lang w:eastAsia="zh-CN"/>
              </w:rPr>
              <w:t>房间位置</w:t>
            </w:r>
          </w:p>
        </w:tc>
        <w:tc>
          <w:tcPr>
            <w:tcW w:w="1518" w:type="dxa"/>
            <w:gridSpan w:val="2"/>
            <w:shd w:val="clear" w:color="auto" w:fill="D7D7D7" w:themeFill="background1" w:themeFillShade="D8"/>
            <w:vAlign w:val="center"/>
          </w:tcPr>
          <w:p>
            <w:pPr>
              <w:jc w:val="center"/>
              <w:rPr>
                <w:rFonts w:hint="eastAsia" w:ascii="仿宋" w:hAnsi="仿宋" w:eastAsia="仿宋" w:cs="仿宋"/>
                <w:b/>
                <w:bCs/>
                <w:sz w:val="24"/>
                <w:szCs w:val="24"/>
                <w:vertAlign w:val="baseline"/>
                <w:lang w:eastAsia="zh-CN"/>
              </w:rPr>
            </w:pPr>
            <w:r>
              <w:rPr>
                <w:rFonts w:hint="eastAsia" w:ascii="仿宋" w:hAnsi="仿宋" w:eastAsia="仿宋" w:cs="仿宋"/>
                <w:b/>
                <w:bCs/>
                <w:sz w:val="24"/>
                <w:szCs w:val="24"/>
                <w:vertAlign w:val="baseline"/>
                <w:lang w:eastAsia="zh-CN"/>
              </w:rPr>
              <w:t>标的物</w:t>
            </w:r>
          </w:p>
        </w:tc>
        <w:tc>
          <w:tcPr>
            <w:tcW w:w="1722" w:type="dxa"/>
            <w:shd w:val="clear" w:color="auto" w:fill="D7D7D7" w:themeFill="background1" w:themeFillShade="D8"/>
            <w:vAlign w:val="center"/>
          </w:tcPr>
          <w:p>
            <w:pPr>
              <w:jc w:val="center"/>
              <w:rPr>
                <w:rFonts w:hint="eastAsia" w:ascii="仿宋" w:hAnsi="仿宋" w:eastAsia="仿宋" w:cs="仿宋"/>
                <w:b/>
                <w:bCs/>
                <w:sz w:val="24"/>
                <w:szCs w:val="24"/>
                <w:vertAlign w:val="baseline"/>
                <w:lang w:eastAsia="zh-CN"/>
              </w:rPr>
            </w:pPr>
            <w:r>
              <w:rPr>
                <w:rFonts w:hint="eastAsia" w:ascii="仿宋" w:hAnsi="仿宋" w:eastAsia="仿宋" w:cs="仿宋"/>
                <w:b/>
                <w:bCs/>
                <w:sz w:val="24"/>
                <w:szCs w:val="24"/>
                <w:vertAlign w:val="baseline"/>
                <w:lang w:eastAsia="zh-CN"/>
              </w:rPr>
              <w:t>尺寸规格</w:t>
            </w:r>
          </w:p>
        </w:tc>
        <w:tc>
          <w:tcPr>
            <w:tcW w:w="712" w:type="dxa"/>
            <w:shd w:val="clear" w:color="auto" w:fill="D7D7D7" w:themeFill="background1" w:themeFillShade="D8"/>
            <w:vAlign w:val="center"/>
          </w:tcPr>
          <w:p>
            <w:pPr>
              <w:jc w:val="center"/>
              <w:rPr>
                <w:rFonts w:hint="eastAsia" w:ascii="仿宋" w:hAnsi="仿宋" w:eastAsia="仿宋" w:cs="仿宋"/>
                <w:b/>
                <w:bCs/>
                <w:sz w:val="24"/>
                <w:szCs w:val="24"/>
                <w:vertAlign w:val="baseline"/>
                <w:lang w:eastAsia="zh-CN"/>
              </w:rPr>
            </w:pPr>
            <w:r>
              <w:rPr>
                <w:rFonts w:hint="eastAsia" w:ascii="仿宋" w:hAnsi="仿宋" w:eastAsia="仿宋" w:cs="仿宋"/>
                <w:b/>
                <w:bCs/>
                <w:sz w:val="24"/>
                <w:szCs w:val="24"/>
                <w:vertAlign w:val="baseline"/>
                <w:lang w:eastAsia="zh-CN"/>
              </w:rPr>
              <w:t>数量</w:t>
            </w:r>
          </w:p>
        </w:tc>
        <w:tc>
          <w:tcPr>
            <w:tcW w:w="1523" w:type="dxa"/>
            <w:gridSpan w:val="2"/>
            <w:shd w:val="clear" w:color="auto" w:fill="D7D7D7" w:themeFill="background1" w:themeFillShade="D8"/>
            <w:vAlign w:val="center"/>
          </w:tcPr>
          <w:p>
            <w:pPr>
              <w:jc w:val="center"/>
              <w:rPr>
                <w:rFonts w:hint="eastAsia" w:ascii="仿宋" w:hAnsi="仿宋" w:eastAsia="仿宋" w:cs="仿宋"/>
                <w:b/>
                <w:bCs/>
                <w:sz w:val="24"/>
                <w:szCs w:val="24"/>
                <w:vertAlign w:val="baseline"/>
                <w:lang w:eastAsia="zh-CN"/>
              </w:rPr>
            </w:pPr>
            <w:r>
              <w:rPr>
                <w:rFonts w:hint="eastAsia" w:ascii="仿宋" w:hAnsi="仿宋" w:eastAsia="仿宋" w:cs="仿宋"/>
                <w:b/>
                <w:bCs/>
                <w:sz w:val="24"/>
                <w:szCs w:val="24"/>
                <w:vertAlign w:val="baseline"/>
                <w:lang w:eastAsia="zh-CN"/>
              </w:rPr>
              <w:t>价格（元）</w:t>
            </w:r>
            <w:r>
              <w:rPr>
                <w:rFonts w:hint="eastAsia" w:ascii="仿宋" w:hAnsi="仿宋" w:eastAsia="仿宋" w:cs="仿宋"/>
                <w:b/>
                <w:bCs/>
                <w:sz w:val="24"/>
                <w:szCs w:val="24"/>
                <w:vertAlign w:val="baseline"/>
                <w:lang w:val="en-US" w:eastAsia="zh-CN"/>
              </w:rPr>
              <w:t>/天</w:t>
            </w:r>
          </w:p>
        </w:tc>
        <w:tc>
          <w:tcPr>
            <w:tcW w:w="1425" w:type="dxa"/>
            <w:shd w:val="clear" w:color="auto" w:fill="D7D7D7" w:themeFill="background1" w:themeFillShade="D8"/>
            <w:vAlign w:val="center"/>
          </w:tcPr>
          <w:p>
            <w:pPr>
              <w:jc w:val="center"/>
              <w:rPr>
                <w:rFonts w:hint="eastAsia" w:ascii="仿宋" w:hAnsi="仿宋" w:eastAsia="仿宋" w:cs="仿宋"/>
                <w:b/>
                <w:bCs/>
                <w:sz w:val="24"/>
                <w:szCs w:val="24"/>
                <w:vertAlign w:val="baseline"/>
                <w:lang w:eastAsia="zh-CN"/>
              </w:rPr>
            </w:pPr>
            <w:r>
              <w:rPr>
                <w:rFonts w:hint="eastAsia" w:ascii="仿宋" w:hAnsi="仿宋" w:eastAsia="仿宋" w:cs="仿宋"/>
                <w:b/>
                <w:bCs/>
                <w:sz w:val="24"/>
                <w:szCs w:val="24"/>
                <w:vertAlign w:val="baseline"/>
                <w:lang w:eastAsia="zh-CN"/>
              </w:rPr>
              <w:t>金额（元）</w:t>
            </w:r>
            <w:r>
              <w:rPr>
                <w:rFonts w:hint="eastAsia" w:ascii="仿宋" w:hAnsi="仿宋" w:eastAsia="仿宋" w:cs="仿宋"/>
                <w:b/>
                <w:bCs/>
                <w:sz w:val="24"/>
                <w:szCs w:val="24"/>
                <w:vertAlign w:val="baseline"/>
                <w:lang w:val="en-US" w:eastAsia="zh-CN"/>
              </w:rPr>
              <w:t>/年</w:t>
            </w:r>
          </w:p>
        </w:tc>
        <w:tc>
          <w:tcPr>
            <w:tcW w:w="706" w:type="dxa"/>
            <w:shd w:val="clear" w:color="auto" w:fill="D7D7D7" w:themeFill="background1" w:themeFillShade="D8"/>
            <w:vAlign w:val="center"/>
          </w:tcPr>
          <w:p>
            <w:pPr>
              <w:jc w:val="center"/>
              <w:rPr>
                <w:rFonts w:hint="eastAsia" w:ascii="仿宋" w:hAnsi="仿宋" w:eastAsia="仿宋" w:cs="仿宋"/>
                <w:b/>
                <w:bCs/>
                <w:sz w:val="24"/>
                <w:szCs w:val="24"/>
                <w:vertAlign w:val="baseline"/>
                <w:lang w:eastAsia="zh-CN"/>
              </w:rPr>
            </w:pPr>
            <w:r>
              <w:rPr>
                <w:rFonts w:hint="eastAsia" w:ascii="仿宋" w:hAnsi="仿宋" w:eastAsia="仿宋" w:cs="仿宋"/>
                <w:b/>
                <w:bCs/>
                <w:sz w:val="24"/>
                <w:szCs w:val="24"/>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504</w:t>
            </w: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发财树</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1.7m左右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一叶兰</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盆景墨兰</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君子兰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水培转运竹</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水培一帆风顺</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50cm左右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小盆吊兰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604</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发财树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1.7m左右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一叶兰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盆景墨兰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君子兰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水培转运竹</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水培一帆风顺</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小盆吊兰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505</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发财树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1.5m左右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瓷盆小吊兰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大龙血树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1.3m左右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水培一帆风顺</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605</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发财树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1.5m左右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瓷盆小吊兰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大龙血树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1.3m左右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水培一帆风顺</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603</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发财树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1.5m左右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瓷盆小吊兰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大龙血树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1.3m左右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水培一帆风顺</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404</w:t>
            </w: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橡皮树</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407</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橡皮树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503内屋</w:t>
            </w: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橡皮树</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506</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橡皮树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7" w:hRule="atLeast"/>
        </w:trPr>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508外屋</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橡皮树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509</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橡皮树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602内屋</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中大龙血树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1.3m左右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606</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橡皮树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406</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橡皮树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609</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橡皮树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502大接待室</w:t>
            </w: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一叶兰</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4</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大绿萝</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1.5m左右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4</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富贵竹笼</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瓷盆红掌</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30cm左右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502小接待室</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一叶兰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中大龙血树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1.3m左右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503外屋</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中大龙血树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1.3m左右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508隔断内屋</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中大龙血树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1.3m左右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510</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中大龙血树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1.3m左右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非洲茉莉</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1.5m左右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3</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3</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3</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前台</w:t>
            </w: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中大龙血树</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1.3m左右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Merge w:val="restart"/>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部分用作会场布置用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大夏威夷</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1.5m左右</w:t>
            </w:r>
          </w:p>
        </w:tc>
        <w:tc>
          <w:tcPr>
            <w:tcW w:w="712" w:type="dxa"/>
            <w:vAlign w:val="center"/>
          </w:tcPr>
          <w:p>
            <w:pPr>
              <w:ind w:firstLine="210" w:firstLineChars="100"/>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Merge w:val="continue"/>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一叶兰</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Merge w:val="continue"/>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Merge w:val="continue"/>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4</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Merge w:val="continue"/>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Merge w:val="continue"/>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Merge w:val="continue"/>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602外屋</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中大龙血树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1.3m左右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非洲茉莉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1.5m左右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4</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4</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4</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4</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607</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中大龙血树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1.3m左右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608外屋</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中大龙血树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1.3m左右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608内屋</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中大龙血树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1.3m左右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rPr>
            </w:pPr>
          </w:p>
        </w:tc>
        <w:tc>
          <w:tcPr>
            <w:tcW w:w="1425" w:type="dxa"/>
            <w:vAlign w:val="center"/>
          </w:tcPr>
          <w:p>
            <w:pPr>
              <w:jc w:val="center"/>
              <w:rPr>
                <w:rFonts w:hint="eastAsia" w:ascii="仿宋" w:hAnsi="仿宋" w:eastAsia="仿宋" w:cs="仿宋"/>
                <w:vertAlign w:val="baseline"/>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610</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橡皮树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中大龙血树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1.3m左右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3</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3</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3</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3</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402</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中大龙血树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1.3m左右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405</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中大龙血树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1.3m左右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非洲茉莉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1.5m左右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4</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4</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4</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4</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408</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中大龙血树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1.3m左右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非洲茉莉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1.5m左右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3</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3</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3</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3</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409</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中大龙血树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1.3m左右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410</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中大龙血树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1.3m左右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非洲茉莉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1.5m左右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3</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3</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3</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3</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411</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中大龙血树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1.3m左右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102</w:t>
            </w: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橡皮树</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103</w:t>
            </w: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橡皮树</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104</w:t>
            </w: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大夏威夷</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1.5m左右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橡皮树</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3</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3</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3</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3</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105</w:t>
            </w: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橡皮树</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106</w:t>
            </w: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橡皮树</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107</w:t>
            </w: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大夏威夷</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1.5m左右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橡皮树</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3</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3</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3</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3</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101会议室</w:t>
            </w: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一叶兰</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lang w:val="en-US" w:eastAsia="zh-CN"/>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瓷盆红掌</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3</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401会议室</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一叶兰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瓷盆红掌</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3</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501会议室</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一叶兰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瓷盆红掌</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3</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601会议室</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一叶兰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瓷盆红掌</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3</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701会议室</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一叶兰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3</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瓷盆红掌</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3</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1楼卫生间（男、女）</w:t>
            </w: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4楼卫生间（男、女）</w:t>
            </w: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5楼卫生间（男、女）</w:t>
            </w: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6楼卫生间（男、女）</w:t>
            </w: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1楼电梯口</w:t>
            </w: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一叶兰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3楼电梯口</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一叶兰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4楼电梯口</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一叶兰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5楼电梯口</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一叶兰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6楼电梯口</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一叶兰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916" w:type="dxa"/>
            <w:vMerge w:val="restart"/>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一楼大厅</w:t>
            </w: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铁树</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针葵</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4</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大龙血树</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1.5m左右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非洲茉莉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1.5m左右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富贵竹笼</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4</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一叶兰</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瓷盆墨兰</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60cm左右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瓷盆红掌</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3</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项目部会议室</w:t>
            </w: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大夏威夷</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1.5m左右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中大龙血树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1.3m左右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瓷盆红掌</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综合调度</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中大龙血树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1.3m左右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项目部经理室</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橡皮树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项目总工</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中大龙血树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1.3m左右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项目安全主管</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中大龙血树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1.3m左右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疏浚工程师</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中大龙血树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1.3m左右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非洲茉莉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1.5m左右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4</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4</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瓷盆碧玉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4</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多肉盆植</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4</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科技信息中心</w:t>
            </w:r>
            <w:r>
              <w:rPr>
                <w:rFonts w:hint="eastAsia" w:ascii="仿宋" w:hAnsi="仿宋" w:eastAsia="仿宋" w:cs="仿宋"/>
                <w:vertAlign w:val="baseline"/>
                <w:lang w:val="en-US" w:eastAsia="zh-CN"/>
              </w:rPr>
              <w:t>1</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中大龙血树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1.3m左右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科技信息中心</w:t>
            </w:r>
            <w:r>
              <w:rPr>
                <w:rFonts w:hint="eastAsia" w:ascii="仿宋" w:hAnsi="仿宋" w:eastAsia="仿宋" w:cs="仿宋"/>
                <w:vertAlign w:val="baseline"/>
                <w:lang w:val="en-US" w:eastAsia="zh-CN"/>
              </w:rPr>
              <w:t>2</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中大龙血树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1.3m左右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7" w:hRule="atLeast"/>
        </w:trPr>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餐厅</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中大龙血树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1.3m左右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小绿萝</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小吊兰</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瓷盆红掌</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20cm左右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二楼小餐厅</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大夏威夷</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1.5m左右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中大龙血树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1.3m左右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二楼大餐厅</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大夏威夷</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1.5m左右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中大龙血树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1.3m左右</w:t>
            </w:r>
          </w:p>
        </w:tc>
        <w:tc>
          <w:tcPr>
            <w:tcW w:w="71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restart"/>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餐厅连廊</w:t>
            </w: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大龙血树</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1.5m左右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Merge w:val="continue"/>
            <w:vAlign w:val="center"/>
          </w:tcPr>
          <w:p>
            <w:pPr>
              <w:jc w:val="center"/>
              <w:rPr>
                <w:rFonts w:hint="eastAsia" w:ascii="仿宋" w:hAnsi="仿宋" w:eastAsia="仿宋" w:cs="仿宋"/>
                <w:vertAlign w:val="baseline"/>
              </w:rPr>
            </w:pPr>
          </w:p>
        </w:tc>
        <w:tc>
          <w:tcPr>
            <w:tcW w:w="1518" w:type="dxa"/>
            <w:gridSpan w:val="2"/>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非洲茉莉</w:t>
            </w:r>
          </w:p>
        </w:tc>
        <w:tc>
          <w:tcPr>
            <w:tcW w:w="1722"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val="en-US" w:eastAsia="zh-CN"/>
              </w:rPr>
              <w:t>1.5m左右</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农历新年正月年宵花卉</w:t>
            </w: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蝴蝶兰（大辣椒1号</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0.5m左右（10株组一盆</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10</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一个月花期摆放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5月1日劳动节节日花卉</w:t>
            </w: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红掌（骄阳1号）</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1.3m左右（3株组一盆）</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10</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一个月花期摆放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农历8月15日中秋节节日花卉</w:t>
            </w: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凤梨（新红星1号）</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1.3m左右（3株组一盆）</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10</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一个月花期摆放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6"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10月1日国庆节节日花卉</w:t>
            </w:r>
          </w:p>
        </w:tc>
        <w:tc>
          <w:tcPr>
            <w:tcW w:w="1518" w:type="dxa"/>
            <w:gridSpan w:val="2"/>
            <w:vAlign w:val="center"/>
          </w:tcPr>
          <w:p>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凤梨（新红星1号）</w:t>
            </w:r>
          </w:p>
        </w:tc>
        <w:tc>
          <w:tcPr>
            <w:tcW w:w="172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1.3m左右（3株组一盆）</w:t>
            </w:r>
          </w:p>
        </w:tc>
        <w:tc>
          <w:tcPr>
            <w:tcW w:w="712" w:type="dxa"/>
            <w:vAlign w:val="center"/>
          </w:tcPr>
          <w:p>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10</w:t>
            </w:r>
          </w:p>
        </w:tc>
        <w:tc>
          <w:tcPr>
            <w:tcW w:w="1523" w:type="dxa"/>
            <w:gridSpan w:val="2"/>
            <w:vAlign w:val="center"/>
          </w:tcPr>
          <w:p>
            <w:pPr>
              <w:jc w:val="center"/>
              <w:rPr>
                <w:rFonts w:hint="eastAsia" w:ascii="仿宋" w:hAnsi="仿宋" w:eastAsia="仿宋" w:cs="仿宋"/>
                <w:vertAlign w:val="baseline"/>
                <w:lang w:val="en-US" w:eastAsia="zh-CN"/>
              </w:rPr>
            </w:pPr>
          </w:p>
        </w:tc>
        <w:tc>
          <w:tcPr>
            <w:tcW w:w="1425" w:type="dxa"/>
            <w:vAlign w:val="center"/>
          </w:tcPr>
          <w:p>
            <w:pPr>
              <w:jc w:val="center"/>
              <w:rPr>
                <w:rFonts w:hint="eastAsia" w:ascii="仿宋" w:hAnsi="仿宋" w:eastAsia="仿宋" w:cs="仿宋"/>
                <w:vertAlign w:val="baseline"/>
                <w:lang w:val="en-US" w:eastAsia="zh-CN"/>
              </w:rPr>
            </w:pPr>
          </w:p>
        </w:tc>
        <w:tc>
          <w:tcPr>
            <w:tcW w:w="706" w:type="dxa"/>
            <w:vAlign w:val="center"/>
          </w:tcPr>
          <w:p>
            <w:pPr>
              <w:jc w:val="center"/>
              <w:rPr>
                <w:rFonts w:hint="eastAsia" w:ascii="仿宋" w:hAnsi="仿宋" w:eastAsia="仿宋" w:cs="仿宋"/>
                <w:vertAlign w:val="baseline"/>
              </w:rPr>
            </w:pPr>
            <w:r>
              <w:rPr>
                <w:rFonts w:hint="eastAsia" w:ascii="仿宋" w:hAnsi="仿宋" w:eastAsia="仿宋" w:cs="仿宋"/>
                <w:vertAlign w:val="baseline"/>
                <w:lang w:eastAsia="zh-CN"/>
              </w:rPr>
              <w:t>一个月花期摆放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06" w:type="dxa"/>
            <w:gridSpan w:val="2"/>
            <w:vAlign w:val="center"/>
          </w:tcPr>
          <w:p>
            <w:pPr>
              <w:jc w:val="center"/>
              <w:rPr>
                <w:rFonts w:hint="eastAsia" w:ascii="仿宋" w:hAnsi="仿宋" w:eastAsia="仿宋" w:cs="仿宋"/>
                <w:b/>
                <w:bCs/>
                <w:vertAlign w:val="baseline"/>
                <w:lang w:eastAsia="zh-CN"/>
              </w:rPr>
            </w:pPr>
            <w:r>
              <w:rPr>
                <w:rFonts w:hint="eastAsia" w:ascii="仿宋" w:hAnsi="仿宋" w:eastAsia="仿宋" w:cs="仿宋"/>
                <w:b/>
                <w:bCs/>
                <w:vertAlign w:val="baseline"/>
                <w:lang w:eastAsia="zh-CN"/>
              </w:rPr>
              <w:t>合计（大写）：</w:t>
            </w:r>
          </w:p>
        </w:tc>
        <w:tc>
          <w:tcPr>
            <w:tcW w:w="3634" w:type="dxa"/>
            <w:gridSpan w:val="4"/>
            <w:vAlign w:val="center"/>
          </w:tcPr>
          <w:p>
            <w:pPr>
              <w:jc w:val="left"/>
              <w:rPr>
                <w:rFonts w:hint="eastAsia" w:ascii="仿宋" w:hAnsi="仿宋" w:eastAsia="仿宋" w:cs="仿宋"/>
                <w:b/>
                <w:bCs/>
                <w:vertAlign w:val="baseline"/>
                <w:lang w:eastAsia="zh-CN"/>
              </w:rPr>
            </w:pPr>
          </w:p>
          <w:p>
            <w:pPr>
              <w:jc w:val="left"/>
              <w:rPr>
                <w:rFonts w:hint="eastAsia" w:ascii="仿宋" w:hAnsi="仿宋" w:eastAsia="仿宋" w:cs="仿宋"/>
                <w:b/>
                <w:bCs/>
                <w:vertAlign w:val="baseline"/>
                <w:lang w:eastAsia="zh-CN"/>
              </w:rPr>
            </w:pPr>
          </w:p>
        </w:tc>
        <w:tc>
          <w:tcPr>
            <w:tcW w:w="1251" w:type="dxa"/>
            <w:vAlign w:val="center"/>
          </w:tcPr>
          <w:p>
            <w:pPr>
              <w:jc w:val="center"/>
              <w:rPr>
                <w:rFonts w:hint="eastAsia" w:ascii="仿宋" w:hAnsi="仿宋" w:eastAsia="仿宋" w:cs="仿宋"/>
                <w:b/>
                <w:bCs/>
                <w:vertAlign w:val="baseline"/>
                <w:lang w:eastAsia="zh-CN"/>
              </w:rPr>
            </w:pPr>
            <w:r>
              <w:rPr>
                <w:rFonts w:hint="eastAsia" w:ascii="仿宋" w:hAnsi="仿宋" w:eastAsia="仿宋" w:cs="仿宋"/>
                <w:b/>
                <w:bCs/>
                <w:vertAlign w:val="baseline"/>
                <w:lang w:eastAsia="zh-CN"/>
              </w:rPr>
              <w:t>小写：</w:t>
            </w:r>
          </w:p>
        </w:tc>
        <w:tc>
          <w:tcPr>
            <w:tcW w:w="2131" w:type="dxa"/>
            <w:gridSpan w:val="2"/>
            <w:vAlign w:val="center"/>
          </w:tcPr>
          <w:p>
            <w:pPr>
              <w:jc w:val="center"/>
              <w:rPr>
                <w:rFonts w:hint="eastAsia" w:ascii="仿宋" w:hAnsi="仿宋" w:eastAsia="仿宋" w:cs="仿宋"/>
                <w:vertAlign w:val="baseline"/>
                <w:lang w:val="en-US" w:eastAsia="zh-CN"/>
              </w:rPr>
            </w:pPr>
          </w:p>
        </w:tc>
      </w:tr>
    </w:tbl>
    <w:p>
      <w:pPr>
        <w:jc w:val="left"/>
        <w:rPr>
          <w:rFonts w:hint="eastAsia" w:ascii="仿宋" w:hAnsi="仿宋" w:eastAsia="仿宋" w:cs="仿宋"/>
          <w:b/>
          <w:bCs/>
          <w:sz w:val="22"/>
          <w:szCs w:val="28"/>
        </w:rPr>
      </w:pPr>
    </w:p>
    <w:p>
      <w:pPr>
        <w:jc w:val="left"/>
        <w:rPr>
          <w:rFonts w:hint="eastAsia" w:ascii="仿宋" w:hAnsi="仿宋" w:eastAsia="仿宋" w:cs="仿宋"/>
          <w:b/>
          <w:bCs/>
          <w:sz w:val="22"/>
          <w:szCs w:val="28"/>
        </w:rPr>
      </w:pPr>
    </w:p>
    <w:p>
      <w:pPr>
        <w:jc w:val="left"/>
        <w:rPr>
          <w:rFonts w:hint="eastAsia" w:ascii="仿宋" w:hAnsi="仿宋" w:eastAsia="仿宋" w:cs="仿宋"/>
          <w:b/>
          <w:bCs/>
          <w:sz w:val="22"/>
          <w:szCs w:val="28"/>
        </w:rPr>
      </w:pPr>
    </w:p>
    <w:p>
      <w:pPr>
        <w:jc w:val="left"/>
        <w:rPr>
          <w:rFonts w:hint="eastAsia" w:ascii="仿宋" w:hAnsi="仿宋" w:eastAsia="仿宋" w:cs="仿宋"/>
          <w:b/>
          <w:bCs/>
          <w:sz w:val="22"/>
          <w:szCs w:val="28"/>
        </w:rPr>
      </w:pPr>
    </w:p>
    <w:p>
      <w:pPr>
        <w:jc w:val="left"/>
        <w:rPr>
          <w:rFonts w:hint="eastAsia" w:ascii="仿宋" w:hAnsi="仿宋" w:eastAsia="仿宋" w:cs="仿宋"/>
          <w:b/>
          <w:bCs/>
          <w:sz w:val="22"/>
          <w:szCs w:val="28"/>
        </w:rPr>
      </w:pPr>
    </w:p>
    <w:p>
      <w:pPr>
        <w:jc w:val="left"/>
        <w:rPr>
          <w:rFonts w:hint="eastAsia" w:ascii="仿宋" w:hAnsi="仿宋" w:eastAsia="仿宋" w:cs="仿宋"/>
          <w:b/>
          <w:bCs/>
          <w:sz w:val="22"/>
          <w:szCs w:val="28"/>
        </w:rPr>
      </w:pPr>
    </w:p>
    <w:p>
      <w:pPr>
        <w:jc w:val="left"/>
        <w:rPr>
          <w:rFonts w:hint="eastAsia" w:ascii="仿宋" w:hAnsi="仿宋" w:eastAsia="仿宋" w:cs="仿宋"/>
          <w:b/>
          <w:bCs/>
          <w:sz w:val="22"/>
          <w:szCs w:val="28"/>
        </w:rPr>
      </w:pPr>
    </w:p>
    <w:p>
      <w:pPr>
        <w:jc w:val="left"/>
        <w:rPr>
          <w:rFonts w:hint="eastAsia" w:ascii="仿宋" w:hAnsi="仿宋" w:eastAsia="仿宋" w:cs="仿宋"/>
          <w:b/>
          <w:bCs/>
          <w:sz w:val="22"/>
          <w:szCs w:val="28"/>
        </w:rPr>
      </w:pPr>
    </w:p>
    <w:p>
      <w:pPr>
        <w:jc w:val="left"/>
        <w:rPr>
          <w:rFonts w:hint="eastAsia" w:ascii="仿宋" w:hAnsi="仿宋" w:eastAsia="仿宋" w:cs="仿宋"/>
          <w:b/>
          <w:bCs/>
          <w:sz w:val="22"/>
          <w:szCs w:val="28"/>
        </w:rPr>
      </w:pPr>
    </w:p>
    <w:p>
      <w:pPr>
        <w:jc w:val="left"/>
        <w:rPr>
          <w:rFonts w:hint="eastAsia" w:ascii="仿宋" w:hAnsi="仿宋" w:eastAsia="仿宋" w:cs="仿宋"/>
          <w:b/>
          <w:bCs/>
          <w:sz w:val="22"/>
          <w:szCs w:val="28"/>
        </w:rPr>
      </w:pPr>
    </w:p>
    <w:p>
      <w:pPr>
        <w:jc w:val="left"/>
        <w:rPr>
          <w:rFonts w:hint="eastAsia" w:ascii="仿宋" w:hAnsi="仿宋" w:eastAsia="仿宋" w:cs="仿宋"/>
          <w:b/>
          <w:bCs/>
          <w:sz w:val="22"/>
          <w:szCs w:val="28"/>
        </w:rPr>
      </w:pPr>
    </w:p>
    <w:p>
      <w:pPr>
        <w:jc w:val="left"/>
        <w:rPr>
          <w:rFonts w:hint="eastAsia" w:ascii="仿宋" w:hAnsi="仿宋" w:eastAsia="仿宋" w:cs="仿宋"/>
          <w:b/>
          <w:bCs/>
          <w:sz w:val="22"/>
          <w:szCs w:val="28"/>
        </w:rPr>
      </w:pPr>
    </w:p>
    <w:p>
      <w:pPr>
        <w:jc w:val="left"/>
        <w:rPr>
          <w:rFonts w:hint="eastAsia" w:ascii="仿宋" w:hAnsi="仿宋" w:eastAsia="仿宋" w:cs="仿宋"/>
          <w:b/>
          <w:bCs/>
          <w:sz w:val="22"/>
          <w:szCs w:val="28"/>
        </w:rPr>
      </w:pPr>
    </w:p>
    <w:p>
      <w:pPr>
        <w:jc w:val="left"/>
        <w:rPr>
          <w:rFonts w:hint="eastAsia" w:ascii="仿宋" w:hAnsi="仿宋" w:eastAsia="仿宋" w:cs="仿宋"/>
          <w:b/>
          <w:bCs/>
          <w:sz w:val="22"/>
          <w:szCs w:val="28"/>
        </w:rPr>
      </w:pPr>
    </w:p>
    <w:p>
      <w:pPr>
        <w:jc w:val="left"/>
        <w:rPr>
          <w:rFonts w:hint="eastAsia" w:ascii="仿宋" w:hAnsi="仿宋" w:eastAsia="仿宋" w:cs="仿宋"/>
          <w:b/>
          <w:bCs/>
          <w:sz w:val="22"/>
          <w:szCs w:val="28"/>
        </w:rPr>
      </w:pPr>
    </w:p>
    <w:p>
      <w:pPr>
        <w:jc w:val="left"/>
        <w:rPr>
          <w:rFonts w:hint="eastAsia" w:ascii="仿宋" w:hAnsi="仿宋" w:eastAsia="仿宋" w:cs="仿宋"/>
          <w:b/>
          <w:bCs/>
          <w:sz w:val="22"/>
          <w:szCs w:val="28"/>
        </w:rPr>
      </w:pPr>
    </w:p>
    <w:p>
      <w:pPr>
        <w:jc w:val="left"/>
        <w:rPr>
          <w:rFonts w:hint="eastAsia" w:ascii="仿宋" w:hAnsi="仿宋" w:eastAsia="仿宋" w:cs="仿宋"/>
          <w:b/>
          <w:bCs/>
          <w:sz w:val="22"/>
          <w:szCs w:val="28"/>
        </w:rPr>
      </w:pPr>
    </w:p>
    <w:p>
      <w:pPr>
        <w:jc w:val="left"/>
        <w:rPr>
          <w:rFonts w:hint="eastAsia" w:ascii="仿宋" w:hAnsi="仿宋" w:eastAsia="仿宋" w:cs="仿宋"/>
          <w:b/>
          <w:bCs/>
          <w:sz w:val="22"/>
          <w:szCs w:val="28"/>
        </w:rPr>
      </w:pPr>
    </w:p>
    <w:p>
      <w:pPr>
        <w:jc w:val="left"/>
        <w:rPr>
          <w:rFonts w:hint="eastAsia" w:ascii="仿宋" w:hAnsi="仿宋" w:eastAsia="仿宋" w:cs="仿宋"/>
          <w:b/>
          <w:bCs/>
          <w:sz w:val="22"/>
          <w:szCs w:val="28"/>
        </w:rPr>
      </w:pPr>
    </w:p>
    <w:p>
      <w:pPr>
        <w:jc w:val="left"/>
        <w:rPr>
          <w:rFonts w:hint="eastAsia" w:ascii="仿宋" w:hAnsi="仿宋" w:eastAsia="仿宋" w:cs="仿宋"/>
          <w:b/>
          <w:bCs/>
          <w:sz w:val="22"/>
          <w:szCs w:val="28"/>
          <w:lang w:eastAsia="zh-CN"/>
        </w:rPr>
      </w:pPr>
      <w:r>
        <w:rPr>
          <w:rFonts w:hint="eastAsia" w:ascii="仿宋" w:hAnsi="仿宋" w:eastAsia="仿宋" w:cs="仿宋"/>
          <w:b/>
          <w:bCs/>
          <w:sz w:val="22"/>
          <w:szCs w:val="28"/>
        </w:rPr>
        <w:t>附件二</w:t>
      </w:r>
      <w:r>
        <w:rPr>
          <w:rFonts w:hint="eastAsia" w:ascii="仿宋" w:hAnsi="仿宋" w:eastAsia="仿宋" w:cs="仿宋"/>
          <w:b/>
          <w:bCs/>
          <w:sz w:val="22"/>
          <w:szCs w:val="28"/>
          <w:lang w:eastAsia="zh-CN"/>
        </w:rPr>
        <w:t>：</w:t>
      </w:r>
    </w:p>
    <w:p>
      <w:pPr>
        <w:jc w:val="center"/>
        <w:rPr>
          <w:rFonts w:hint="eastAsia" w:ascii="仿宋" w:hAnsi="仿宋" w:eastAsia="仿宋" w:cs="仿宋"/>
          <w:b/>
          <w:bCs/>
          <w:sz w:val="36"/>
          <w:szCs w:val="44"/>
        </w:rPr>
      </w:pPr>
      <w:r>
        <w:rPr>
          <w:rFonts w:hint="eastAsia" w:ascii="仿宋" w:hAnsi="仿宋" w:eastAsia="仿宋" w:cs="仿宋"/>
          <w:b/>
          <w:bCs/>
          <w:sz w:val="36"/>
          <w:szCs w:val="44"/>
        </w:rPr>
        <w:t>花卉租摆服务标准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640" w:firstLineChars="200"/>
        <w:jc w:val="left"/>
        <w:textAlignment w:val="auto"/>
        <w:outlineLvl w:val="9"/>
        <w:rPr>
          <w:rFonts w:hint="eastAsia" w:ascii="仿宋" w:hAnsi="仿宋" w:eastAsia="仿宋" w:cs="仿宋"/>
          <w:b w:val="0"/>
          <w:bCs w:val="0"/>
          <w:sz w:val="32"/>
          <w:szCs w:val="40"/>
          <w:lang w:val="en-US" w:eastAsia="zh-CN"/>
        </w:rPr>
      </w:pPr>
      <w:r>
        <w:rPr>
          <w:rFonts w:hint="eastAsia" w:ascii="仿宋" w:hAnsi="仿宋" w:eastAsia="仿宋" w:cs="仿宋"/>
          <w:b w:val="0"/>
          <w:bCs w:val="0"/>
          <w:sz w:val="32"/>
          <w:szCs w:val="40"/>
          <w:lang w:val="en-US" w:eastAsia="zh-CN"/>
        </w:rPr>
        <w:t>1、修剪：租摆花卉至少每月修剪、护理一次，护理员对每颗花卉应仔细检查，对出现的枯枝败叶、盆株花型不对称的、有陡枝的要求及时修剪，修剪后不能保持美观的要及时更换。对于叶片枯黄面积超过1/3以上的应整片剪除，枯黄面积未达到叶片面积1/3，应用剪刀顺叶片形状将枯黄部分剪除，注意保持叶片形状，不可一刀切。</w:t>
      </w:r>
    </w:p>
    <w:p>
      <w:pPr>
        <w:numPr>
          <w:ilvl w:val="0"/>
          <w:numId w:val="0"/>
        </w:numPr>
        <w:ind w:firstLine="640"/>
        <w:jc w:val="left"/>
        <w:rPr>
          <w:rFonts w:hint="eastAsia" w:ascii="仿宋" w:hAnsi="仿宋" w:eastAsia="仿宋" w:cs="仿宋"/>
          <w:b w:val="0"/>
          <w:bCs w:val="0"/>
          <w:sz w:val="32"/>
          <w:szCs w:val="40"/>
          <w:lang w:val="en-US" w:eastAsia="zh-CN"/>
        </w:rPr>
      </w:pPr>
      <w:r>
        <w:rPr>
          <w:rFonts w:hint="eastAsia" w:ascii="仿宋" w:hAnsi="仿宋" w:eastAsia="仿宋" w:cs="仿宋"/>
          <w:b w:val="0"/>
          <w:bCs w:val="0"/>
          <w:sz w:val="32"/>
          <w:szCs w:val="40"/>
          <w:lang w:val="en-US" w:eastAsia="zh-CN"/>
        </w:rPr>
        <w:t>2、卫生：花卉卫生每周清洁一次，具体要求如下：</w:t>
      </w:r>
    </w:p>
    <w:p>
      <w:pPr>
        <w:numPr>
          <w:ilvl w:val="0"/>
          <w:numId w:val="0"/>
        </w:numPr>
        <w:ind w:firstLine="640"/>
        <w:jc w:val="left"/>
        <w:rPr>
          <w:rFonts w:hint="eastAsia" w:ascii="仿宋" w:hAnsi="仿宋" w:eastAsia="仿宋" w:cs="仿宋"/>
          <w:b w:val="0"/>
          <w:bCs w:val="0"/>
          <w:sz w:val="32"/>
          <w:szCs w:val="40"/>
          <w:lang w:val="en-US" w:eastAsia="zh-CN"/>
        </w:rPr>
      </w:pPr>
      <w:r>
        <w:rPr>
          <w:rFonts w:hint="eastAsia" w:ascii="仿宋" w:hAnsi="仿宋" w:eastAsia="仿宋" w:cs="仿宋"/>
          <w:b w:val="0"/>
          <w:bCs w:val="0"/>
          <w:sz w:val="32"/>
          <w:szCs w:val="40"/>
          <w:lang w:val="en-US" w:eastAsia="zh-CN"/>
        </w:rPr>
        <w:t>⑴、清洁植物叶片，每次进场必须清洁植株叶面。护理员对植株叶片上的灰尘及残留泥土进行擦拭，保持叶面清洁、油亮；</w:t>
      </w:r>
    </w:p>
    <w:p>
      <w:pPr>
        <w:numPr>
          <w:ilvl w:val="0"/>
          <w:numId w:val="0"/>
        </w:numPr>
        <w:ind w:firstLine="640"/>
        <w:jc w:val="left"/>
        <w:rPr>
          <w:rFonts w:hint="eastAsia" w:ascii="仿宋" w:hAnsi="仿宋" w:eastAsia="仿宋" w:cs="仿宋"/>
          <w:b w:val="0"/>
          <w:bCs w:val="0"/>
          <w:sz w:val="32"/>
          <w:szCs w:val="40"/>
          <w:lang w:val="en-US" w:eastAsia="zh-CN"/>
        </w:rPr>
      </w:pPr>
      <w:r>
        <w:rPr>
          <w:rFonts w:hint="eastAsia" w:ascii="仿宋" w:hAnsi="仿宋" w:eastAsia="仿宋" w:cs="仿宋"/>
          <w:b w:val="0"/>
          <w:bCs w:val="0"/>
          <w:sz w:val="32"/>
          <w:szCs w:val="40"/>
          <w:lang w:val="en-US" w:eastAsia="zh-CN"/>
        </w:rPr>
        <w:t>⑵、清理花盆、托水盘内垃圾、杂物、枯枝败叶等，保持花盆、托水盘表面无水渍、泥渍、灰尘等；</w:t>
      </w:r>
    </w:p>
    <w:p>
      <w:pPr>
        <w:numPr>
          <w:ilvl w:val="0"/>
          <w:numId w:val="0"/>
        </w:numPr>
        <w:ind w:firstLine="640"/>
        <w:jc w:val="left"/>
        <w:rPr>
          <w:rFonts w:hint="eastAsia" w:ascii="仿宋" w:hAnsi="仿宋" w:eastAsia="仿宋" w:cs="仿宋"/>
          <w:b w:val="0"/>
          <w:bCs w:val="0"/>
          <w:sz w:val="32"/>
          <w:szCs w:val="40"/>
          <w:lang w:val="en-US" w:eastAsia="zh-CN"/>
        </w:rPr>
      </w:pPr>
      <w:r>
        <w:rPr>
          <w:rFonts w:hint="eastAsia" w:ascii="仿宋" w:hAnsi="仿宋" w:eastAsia="仿宋" w:cs="仿宋"/>
          <w:b w:val="0"/>
          <w:bCs w:val="0"/>
          <w:sz w:val="32"/>
          <w:szCs w:val="40"/>
          <w:lang w:val="en-US" w:eastAsia="zh-CN"/>
        </w:rPr>
        <w:t>⑶、每次浇水、护理完成后，要求对现场浇花后的水渍、泥渍、枯枝败叶等，清扫、擦拭干净并装袋自行带走，不留护理痕迹为最终标准。</w:t>
      </w:r>
    </w:p>
    <w:p>
      <w:pPr>
        <w:numPr>
          <w:ilvl w:val="0"/>
          <w:numId w:val="1"/>
        </w:numPr>
        <w:ind w:firstLine="640"/>
        <w:jc w:val="left"/>
        <w:rPr>
          <w:rFonts w:hint="eastAsia" w:ascii="仿宋" w:hAnsi="仿宋" w:eastAsia="仿宋" w:cs="仿宋"/>
          <w:b w:val="0"/>
          <w:bCs w:val="0"/>
          <w:sz w:val="32"/>
          <w:szCs w:val="40"/>
          <w:lang w:val="en-US" w:eastAsia="zh-CN"/>
        </w:rPr>
      </w:pPr>
      <w:r>
        <w:rPr>
          <w:rFonts w:hint="eastAsia" w:ascii="仿宋" w:hAnsi="仿宋" w:eastAsia="仿宋" w:cs="仿宋"/>
          <w:b w:val="0"/>
          <w:bCs w:val="0"/>
          <w:sz w:val="32"/>
          <w:szCs w:val="40"/>
          <w:lang w:val="en-US" w:eastAsia="zh-CN"/>
        </w:rPr>
        <w:t>浇水：根据花卉品种及习性，进行办公区域花卉维护浇水、控制水量。根据花卉所摆放的位置及季节变化，合理调节浇水量，保证花卉一周的用水需求。对于公司特殊环境，如有办公桌、会议桌、茶几、地毯等特殊部位摆放的花卉要严格控制水量，防止污染、破坏公司财物。</w:t>
      </w:r>
    </w:p>
    <w:p>
      <w:pPr>
        <w:numPr>
          <w:ilvl w:val="0"/>
          <w:numId w:val="1"/>
        </w:numPr>
        <w:ind w:firstLine="640"/>
        <w:jc w:val="left"/>
        <w:rPr>
          <w:rFonts w:hint="eastAsia" w:ascii="仿宋" w:hAnsi="仿宋" w:eastAsia="仿宋" w:cs="仿宋"/>
          <w:b w:val="0"/>
          <w:bCs w:val="0"/>
          <w:sz w:val="32"/>
          <w:szCs w:val="40"/>
          <w:lang w:val="en-US" w:eastAsia="zh-CN"/>
        </w:rPr>
      </w:pPr>
      <w:r>
        <w:rPr>
          <w:rFonts w:hint="eastAsia" w:ascii="仿宋" w:hAnsi="仿宋" w:eastAsia="仿宋" w:cs="仿宋"/>
          <w:b w:val="0"/>
          <w:bCs w:val="0"/>
          <w:sz w:val="32"/>
          <w:szCs w:val="40"/>
          <w:lang w:val="en-US" w:eastAsia="zh-CN"/>
        </w:rPr>
        <w:t>施肥：室内观赏植物花卉常用氮磷钾复混肥或植物花卉成品专用肥料、叶面肥，应按照不同地点、不同湿度、不同光照、及植物花卉品种酌量施肥，保障植物花卉的茁壮生长。特别注明室内植物花卉禁止使用有异味的、易挥发气体、气味的特殊肥料、动物、家禽家畜类排泄物的肥料。</w:t>
      </w:r>
    </w:p>
    <w:p>
      <w:pPr>
        <w:numPr>
          <w:ilvl w:val="0"/>
          <w:numId w:val="1"/>
        </w:numPr>
        <w:ind w:firstLine="640"/>
        <w:jc w:val="left"/>
        <w:rPr>
          <w:rFonts w:hint="eastAsia" w:ascii="仿宋" w:hAnsi="仿宋" w:eastAsia="仿宋" w:cs="仿宋"/>
          <w:b w:val="0"/>
          <w:bCs w:val="0"/>
          <w:sz w:val="32"/>
          <w:szCs w:val="40"/>
          <w:lang w:val="en-US" w:eastAsia="zh-CN"/>
        </w:rPr>
      </w:pPr>
      <w:r>
        <w:rPr>
          <w:rFonts w:hint="eastAsia" w:ascii="仿宋" w:hAnsi="仿宋" w:eastAsia="仿宋" w:cs="仿宋"/>
          <w:b w:val="0"/>
          <w:bCs w:val="0"/>
          <w:sz w:val="32"/>
          <w:szCs w:val="40"/>
          <w:lang w:val="en-US" w:eastAsia="zh-CN"/>
        </w:rPr>
        <w:t>病虫害防治：要有有效防治蚜、粉虱、螨、蚧壳、蚊、蝇等虫害的防治措施，及枯叶病、白粉病、炭疽病、灰霉病、煤污病、倒春寒病等的防治措施及方案。在花卉护理过程中及早发现、及早治理，如无法控制的病虫害花卉应及时更换、销毁，防治病虫害的传播、及办公环境的污染。</w:t>
      </w:r>
    </w:p>
    <w:p>
      <w:pPr>
        <w:numPr>
          <w:ilvl w:val="0"/>
          <w:numId w:val="1"/>
        </w:numPr>
        <w:ind w:firstLine="640"/>
        <w:jc w:val="left"/>
        <w:rPr>
          <w:rFonts w:hint="eastAsia" w:ascii="仿宋" w:hAnsi="仿宋" w:eastAsia="仿宋" w:cs="仿宋"/>
          <w:b w:val="0"/>
          <w:bCs w:val="0"/>
          <w:sz w:val="32"/>
          <w:szCs w:val="40"/>
          <w:lang w:val="en-US" w:eastAsia="zh-CN"/>
        </w:rPr>
      </w:pPr>
      <w:r>
        <w:rPr>
          <w:rFonts w:hint="eastAsia" w:ascii="仿宋" w:hAnsi="仿宋" w:eastAsia="仿宋" w:cs="仿宋"/>
          <w:b w:val="0"/>
          <w:bCs w:val="0"/>
          <w:sz w:val="32"/>
          <w:szCs w:val="40"/>
          <w:lang w:val="en-US" w:eastAsia="zh-CN"/>
        </w:rPr>
        <w:t>更换：在租摆植物花卉外观形状、及病虫害影响到美观及公司办公环境的情况下，服务商在接到公司业主要求更换通知后，3日内服务商必须按照等价位、等品种（或其他品种的）的情况下及时更换，保障业主公司办公环境美观、优雅、清新。</w:t>
      </w:r>
    </w:p>
    <w:p>
      <w:pPr>
        <w:numPr>
          <w:ilvl w:val="0"/>
          <w:numId w:val="0"/>
        </w:numPr>
        <w:ind w:firstLine="640"/>
        <w:jc w:val="left"/>
        <w:rPr>
          <w:rFonts w:hint="eastAsia" w:ascii="仿宋" w:hAnsi="仿宋" w:eastAsia="仿宋" w:cs="仿宋"/>
          <w:b w:val="0"/>
          <w:bCs w:val="0"/>
          <w:sz w:val="32"/>
          <w:szCs w:val="40"/>
          <w:lang w:val="en-US" w:eastAsia="zh-CN"/>
        </w:rPr>
      </w:pPr>
    </w:p>
    <w:p>
      <w:pPr>
        <w:adjustRightInd w:val="0"/>
        <w:snapToGrid w:val="0"/>
        <w:spacing w:line="360" w:lineRule="auto"/>
        <w:jc w:val="center"/>
        <w:rPr>
          <w:rFonts w:hint="eastAsia" w:ascii="方正小标宋简体" w:hAnsi="方正小标宋简体" w:eastAsia="方正小标宋简体" w:cs="方正小标宋简体"/>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3"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3C1C701"/>
    <w:multiLevelType w:val="singleLevel"/>
    <w:tmpl w:val="C3C1C701"/>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637CC2"/>
    <w:rsid w:val="0D3166D7"/>
    <w:rsid w:val="10C92DFD"/>
    <w:rsid w:val="1665604A"/>
    <w:rsid w:val="1B637CC2"/>
    <w:rsid w:val="1BF327FA"/>
    <w:rsid w:val="25CE4C81"/>
    <w:rsid w:val="26947DB1"/>
    <w:rsid w:val="298903EA"/>
    <w:rsid w:val="2AAE53D1"/>
    <w:rsid w:val="2F2E21F9"/>
    <w:rsid w:val="2F8B795A"/>
    <w:rsid w:val="35220FF4"/>
    <w:rsid w:val="38DC53E4"/>
    <w:rsid w:val="55F80D83"/>
    <w:rsid w:val="614F4875"/>
    <w:rsid w:val="6B3404E8"/>
    <w:rsid w:val="6D535020"/>
    <w:rsid w:val="721E248F"/>
    <w:rsid w:val="738F4C37"/>
    <w:rsid w:val="74396792"/>
    <w:rsid w:val="76CF10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styleId="6">
    <w:name w:val="List Paragraph"/>
    <w:basedOn w:val="1"/>
    <w:qFormat/>
    <w:uiPriority w:val="34"/>
    <w:pPr>
      <w:ind w:firstLine="420"/>
    </w:pPr>
    <w:rPr>
      <w:rFonts w:hint="default"/>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PF\AppData\Roaming\Kingsoft\wps\addons\pool\win-i386\knewfileres_1.0.0.1\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28</TotalTime>
  <ScaleCrop>false</ScaleCrop>
  <LinksUpToDate>false</LinksUpToDate>
  <CharactersWithSpaces>0</CharactersWithSpaces>
  <Application>WPS Office_10.1.0.7311_F1E327BC-269C-435d-A152-05C5408002CA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2018-03-28T11:16:00Z</dcterms:created>
  <dc:creator>晨光</dc:creator>
  <cp:lastModifiedBy>晨光</cp:lastModifiedBy>
  <dcterms:modified xsi:type="dcterms:W3CDTF">2018-04-26T01:19:39Z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2052-10.1.0.7311</vt:lpwstr>
  </property>
</Properties>
</file>