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tabs>
          <w:tab w:val="left" w:pos="425"/>
        </w:tabs>
        <w:adjustRightInd w:val="0"/>
        <w:snapToGrid w:val="0"/>
        <w:spacing w:line="560" w:lineRule="exact"/>
        <w:rPr>
          <w:szCs w:val="32"/>
        </w:rPr>
      </w:pPr>
      <w:r>
        <w:rPr>
          <w:rFonts w:hint="eastAsia"/>
          <w:szCs w:val="32"/>
        </w:rPr>
        <w:t>报价要求：</w:t>
      </w:r>
    </w:p>
    <w:p>
      <w:pPr>
        <w:pStyle w:val="6"/>
        <w:tabs>
          <w:tab w:val="left" w:pos="425"/>
        </w:tabs>
        <w:adjustRightInd w:val="0"/>
        <w:snapToGrid w:val="0"/>
        <w:spacing w:line="560" w:lineRule="exact"/>
        <w:rPr>
          <w:szCs w:val="32"/>
        </w:rPr>
      </w:pPr>
      <w:r>
        <w:rPr>
          <w:rFonts w:hint="eastAsia"/>
          <w:szCs w:val="32"/>
        </w:rPr>
        <w:t>参与本项目的供应商应综合考虑服务发生的人工、材料、机械设备及现场临建、水、电等费用综合报价（含利润、税金）等完成本项目相关工作，报价包括但不限于以下内容：</w:t>
      </w:r>
    </w:p>
    <w:p>
      <w:pPr>
        <w:pStyle w:val="6"/>
        <w:tabs>
          <w:tab w:val="left" w:pos="425"/>
        </w:tabs>
        <w:adjustRightInd w:val="0"/>
        <w:snapToGrid w:val="0"/>
        <w:spacing w:line="560" w:lineRule="exact"/>
        <w:rPr>
          <w:szCs w:val="32"/>
        </w:rPr>
      </w:pPr>
      <w:r>
        <w:rPr>
          <w:szCs w:val="32"/>
        </w:rPr>
        <w:t>1.</w:t>
      </w:r>
      <w:r>
        <w:rPr>
          <w:rFonts w:hint="eastAsia"/>
          <w:szCs w:val="32"/>
        </w:rPr>
        <w:t>根据要求需建设的必要的临时设施而发生的费用（如水电源接通、排水、搭设脚手架、临时支撑等）；</w:t>
      </w:r>
    </w:p>
    <w:p>
      <w:pPr>
        <w:pStyle w:val="6"/>
        <w:tabs>
          <w:tab w:val="left" w:pos="425"/>
        </w:tabs>
        <w:adjustRightInd w:val="0"/>
        <w:snapToGrid w:val="0"/>
        <w:spacing w:line="560" w:lineRule="exact"/>
        <w:rPr>
          <w:szCs w:val="32"/>
        </w:rPr>
      </w:pPr>
      <w:r>
        <w:rPr>
          <w:szCs w:val="32"/>
        </w:rPr>
        <w:t>2.</w:t>
      </w:r>
      <w:r>
        <w:rPr>
          <w:rFonts w:hint="eastAsia"/>
          <w:szCs w:val="32"/>
        </w:rPr>
        <w:t>设备及机具拆装采取的措施；</w:t>
      </w:r>
    </w:p>
    <w:p>
      <w:pPr>
        <w:pStyle w:val="6"/>
        <w:tabs>
          <w:tab w:val="left" w:pos="425"/>
        </w:tabs>
        <w:adjustRightInd w:val="0"/>
        <w:snapToGrid w:val="0"/>
        <w:spacing w:line="560" w:lineRule="exact"/>
        <w:rPr>
          <w:szCs w:val="32"/>
        </w:rPr>
      </w:pPr>
      <w:r>
        <w:rPr>
          <w:szCs w:val="32"/>
        </w:rPr>
        <w:t>3.</w:t>
      </w:r>
      <w:r>
        <w:rPr>
          <w:rFonts w:hint="eastAsia"/>
          <w:szCs w:val="32"/>
        </w:rPr>
        <w:t>本项目实施中可能发生的安全问题的治理防范措施费；</w:t>
      </w:r>
    </w:p>
    <w:p>
      <w:pPr>
        <w:pStyle w:val="6"/>
        <w:tabs>
          <w:tab w:val="left" w:pos="425"/>
        </w:tabs>
        <w:adjustRightInd w:val="0"/>
        <w:snapToGrid w:val="0"/>
        <w:spacing w:line="560" w:lineRule="exact"/>
        <w:rPr>
          <w:szCs w:val="32"/>
        </w:rPr>
      </w:pPr>
      <w:r>
        <w:rPr>
          <w:szCs w:val="32"/>
        </w:rPr>
        <w:t>4.</w:t>
      </w:r>
      <w:r>
        <w:rPr>
          <w:rFonts w:hint="eastAsia"/>
          <w:szCs w:val="32"/>
        </w:rPr>
        <w:t>合同中各类风险费用（如技术参数变化、防风、防火、防雨等）；</w:t>
      </w:r>
    </w:p>
    <w:p>
      <w:pPr>
        <w:pStyle w:val="6"/>
        <w:tabs>
          <w:tab w:val="left" w:pos="425"/>
        </w:tabs>
        <w:adjustRightInd w:val="0"/>
        <w:snapToGrid w:val="0"/>
        <w:spacing w:line="560" w:lineRule="exact"/>
        <w:rPr>
          <w:szCs w:val="32"/>
        </w:rPr>
      </w:pPr>
      <w:r>
        <w:rPr>
          <w:szCs w:val="32"/>
        </w:rPr>
        <w:t>5.</w:t>
      </w:r>
      <w:r>
        <w:rPr>
          <w:rFonts w:hint="eastAsia"/>
          <w:szCs w:val="32"/>
        </w:rPr>
        <w:t>垃圾废弃物清理搬运、施工区域清扫及为满足招标人规定的文明施工要求所发生的费用；</w:t>
      </w:r>
    </w:p>
    <w:p>
      <w:pPr>
        <w:pStyle w:val="6"/>
        <w:tabs>
          <w:tab w:val="left" w:pos="425"/>
        </w:tabs>
        <w:adjustRightInd w:val="0"/>
        <w:snapToGrid w:val="0"/>
        <w:spacing w:line="560" w:lineRule="exact"/>
        <w:rPr>
          <w:szCs w:val="32"/>
        </w:rPr>
      </w:pPr>
      <w:r>
        <w:rPr>
          <w:szCs w:val="32"/>
        </w:rPr>
        <w:t>6.</w:t>
      </w:r>
      <w:r>
        <w:rPr>
          <w:rFonts w:hint="eastAsia"/>
          <w:szCs w:val="32"/>
        </w:rPr>
        <w:t>投标人认为为完成本项目所必需的其它费用；</w:t>
      </w:r>
    </w:p>
    <w:p>
      <w:pPr>
        <w:pStyle w:val="6"/>
        <w:tabs>
          <w:tab w:val="left" w:pos="425"/>
        </w:tabs>
        <w:adjustRightInd w:val="0"/>
        <w:snapToGrid w:val="0"/>
        <w:spacing w:line="560" w:lineRule="exact"/>
        <w:rPr>
          <w:szCs w:val="32"/>
        </w:rPr>
      </w:pPr>
      <w:r>
        <w:rPr>
          <w:szCs w:val="32"/>
        </w:rPr>
        <w:t>7.</w:t>
      </w:r>
      <w:r>
        <w:rPr>
          <w:rFonts w:hint="eastAsia"/>
          <w:szCs w:val="32"/>
        </w:rPr>
        <w:t>本项目的报价全部采用人民币含税价格（需提供增值税专用发票）。</w:t>
      </w:r>
    </w:p>
    <w:p>
      <w:pPr>
        <w:pStyle w:val="6"/>
        <w:tabs>
          <w:tab w:val="left" w:pos="425"/>
        </w:tabs>
        <w:adjustRightInd w:val="0"/>
        <w:snapToGrid w:val="0"/>
        <w:spacing w:line="560" w:lineRule="exact"/>
        <w:rPr>
          <w:rFonts w:hint="eastAsia"/>
          <w:szCs w:val="32"/>
          <w:lang w:eastAsia="zh-CN"/>
        </w:rPr>
        <w:sectPr>
          <w:pgSz w:w="11906" w:h="16838"/>
          <w:pgMar w:top="1440" w:right="1800" w:bottom="1440" w:left="1800" w:header="851" w:footer="992" w:gutter="0"/>
          <w:cols w:space="425" w:num="1"/>
          <w:docGrid w:type="lines" w:linePitch="312" w:charSpace="0"/>
        </w:sectPr>
      </w:pPr>
    </w:p>
    <w:p>
      <w:pPr>
        <w:pStyle w:val="6"/>
        <w:tabs>
          <w:tab w:val="left" w:pos="425"/>
        </w:tabs>
        <w:adjustRightInd w:val="0"/>
        <w:snapToGrid w:val="0"/>
        <w:spacing w:line="560" w:lineRule="exact"/>
        <w:rPr>
          <w:rFonts w:hint="eastAsia"/>
          <w:szCs w:val="32"/>
          <w:lang w:eastAsia="zh-CN"/>
        </w:rPr>
      </w:pPr>
    </w:p>
    <w:p>
      <w:pPr>
        <w:pStyle w:val="18"/>
        <w:spacing w:line="560" w:lineRule="exact"/>
        <w:rPr>
          <w:rFonts w:hint="eastAsia" w:ascii="仿宋_GB2312" w:hAnsi="微软雅黑" w:eastAsia="仿宋_GB2312" w:cs="仿宋_GB2312"/>
          <w:kern w:val="0"/>
          <w:sz w:val="32"/>
          <w:szCs w:val="32"/>
          <w:lang w:eastAsia="zh-CN"/>
        </w:rPr>
      </w:pPr>
      <w:r>
        <w:rPr>
          <w:rFonts w:hint="eastAsia" w:ascii="仿宋_GB2312" w:hAnsi="微软雅黑" w:eastAsia="仿宋_GB2312" w:cs="仿宋_GB2312"/>
          <w:kern w:val="0"/>
          <w:sz w:val="32"/>
          <w:szCs w:val="32"/>
          <w:lang w:eastAsia="zh-CN"/>
        </w:rPr>
        <w:t>附件</w:t>
      </w:r>
      <w:r>
        <w:rPr>
          <w:rFonts w:hint="eastAsia" w:ascii="仿宋_GB2312" w:hAnsi="微软雅黑" w:eastAsia="仿宋_GB2312" w:cs="仿宋_GB2312"/>
          <w:kern w:val="0"/>
          <w:sz w:val="32"/>
          <w:szCs w:val="32"/>
          <w:lang w:val="en-US" w:eastAsia="zh-CN"/>
        </w:rPr>
        <w:t>2：</w:t>
      </w:r>
    </w:p>
    <w:p>
      <w:pPr>
        <w:snapToGrid w:val="0"/>
        <w:ind w:left="678" w:hanging="663" w:hangingChars="150"/>
        <w:jc w:val="center"/>
        <w:rPr>
          <w:rFonts w:hint="eastAsia"/>
          <w:b/>
          <w:bCs w:val="0"/>
          <w:sz w:val="44"/>
        </w:rPr>
      </w:pPr>
      <w:r>
        <w:rPr>
          <w:rFonts w:hint="eastAsia"/>
          <w:b/>
          <w:bCs w:val="0"/>
          <w:sz w:val="44"/>
        </w:rPr>
        <w:t xml:space="preserve">神华黄骅港务公司ABB变频器         </w:t>
      </w:r>
      <w:r>
        <w:rPr>
          <w:rFonts w:hint="eastAsia"/>
          <w:b/>
          <w:bCs w:val="0"/>
          <w:sz w:val="44"/>
          <w:lang w:val="en-US" w:eastAsia="zh-CN"/>
        </w:rPr>
        <w:t xml:space="preserve"> </w:t>
      </w:r>
      <w:r>
        <w:rPr>
          <w:rFonts w:hint="eastAsia"/>
          <w:b/>
          <w:bCs w:val="0"/>
          <w:sz w:val="44"/>
        </w:rPr>
        <w:t>技术服务协议</w:t>
      </w:r>
    </w:p>
    <w:p>
      <w:pPr>
        <w:snapToGrid w:val="0"/>
        <w:spacing w:line="360" w:lineRule="auto"/>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一、项目内容及范围：</w:t>
      </w:r>
    </w:p>
    <w:p>
      <w:pPr>
        <w:snapToGrid w:val="0"/>
        <w:spacing w:line="560" w:lineRule="exact"/>
        <w:ind w:firstLine="624" w:firstLineChars="200"/>
        <w:rPr>
          <w:rFonts w:ascii="仿宋_GB2312" w:hAnsi="宋体" w:eastAsia="仿宋_GB2312"/>
          <w:spacing w:val="6"/>
          <w:sz w:val="30"/>
          <w:szCs w:val="30"/>
        </w:rPr>
      </w:pPr>
      <w:r>
        <w:rPr>
          <w:rFonts w:hint="eastAsia" w:ascii="仿宋_GB2312" w:hAnsi="宋体" w:eastAsia="仿宋_GB2312"/>
          <w:spacing w:val="6"/>
          <w:sz w:val="30"/>
          <w:szCs w:val="30"/>
        </w:rPr>
        <w:t>神华黄骅港务公司ABB变频器的技术指导、培训及维修。</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rPr>
        <w:t>二、服务期：</w:t>
      </w:r>
    </w:p>
    <w:p>
      <w:pPr>
        <w:snapToGrid w:val="0"/>
        <w:spacing w:line="360" w:lineRule="auto"/>
        <w:ind w:firstLine="624" w:firstLineChars="200"/>
        <w:jc w:val="left"/>
        <w:rPr>
          <w:rFonts w:ascii="仿宋_GB2312" w:hAnsi="宋体" w:eastAsia="仿宋_GB2312"/>
          <w:spacing w:val="6"/>
          <w:sz w:val="30"/>
          <w:szCs w:val="30"/>
        </w:rPr>
      </w:pPr>
      <w:r>
        <w:rPr>
          <w:rFonts w:hint="eastAsia" w:ascii="仿宋_GB2312" w:hAnsi="宋体" w:eastAsia="仿宋_GB2312"/>
          <w:spacing w:val="6"/>
          <w:sz w:val="30"/>
          <w:szCs w:val="30"/>
        </w:rPr>
        <w:t>2018年5月至2019年5月。服务期内投标方对发包方变频器的日常</w:t>
      </w:r>
      <w:r>
        <w:rPr>
          <w:rFonts w:hint="eastAsia" w:ascii="仿宋_GB2312" w:hAnsi="宋体" w:eastAsia="仿宋_GB2312"/>
          <w:spacing w:val="6"/>
          <w:sz w:val="30"/>
          <w:szCs w:val="30"/>
          <w:lang w:eastAsia="zh-CN"/>
        </w:rPr>
        <w:t>保养</w:t>
      </w:r>
      <w:r>
        <w:rPr>
          <w:rFonts w:hint="eastAsia" w:ascii="仿宋_GB2312" w:hAnsi="宋体" w:eastAsia="仿宋_GB2312"/>
          <w:spacing w:val="6"/>
          <w:sz w:val="30"/>
          <w:szCs w:val="30"/>
        </w:rPr>
        <w:t>、更新升级</w:t>
      </w:r>
      <w:r>
        <w:rPr>
          <w:rFonts w:hint="eastAsia" w:ascii="仿宋_GB2312" w:hAnsi="宋体" w:eastAsia="仿宋_GB2312"/>
          <w:spacing w:val="6"/>
          <w:sz w:val="30"/>
          <w:szCs w:val="30"/>
          <w:lang w:eastAsia="zh-CN"/>
        </w:rPr>
        <w:t>等</w:t>
      </w:r>
      <w:r>
        <w:rPr>
          <w:rFonts w:hint="eastAsia" w:ascii="仿宋_GB2312" w:hAnsi="宋体" w:eastAsia="仿宋_GB2312"/>
          <w:spacing w:val="6"/>
          <w:sz w:val="30"/>
          <w:szCs w:val="30"/>
        </w:rPr>
        <w:t>提供技术支持，并对损坏的变频器提供维修业务。</w:t>
      </w:r>
      <w:bookmarkStart w:id="0" w:name="_GoBack"/>
      <w:bookmarkEnd w:id="0"/>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rPr>
        <w:t>三、服务内容：</w:t>
      </w:r>
    </w:p>
    <w:p>
      <w:pPr>
        <w:spacing w:line="360" w:lineRule="auto"/>
        <w:ind w:firstLine="624" w:firstLineChars="200"/>
        <w:rPr>
          <w:rFonts w:ascii="仿宋_GB2312" w:hAnsi="宋体" w:eastAsia="仿宋_GB2312"/>
          <w:spacing w:val="6"/>
          <w:sz w:val="30"/>
          <w:szCs w:val="30"/>
        </w:rPr>
      </w:pPr>
      <w:r>
        <w:rPr>
          <w:rFonts w:hint="eastAsia" w:ascii="仿宋_GB2312" w:hAnsi="宋体" w:eastAsia="仿宋_GB2312"/>
          <w:spacing w:val="6"/>
          <w:sz w:val="30"/>
          <w:szCs w:val="30"/>
        </w:rPr>
        <w:t>1、技术服务：投标方每个季度安排</w:t>
      </w:r>
      <w:r>
        <w:rPr>
          <w:rFonts w:hint="eastAsia" w:ascii="仿宋_GB2312" w:hAnsi="宋体" w:eastAsia="仿宋_GB2312"/>
          <w:spacing w:val="6"/>
          <w:sz w:val="30"/>
          <w:szCs w:val="30"/>
          <w:lang w:val="en-US" w:eastAsia="zh-CN"/>
        </w:rPr>
        <w:t>ABB授权的</w:t>
      </w:r>
      <w:r>
        <w:rPr>
          <w:rFonts w:hint="eastAsia" w:ascii="仿宋_GB2312" w:hAnsi="宋体" w:eastAsia="仿宋_GB2312"/>
          <w:spacing w:val="6"/>
          <w:sz w:val="30"/>
          <w:szCs w:val="30"/>
          <w:highlight w:val="none"/>
        </w:rPr>
        <w:t>工程师</w:t>
      </w:r>
      <w:r>
        <w:rPr>
          <w:rFonts w:hint="eastAsia" w:ascii="仿宋_GB2312" w:hAnsi="宋体" w:eastAsia="仿宋_GB2312"/>
          <w:spacing w:val="6"/>
          <w:sz w:val="30"/>
          <w:szCs w:val="30"/>
        </w:rPr>
        <w:t>协助招标方对全厂ABB变频器进行</w:t>
      </w:r>
      <w:r>
        <w:rPr>
          <w:rFonts w:hint="eastAsia" w:ascii="仿宋_GB2312" w:hAnsi="宋体" w:eastAsia="仿宋_GB2312"/>
          <w:spacing w:val="6"/>
          <w:sz w:val="30"/>
          <w:szCs w:val="30"/>
          <w:lang w:eastAsia="zh-CN"/>
        </w:rPr>
        <w:t>为期五天的</w:t>
      </w:r>
      <w:r>
        <w:rPr>
          <w:rFonts w:hint="eastAsia" w:ascii="仿宋_GB2312" w:hAnsi="宋体" w:eastAsia="仿宋_GB2312"/>
          <w:spacing w:val="6"/>
          <w:sz w:val="30"/>
          <w:szCs w:val="30"/>
        </w:rPr>
        <w:t>日常维保指导（清扫、除尘、散热处理等）及现场培训等技术服务。经招标方认可后，投标方相应收取服务费用，服务费用参见附件</w:t>
      </w:r>
      <w:r>
        <w:rPr>
          <w:rFonts w:hint="eastAsia" w:ascii="仿宋_GB2312" w:hAnsi="宋体" w:eastAsia="仿宋_GB2312"/>
          <w:spacing w:val="6"/>
          <w:sz w:val="30"/>
          <w:szCs w:val="30"/>
          <w:lang w:val="en-US" w:eastAsia="zh-CN"/>
        </w:rPr>
        <w:t>4</w:t>
      </w:r>
      <w:r>
        <w:rPr>
          <w:rFonts w:hint="eastAsia" w:ascii="仿宋_GB2312" w:hAnsi="宋体" w:eastAsia="仿宋_GB2312"/>
          <w:spacing w:val="6"/>
          <w:sz w:val="30"/>
          <w:szCs w:val="30"/>
        </w:rPr>
        <w:t>。</w:t>
      </w:r>
      <w:r>
        <w:rPr>
          <w:rFonts w:hint="eastAsia" w:ascii="仿宋_GB2312" w:hAnsi="宋体" w:eastAsia="仿宋_GB2312"/>
          <w:spacing w:val="6"/>
          <w:sz w:val="30"/>
          <w:szCs w:val="30"/>
          <w:lang w:eastAsia="zh-CN"/>
        </w:rPr>
        <w:t>培训时间由招标方提前一周通知。</w:t>
      </w:r>
      <w:r>
        <w:rPr>
          <w:rFonts w:hint="eastAsia" w:ascii="仿宋_GB2312" w:hAnsi="宋体" w:eastAsia="仿宋_GB2312"/>
          <w:spacing w:val="6"/>
          <w:sz w:val="30"/>
          <w:szCs w:val="30"/>
        </w:rPr>
        <w:t>投标方有义务</w:t>
      </w:r>
      <w:r>
        <w:rPr>
          <w:rFonts w:hint="eastAsia" w:ascii="仿宋_GB2312" w:hAnsi="宋体" w:eastAsia="仿宋_GB2312"/>
          <w:spacing w:val="6"/>
          <w:sz w:val="30"/>
          <w:szCs w:val="30"/>
          <w:lang w:eastAsia="zh-CN"/>
        </w:rPr>
        <w:t>根据招标方要求</w:t>
      </w:r>
      <w:r>
        <w:rPr>
          <w:rFonts w:hint="eastAsia" w:ascii="仿宋_GB2312" w:hAnsi="宋体" w:eastAsia="仿宋_GB2312"/>
          <w:spacing w:val="6"/>
          <w:sz w:val="30"/>
          <w:szCs w:val="30"/>
        </w:rPr>
        <w:t>指导设备升级选型及提供常规备件库存储备方案。</w:t>
      </w:r>
    </w:p>
    <w:p>
      <w:pPr>
        <w:spacing w:line="360" w:lineRule="auto"/>
        <w:ind w:firstLine="624" w:firstLineChars="200"/>
        <w:rPr>
          <w:rFonts w:ascii="仿宋_GB2312" w:hAnsi="宋体" w:eastAsia="仿宋_GB2312"/>
          <w:spacing w:val="6"/>
          <w:sz w:val="30"/>
          <w:szCs w:val="30"/>
        </w:rPr>
      </w:pPr>
      <w:r>
        <w:rPr>
          <w:rFonts w:hint="eastAsia" w:ascii="仿宋_GB2312" w:hAnsi="宋体" w:eastAsia="仿宋_GB2312"/>
          <w:spacing w:val="6"/>
          <w:sz w:val="30"/>
          <w:szCs w:val="30"/>
        </w:rPr>
        <w:t>2、设备维修服务：设备发生突发故障后，招标方可将现场故障设备的型号、序列号，故障代码、简单故障描述等提供给投标方，投标方需在12小时内达到招标方指定地点对故障设备进行检测诊断并根据检测情况经招标方允许后组织现场维修（或返厂维修）；要求：</w:t>
      </w:r>
    </w:p>
    <w:p>
      <w:pPr>
        <w:spacing w:line="360" w:lineRule="auto"/>
        <w:ind w:firstLine="312" w:firstLineChars="100"/>
        <w:rPr>
          <w:rFonts w:hint="eastAsia" w:ascii="仿宋_GB2312" w:hAnsi="宋体" w:eastAsia="仿宋_GB2312"/>
          <w:spacing w:val="6"/>
          <w:sz w:val="30"/>
          <w:szCs w:val="30"/>
        </w:rPr>
      </w:pPr>
      <w:r>
        <w:rPr>
          <w:rFonts w:hint="eastAsia" w:ascii="仿宋_GB2312" w:hAnsi="宋体" w:eastAsia="仿宋_GB2312"/>
          <w:spacing w:val="6"/>
          <w:sz w:val="30"/>
          <w:szCs w:val="30"/>
        </w:rPr>
        <w:t>（1）所更换元件必须提供ABB原厂证明，换下部件需同时运回招标方厂区指定地点。</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（2）IGBT一旦损坏，投标方须对一组IGBT进行更换。</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（3）投标方维修完成后需向招标方提交检测报告、出厂合格证明、及维修量确认单等材料。</w:t>
      </w:r>
      <w:r>
        <w:rPr>
          <w:rFonts w:hint="eastAsia" w:ascii="仿宋_GB2312" w:hAnsi="宋体" w:eastAsia="仿宋_GB2312"/>
          <w:spacing w:val="6"/>
          <w:sz w:val="30"/>
          <w:szCs w:val="30"/>
          <w:lang w:eastAsia="zh-CN"/>
        </w:rPr>
        <w:t>并将维修时间、维修单位及变频器基本参数以标牌或标签的形式固定到返修变频器上。</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（4）招标方有义务为投标方工程师提供施工所需的图纸、场地、水、电等便利条件。</w:t>
      </w:r>
    </w:p>
    <w:p>
      <w:pPr>
        <w:snapToGrid w:val="0"/>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四、验收标准</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1、变频器需满足</w:t>
      </w:r>
      <w:r>
        <w:rPr>
          <w:rFonts w:ascii="仿宋_GB2312" w:hAnsi="宋体" w:eastAsia="仿宋_GB2312"/>
          <w:spacing w:val="6"/>
          <w:sz w:val="30"/>
          <w:szCs w:val="30"/>
        </w:rPr>
        <w:t>GB/T3886.1</w:t>
      </w:r>
      <w:r>
        <w:rPr>
          <w:rFonts w:hint="eastAsia" w:ascii="仿宋_GB2312" w:hAnsi="宋体" w:eastAsia="仿宋_GB2312"/>
          <w:spacing w:val="6"/>
          <w:sz w:val="30"/>
          <w:szCs w:val="30"/>
        </w:rPr>
        <w:t>、</w:t>
      </w:r>
      <w:r>
        <w:rPr>
          <w:rFonts w:ascii="仿宋_GB2312" w:hAnsi="宋体" w:eastAsia="仿宋_GB2312"/>
          <w:spacing w:val="6"/>
          <w:sz w:val="30"/>
          <w:szCs w:val="30"/>
        </w:rPr>
        <w:t>GB/T3886.</w:t>
      </w:r>
      <w:r>
        <w:rPr>
          <w:rFonts w:hint="eastAsia" w:ascii="仿宋_GB2312" w:hAnsi="宋体" w:eastAsia="仿宋_GB2312"/>
          <w:spacing w:val="6"/>
          <w:sz w:val="30"/>
          <w:szCs w:val="30"/>
        </w:rPr>
        <w:t>2、</w:t>
      </w:r>
      <w:r>
        <w:rPr>
          <w:rFonts w:ascii="仿宋_GB2312" w:hAnsi="宋体" w:eastAsia="仿宋_GB2312"/>
          <w:spacing w:val="6"/>
          <w:sz w:val="30"/>
          <w:szCs w:val="30"/>
        </w:rPr>
        <w:t>GB3886.</w:t>
      </w:r>
      <w:r>
        <w:rPr>
          <w:rFonts w:hint="eastAsia" w:ascii="仿宋_GB2312" w:hAnsi="宋体" w:eastAsia="仿宋_GB2312"/>
          <w:spacing w:val="6"/>
          <w:sz w:val="30"/>
          <w:szCs w:val="30"/>
        </w:rPr>
        <w:t>3、</w:t>
      </w:r>
      <w:r>
        <w:rPr>
          <w:rFonts w:ascii="仿宋_GB2312" w:hAnsi="宋体" w:eastAsia="仿宋_GB2312"/>
          <w:spacing w:val="6"/>
          <w:sz w:val="30"/>
          <w:szCs w:val="30"/>
        </w:rPr>
        <w:t>GB/T3886.</w:t>
      </w:r>
      <w:r>
        <w:rPr>
          <w:rFonts w:hint="eastAsia" w:ascii="仿宋_GB2312" w:hAnsi="宋体" w:eastAsia="仿宋_GB2312"/>
          <w:spacing w:val="6"/>
          <w:sz w:val="30"/>
          <w:szCs w:val="30"/>
        </w:rPr>
        <w:t>4、</w:t>
      </w:r>
      <w:r>
        <w:rPr>
          <w:rFonts w:ascii="仿宋_GB2312" w:hAnsi="宋体" w:eastAsia="仿宋_GB2312"/>
          <w:spacing w:val="6"/>
          <w:sz w:val="30"/>
          <w:szCs w:val="30"/>
        </w:rPr>
        <w:t>GB3886.</w:t>
      </w:r>
      <w:r>
        <w:rPr>
          <w:rFonts w:hint="eastAsia" w:ascii="仿宋_GB2312" w:hAnsi="宋体" w:eastAsia="仿宋_GB2312"/>
          <w:spacing w:val="6"/>
          <w:sz w:val="30"/>
          <w:szCs w:val="30"/>
        </w:rPr>
        <w:t>5、</w:t>
      </w:r>
      <w:r>
        <w:rPr>
          <w:rFonts w:ascii="仿宋_GB2312" w:hAnsi="宋体" w:eastAsia="仿宋_GB2312"/>
          <w:spacing w:val="6"/>
          <w:sz w:val="30"/>
          <w:szCs w:val="30"/>
        </w:rPr>
        <w:t>GB/T3886.</w:t>
      </w:r>
      <w:r>
        <w:rPr>
          <w:rFonts w:hint="eastAsia" w:ascii="仿宋_GB2312" w:hAnsi="宋体" w:eastAsia="仿宋_GB2312"/>
          <w:spacing w:val="6"/>
          <w:sz w:val="30"/>
          <w:szCs w:val="30"/>
        </w:rPr>
        <w:t>6等国标的相关要求。</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2、外观正常，无损坏及变形</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3、输入/输出端与外壳绝缘测试试验合格</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4、额定输入电压时输出电压正常</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5、控制回路与外壳之间耐压试验合格</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6、正向、反向传动，定时加速、定时减速，输入输出数据等正常。</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7、轻载能力、额定电流测试数据正常</w:t>
      </w:r>
      <w:r>
        <w:rPr>
          <w:rFonts w:hint="eastAsia" w:ascii="仿宋_GB2312" w:hAnsi="宋体" w:eastAsia="仿宋_GB2312"/>
          <w:spacing w:val="6"/>
          <w:sz w:val="30"/>
          <w:szCs w:val="30"/>
          <w:lang w:eastAsia="zh-CN"/>
        </w:rPr>
        <w:t>。</w:t>
      </w:r>
    </w:p>
    <w:p>
      <w:pPr>
        <w:spacing w:line="360" w:lineRule="auto"/>
        <w:ind w:firstLine="312" w:firstLineChars="100"/>
        <w:rPr>
          <w:rFonts w:ascii="仿宋_GB2312" w:hAnsi="宋体" w:eastAsia="仿宋_GB2312"/>
          <w:spacing w:val="6"/>
          <w:sz w:val="30"/>
          <w:szCs w:val="30"/>
        </w:rPr>
      </w:pPr>
      <w:r>
        <w:rPr>
          <w:rFonts w:hint="eastAsia" w:ascii="仿宋_GB2312" w:hAnsi="宋体" w:eastAsia="仿宋_GB2312"/>
          <w:spacing w:val="6"/>
          <w:sz w:val="30"/>
          <w:szCs w:val="30"/>
        </w:rPr>
        <w:t>8、1.5倍-2倍过电流能力试验合格</w:t>
      </w:r>
      <w:r>
        <w:rPr>
          <w:rFonts w:hint="eastAsia" w:ascii="仿宋_GB2312" w:hAnsi="宋体" w:eastAsia="仿宋_GB2312"/>
          <w:spacing w:val="6"/>
          <w:sz w:val="30"/>
          <w:szCs w:val="30"/>
          <w:lang w:eastAsia="zh-CN"/>
        </w:rPr>
        <w:t>。</w:t>
      </w:r>
    </w:p>
    <w:p>
      <w:pPr>
        <w:snapToGrid w:val="0"/>
        <w:spacing w:line="360" w:lineRule="auto"/>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五、报价及结算方式</w:t>
      </w:r>
    </w:p>
    <w:p>
      <w:pPr>
        <w:snapToGrid w:val="0"/>
        <w:spacing w:line="360" w:lineRule="auto"/>
        <w:ind w:left="-315" w:leftChars="-150"/>
        <w:jc w:val="left"/>
        <w:rPr>
          <w:rFonts w:hint="eastAsia" w:ascii="仿宋_GB2312" w:hAnsi="Times New Roman" w:eastAsia="仿宋_GB2312"/>
          <w:b/>
          <w:sz w:val="30"/>
          <w:szCs w:val="30"/>
        </w:rPr>
      </w:pPr>
      <w:r>
        <w:rPr>
          <w:rFonts w:hint="eastAsia" w:ascii="仿宋_GB2312" w:hAnsi="Times New Roman" w:eastAsia="仿宋_GB2312"/>
          <w:b/>
          <w:sz w:val="30"/>
          <w:szCs w:val="30"/>
        </w:rPr>
        <w:t xml:space="preserve"> </w:t>
      </w:r>
      <w:r>
        <w:rPr>
          <w:rFonts w:hint="eastAsia" w:ascii="仿宋_GB2312" w:hAnsi="Times New Roman" w:eastAsia="仿宋_GB2312"/>
          <w:b/>
          <w:sz w:val="30"/>
          <w:szCs w:val="30"/>
          <w:lang w:val="en-US" w:eastAsia="zh-CN"/>
        </w:rPr>
        <w:t xml:space="preserve"> </w:t>
      </w:r>
      <w:r>
        <w:rPr>
          <w:rFonts w:hint="eastAsia" w:ascii="仿宋_GB2312" w:hAnsi="Times New Roman" w:eastAsia="仿宋_GB2312"/>
          <w:b/>
          <w:sz w:val="30"/>
          <w:szCs w:val="30"/>
        </w:rPr>
        <w:t xml:space="preserve"> </w:t>
      </w:r>
      <w:r>
        <w:rPr>
          <w:rFonts w:hint="eastAsia" w:ascii="仿宋_GB2312" w:hAnsi="Times New Roman" w:eastAsia="仿宋_GB2312"/>
          <w:b/>
          <w:sz w:val="30"/>
          <w:szCs w:val="30"/>
          <w:lang w:val="en-US" w:eastAsia="zh-CN"/>
        </w:rPr>
        <w:t xml:space="preserve"> </w:t>
      </w:r>
      <w:r>
        <w:rPr>
          <w:rFonts w:hint="eastAsia" w:ascii="仿宋_GB2312" w:hAnsi="宋体" w:eastAsia="仿宋_GB2312"/>
          <w:spacing w:val="6"/>
          <w:sz w:val="30"/>
          <w:szCs w:val="30"/>
        </w:rPr>
        <w:t>1、变频器技术服务报价采用单价形式进行报价。</w:t>
      </w:r>
      <w:r>
        <w:rPr>
          <w:rFonts w:hint="eastAsia" w:ascii="仿宋_GB2312" w:hAnsi="Times New Roman" w:eastAsia="仿宋_GB2312"/>
          <w:b/>
          <w:sz w:val="30"/>
          <w:szCs w:val="30"/>
        </w:rPr>
        <w:t xml:space="preserve"> </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rPr>
        <w:t xml:space="preserve">  </w:t>
      </w:r>
      <w:r>
        <w:rPr>
          <w:rFonts w:hint="eastAsia" w:ascii="仿宋_GB2312" w:hAnsi="Times New Roman" w:eastAsia="仿宋_GB2312"/>
          <w:b/>
          <w:sz w:val="30"/>
          <w:szCs w:val="30"/>
          <w:lang w:val="en-US" w:eastAsia="zh-CN"/>
        </w:rPr>
        <w:t xml:space="preserve">  </w:t>
      </w:r>
      <w:r>
        <w:rPr>
          <w:rFonts w:hint="eastAsia" w:ascii="仿宋_GB2312" w:hAnsi="宋体" w:eastAsia="仿宋_GB2312"/>
          <w:spacing w:val="6"/>
          <w:sz w:val="30"/>
          <w:szCs w:val="30"/>
        </w:rPr>
        <w:t xml:space="preserve">2、最终工程结算以实际发生工程量进行结算，即：工程结算价 = </w:t>
      </w:r>
      <w:r>
        <w:rPr>
          <w:rFonts w:hint="eastAsia" w:ascii="仿宋_GB2312" w:hAnsi="宋体" w:eastAsia="仿宋_GB2312"/>
          <w:spacing w:val="6"/>
          <w:sz w:val="30"/>
          <w:szCs w:val="30"/>
          <w:lang w:eastAsia="zh-CN"/>
        </w:rPr>
        <w:t>季度性技术服务</w:t>
      </w:r>
      <w:r>
        <w:rPr>
          <w:rFonts w:hint="eastAsia" w:ascii="仿宋_GB2312" w:hAnsi="宋体" w:eastAsia="仿宋_GB2312"/>
          <w:spacing w:val="6"/>
          <w:sz w:val="30"/>
          <w:szCs w:val="30"/>
        </w:rPr>
        <w:t>费+∑实际发生维修量×该项投标单价。每半年结算一次，结算时承包方需提前提供增值税专用发票。</w:t>
      </w:r>
    </w:p>
    <w:p>
      <w:pPr>
        <w:snapToGrid w:val="0"/>
        <w:spacing w:line="360" w:lineRule="auto"/>
        <w:ind w:left="-315" w:leftChars="-150"/>
        <w:jc w:val="left"/>
        <w:rPr>
          <w:rFonts w:ascii="仿宋_GB2312" w:hAnsi="Times New Roman" w:eastAsia="仿宋_GB2312"/>
          <w:b/>
          <w:sz w:val="30"/>
          <w:szCs w:val="30"/>
        </w:rPr>
      </w:pPr>
      <w:r>
        <w:rPr>
          <w:rFonts w:hint="eastAsia" w:ascii="仿宋_GB2312" w:hAnsi="Times New Roman" w:eastAsia="仿宋_GB2312"/>
          <w:b/>
          <w:sz w:val="30"/>
          <w:szCs w:val="30"/>
          <w:lang w:eastAsia="zh-CN"/>
        </w:rPr>
        <w:t>六</w:t>
      </w:r>
      <w:r>
        <w:rPr>
          <w:rFonts w:hint="eastAsia" w:ascii="仿宋_GB2312" w:hAnsi="Times New Roman" w:eastAsia="仿宋_GB2312"/>
          <w:b/>
          <w:sz w:val="30"/>
          <w:szCs w:val="30"/>
        </w:rPr>
        <w:t>、项目质保：</w:t>
      </w:r>
    </w:p>
    <w:p>
      <w:pPr>
        <w:snapToGrid w:val="0"/>
        <w:spacing w:line="360" w:lineRule="auto"/>
        <w:ind w:firstLine="312" w:firstLineChars="100"/>
        <w:rPr>
          <w:rFonts w:hint="eastAsia" w:ascii="仿宋_GB2312" w:hAnsi="宋体" w:eastAsia="仿宋_GB2312"/>
          <w:spacing w:val="6"/>
          <w:sz w:val="30"/>
          <w:szCs w:val="30"/>
        </w:rPr>
        <w:sectPr>
          <w:pgSz w:w="11906" w:h="16838"/>
          <w:pgMar w:top="1440" w:right="1800" w:bottom="1440" w:left="1800" w:header="851" w:footer="992" w:gutter="0"/>
          <w:cols w:space="425" w:num="1"/>
          <w:docGrid w:type="lines" w:linePitch="312" w:charSpace="0"/>
        </w:sectPr>
      </w:pPr>
      <w:r>
        <w:rPr>
          <w:rFonts w:hint="eastAsia" w:ascii="仿宋_GB2312" w:hAnsi="宋体" w:eastAsia="仿宋_GB2312"/>
          <w:spacing w:val="6"/>
          <w:sz w:val="30"/>
          <w:szCs w:val="30"/>
        </w:rPr>
        <w:t>1、维修后变频器质保期为12个月，质保期范围内若变频器不能满足现场运行条件，承包方须重新对变频器进行返厂维修，直至变频器满足运行条件为止。</w:t>
      </w:r>
    </w:p>
    <w:p>
      <w:pPr>
        <w:rPr>
          <w:rFonts w:ascii="宋体" w:hAnsi="宋体" w:cs="宋体"/>
          <w:b w:val="0"/>
          <w:bCs w:val="0"/>
          <w:sz w:val="28"/>
          <w:szCs w:val="28"/>
        </w:rPr>
      </w:pPr>
      <w:r>
        <w:rPr>
          <w:rFonts w:hint="eastAsia" w:ascii="宋体" w:hAnsi="宋体" w:cs="宋体"/>
          <w:b w:val="0"/>
          <w:bCs w:val="0"/>
          <w:sz w:val="28"/>
          <w:szCs w:val="28"/>
        </w:rPr>
        <w:t>附件</w:t>
      </w:r>
      <w:r>
        <w:rPr>
          <w:rFonts w:hint="eastAsia" w:ascii="宋体" w:hAnsi="宋体" w:cs="宋体"/>
          <w:b w:val="0"/>
          <w:bCs w:val="0"/>
          <w:sz w:val="28"/>
          <w:szCs w:val="28"/>
          <w:lang w:val="en-US" w:eastAsia="zh-CN"/>
        </w:rPr>
        <w:t>3</w:t>
      </w:r>
      <w:r>
        <w:rPr>
          <w:rFonts w:hint="eastAsia" w:ascii="宋体" w:hAnsi="宋体" w:cs="宋体"/>
          <w:b w:val="0"/>
          <w:bCs w:val="0"/>
          <w:sz w:val="28"/>
          <w:szCs w:val="28"/>
        </w:rPr>
        <w:t>：</w:t>
      </w:r>
    </w:p>
    <w:p>
      <w:pPr>
        <w:jc w:val="center"/>
        <w:rPr>
          <w:rFonts w:ascii="宋体" w:hAnsi="宋体" w:cs="宋体"/>
          <w:b/>
          <w:bCs/>
          <w:sz w:val="28"/>
          <w:szCs w:val="28"/>
        </w:rPr>
      </w:pPr>
      <w:r>
        <w:rPr>
          <w:rFonts w:hint="eastAsia" w:ascii="宋体" w:hAnsi="宋体" w:cs="宋体"/>
          <w:b/>
          <w:bCs/>
          <w:sz w:val="28"/>
          <w:szCs w:val="28"/>
        </w:rPr>
        <w:t>ABB变频器维</w:t>
      </w:r>
      <w:r>
        <w:rPr>
          <w:rFonts w:hint="eastAsia" w:ascii="宋体" w:hAnsi="宋体" w:cs="宋体"/>
          <w:b/>
          <w:bCs/>
          <w:sz w:val="28"/>
          <w:szCs w:val="28"/>
          <w:lang w:eastAsia="zh-CN"/>
        </w:rPr>
        <w:t>保</w:t>
      </w:r>
      <w:r>
        <w:rPr>
          <w:rFonts w:hint="eastAsia" w:ascii="宋体" w:hAnsi="宋体" w:cs="宋体"/>
          <w:b/>
          <w:bCs/>
          <w:sz w:val="28"/>
          <w:szCs w:val="28"/>
        </w:rPr>
        <w:t>分项报价单</w:t>
      </w:r>
    </w:p>
    <w:tbl>
      <w:tblPr>
        <w:tblStyle w:val="14"/>
        <w:tblW w:w="130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
      <w:tblGrid>
        <w:gridCol w:w="1342"/>
        <w:gridCol w:w="1759"/>
        <w:gridCol w:w="1595"/>
        <w:gridCol w:w="1636"/>
        <w:gridCol w:w="1337"/>
        <w:gridCol w:w="1418"/>
        <w:gridCol w:w="1364"/>
        <w:gridCol w:w="1200"/>
        <w:gridCol w:w="139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615"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序号</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项目类别</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功率</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分项名称</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分项单价控制价</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分项单项投标报价</w:t>
            </w: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预计维修数量</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分项总价控制价</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b/>
                <w:bCs/>
                <w:i w:val="0"/>
                <w:color w:val="000000"/>
                <w:sz w:val="22"/>
                <w:szCs w:val="22"/>
                <w:u w:val="none"/>
              </w:rPr>
            </w:pPr>
            <w:r>
              <w:rPr>
                <w:rFonts w:hint="eastAsia" w:ascii="宋体" w:hAnsi="宋体" w:eastAsia="宋体" w:cs="宋体"/>
                <w:b/>
                <w:bCs/>
                <w:i w:val="0"/>
                <w:color w:val="000000"/>
                <w:kern w:val="0"/>
                <w:sz w:val="22"/>
                <w:szCs w:val="22"/>
                <w:u w:val="none"/>
                <w:lang w:val="en-US" w:eastAsia="zh-CN" w:bidi="ar"/>
              </w:rPr>
              <w:t>分项总价投标报价</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0"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175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技术服务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4</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75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维修服务</w:t>
            </w:r>
          </w:p>
        </w:tc>
        <w:tc>
          <w:tcPr>
            <w:tcW w:w="1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0＜X≤20KW</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1100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w:t>
            </w:r>
            <w:r>
              <w:rPr>
                <w:rFonts w:hint="eastAsia" w:ascii="宋体" w:hAnsi="宋体" w:cs="宋体"/>
                <w:i w:val="0"/>
                <w:color w:val="000000"/>
                <w:kern w:val="0"/>
                <w:sz w:val="20"/>
                <w:szCs w:val="20"/>
                <w:u w:val="none"/>
                <w:lang w:val="en-US" w:eastAsia="zh-CN" w:bidi="ar"/>
              </w:rPr>
              <w:t>（组）</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20＜X≤100KW</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2"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52"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w:t>
            </w:r>
            <w:r>
              <w:rPr>
                <w:rFonts w:hint="eastAsia" w:ascii="宋体" w:hAnsi="宋体" w:cs="宋体"/>
                <w:i w:val="0"/>
                <w:color w:val="000000"/>
                <w:kern w:val="0"/>
                <w:sz w:val="20"/>
                <w:szCs w:val="20"/>
                <w:u w:val="none"/>
                <w:lang w:val="en-US" w:eastAsia="zh-CN" w:bidi="ar"/>
              </w:rPr>
              <w:t>（组）</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16500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33000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07"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11</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800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800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28"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12</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100＜X≤300KW</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5000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21"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13</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6000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460"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14</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w:t>
            </w:r>
            <w:r>
              <w:rPr>
                <w:rFonts w:hint="eastAsia" w:ascii="宋体" w:hAnsi="宋体" w:cs="宋体"/>
                <w:i w:val="0"/>
                <w:color w:val="000000"/>
                <w:kern w:val="0"/>
                <w:sz w:val="20"/>
                <w:szCs w:val="20"/>
                <w:u w:val="none"/>
                <w:lang w:val="en-US" w:eastAsia="zh-CN" w:bidi="ar"/>
              </w:rPr>
              <w:t>（组）</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33000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66000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394"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15</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2400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433"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16</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1800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17</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p>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300＜X≤500KW</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7500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7500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18</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9000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19</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w:t>
            </w:r>
            <w:r>
              <w:rPr>
                <w:rFonts w:hint="eastAsia" w:ascii="宋体" w:hAnsi="宋体" w:cs="宋体"/>
                <w:i w:val="0"/>
                <w:color w:val="000000"/>
                <w:kern w:val="0"/>
                <w:sz w:val="20"/>
                <w:szCs w:val="20"/>
                <w:u w:val="none"/>
                <w:lang w:val="en-US" w:eastAsia="zh-CN" w:bidi="ar"/>
              </w:rPr>
              <w:t>（组）</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48000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96000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20</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3600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3600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21</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2500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41"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22</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X＞500KW</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电源板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23</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主控板</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24</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IGBT</w:t>
            </w:r>
            <w:r>
              <w:rPr>
                <w:rFonts w:hint="eastAsia" w:ascii="宋体" w:hAnsi="宋体" w:cs="宋体"/>
                <w:i w:val="0"/>
                <w:color w:val="000000"/>
                <w:kern w:val="0"/>
                <w:sz w:val="20"/>
                <w:szCs w:val="20"/>
                <w:u w:val="none"/>
                <w:lang w:val="en-US" w:eastAsia="zh-CN" w:bidi="ar"/>
              </w:rPr>
              <w:t>（组）</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54000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2</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108000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电容</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15" w:type="dxa"/>
            <w:left w:w="15" w:type="dxa"/>
            <w:bottom w:w="15" w:type="dxa"/>
            <w:right w:w="15" w:type="dxa"/>
          </w:tblCellMar>
        </w:tblPrEx>
        <w:trPr>
          <w:trHeight w:val="286" w:hRule="atLeast"/>
        </w:trPr>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26</w:t>
            </w:r>
          </w:p>
        </w:tc>
        <w:tc>
          <w:tcPr>
            <w:tcW w:w="175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59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0"/>
                <w:szCs w:val="20"/>
                <w:u w:val="none"/>
              </w:rPr>
            </w:pPr>
            <w:r>
              <w:rPr>
                <w:rFonts w:hint="eastAsia" w:ascii="宋体" w:hAnsi="宋体" w:eastAsia="宋体" w:cs="宋体"/>
                <w:i w:val="0"/>
                <w:color w:val="000000"/>
                <w:kern w:val="0"/>
                <w:sz w:val="20"/>
                <w:szCs w:val="20"/>
                <w:u w:val="none"/>
                <w:lang w:val="en-US" w:eastAsia="zh-CN" w:bidi="ar"/>
              </w:rPr>
              <w:t>电阻</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color w:val="000000"/>
                <w:sz w:val="20"/>
                <w:szCs w:val="20"/>
                <w:u w:val="none"/>
              </w:rPr>
            </w:pPr>
            <w:r>
              <w:rPr>
                <w:rFonts w:hint="eastAsia" w:ascii="黑体" w:hAnsi="宋体" w:eastAsia="黑体" w:cs="黑体"/>
                <w:i w:val="0"/>
                <w:color w:val="000000"/>
                <w:kern w:val="0"/>
                <w:sz w:val="20"/>
                <w:szCs w:val="20"/>
                <w:u w:val="none"/>
                <w:lang w:val="en-US" w:eastAsia="zh-CN" w:bidi="ar"/>
              </w:rPr>
              <w:t>1</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3000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15" w:type="dxa"/>
            <w:left w:w="15" w:type="dxa"/>
            <w:bottom w:w="15" w:type="dxa"/>
            <w:right w:w="15" w:type="dxa"/>
          </w:tblCellMar>
        </w:tblPrEx>
        <w:trPr>
          <w:trHeight w:val="286" w:hRule="atLeast"/>
        </w:trPr>
        <w:tc>
          <w:tcPr>
            <w:tcW w:w="310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59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63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337"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250200</w:t>
            </w:r>
          </w:p>
        </w:tc>
        <w:tc>
          <w:tcPr>
            <w:tcW w:w="14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黑体" w:hAnsi="宋体" w:eastAsia="黑体" w:cs="黑体"/>
                <w:i w:val="0"/>
                <w:color w:val="000000"/>
                <w:sz w:val="20"/>
                <w:szCs w:val="20"/>
                <w:u w:val="none"/>
              </w:rPr>
            </w:pPr>
          </w:p>
        </w:tc>
        <w:tc>
          <w:tcPr>
            <w:tcW w:w="136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w:t>
            </w:r>
          </w:p>
        </w:tc>
        <w:tc>
          <w:tcPr>
            <w:tcW w:w="12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454200</w:t>
            </w:r>
          </w:p>
        </w:tc>
        <w:tc>
          <w:tcPr>
            <w:tcW w:w="1391"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color w:val="000000"/>
                <w:sz w:val="22"/>
                <w:szCs w:val="22"/>
                <w:u w:val="none"/>
              </w:rPr>
            </w:pPr>
          </w:p>
        </w:tc>
      </w:tr>
    </w:tbl>
    <w:p>
      <w:pPr>
        <w:jc w:val="left"/>
        <w:rPr>
          <w:rFonts w:ascii="仿宋_GB2312" w:hAnsi="宋体" w:eastAsia="仿宋_GB2312"/>
          <w:spacing w:val="6"/>
          <w:sz w:val="30"/>
          <w:szCs w:val="30"/>
        </w:rPr>
      </w:pPr>
      <w:r>
        <w:rPr>
          <w:rFonts w:hint="eastAsia" w:ascii="宋体" w:hAnsi="宋体" w:cs="宋体"/>
          <w:b/>
          <w:bCs/>
          <w:sz w:val="28"/>
          <w:szCs w:val="28"/>
        </w:rPr>
        <w:t>备注：</w:t>
      </w:r>
      <w:r>
        <w:rPr>
          <w:rFonts w:hint="eastAsia" w:ascii="仿宋_GB2312" w:hAnsi="宋体" w:eastAsia="仿宋_GB2312"/>
          <w:spacing w:val="6"/>
          <w:sz w:val="30"/>
          <w:szCs w:val="30"/>
        </w:rPr>
        <w:t>1、ABB变频器技术服务包含</w:t>
      </w:r>
      <w:r>
        <w:rPr>
          <w:rFonts w:hint="eastAsia" w:ascii="仿宋_GB2312" w:hAnsi="宋体" w:eastAsia="仿宋_GB2312"/>
          <w:spacing w:val="6"/>
          <w:sz w:val="30"/>
          <w:szCs w:val="30"/>
          <w:lang w:eastAsia="zh-CN"/>
        </w:rPr>
        <w:t>季度性技术支持</w:t>
      </w:r>
      <w:r>
        <w:rPr>
          <w:rFonts w:hint="eastAsia" w:ascii="仿宋_GB2312" w:hAnsi="宋体" w:eastAsia="仿宋_GB2312"/>
          <w:spacing w:val="6"/>
          <w:sz w:val="30"/>
          <w:szCs w:val="30"/>
        </w:rPr>
        <w:t>及</w:t>
      </w:r>
      <w:r>
        <w:rPr>
          <w:rFonts w:hint="eastAsia" w:ascii="仿宋_GB2312" w:hAnsi="宋体" w:eastAsia="仿宋_GB2312"/>
          <w:spacing w:val="6"/>
          <w:sz w:val="30"/>
          <w:szCs w:val="30"/>
          <w:lang w:eastAsia="zh-CN"/>
        </w:rPr>
        <w:t>应急性</w:t>
      </w:r>
      <w:r>
        <w:rPr>
          <w:rFonts w:hint="eastAsia" w:ascii="仿宋_GB2312" w:hAnsi="宋体" w:eastAsia="仿宋_GB2312"/>
          <w:spacing w:val="6"/>
          <w:sz w:val="30"/>
          <w:szCs w:val="30"/>
        </w:rPr>
        <w:t>维修两部分。</w:t>
      </w:r>
      <w:r>
        <w:rPr>
          <w:rFonts w:hint="eastAsia" w:ascii="仿宋_GB2312" w:hAnsi="宋体" w:eastAsia="仿宋_GB2312"/>
          <w:spacing w:val="6"/>
          <w:sz w:val="30"/>
          <w:szCs w:val="30"/>
          <w:lang w:eastAsia="zh-CN"/>
        </w:rPr>
        <w:t>技术支持</w:t>
      </w:r>
      <w:r>
        <w:rPr>
          <w:rFonts w:hint="eastAsia" w:ascii="仿宋_GB2312" w:hAnsi="宋体" w:eastAsia="仿宋_GB2312"/>
          <w:spacing w:val="6"/>
          <w:sz w:val="30"/>
          <w:szCs w:val="30"/>
        </w:rPr>
        <w:t>费用按固定总价形式报价；维修费用根据检测报告、故障分析等相关材料为依据选择性发生或不发生（其余未列的维修项目由投标方负责免费维修）。维修所产生人工成本、运输成本等其他费用均包含在分项元件报价中，招标方不再另行支付。</w:t>
      </w:r>
    </w:p>
    <w:p>
      <w:pPr>
        <w:spacing w:line="440" w:lineRule="exact"/>
        <w:ind w:firstLine="936" w:firstLineChars="300"/>
        <w:rPr>
          <w:rFonts w:ascii="仿宋_GB2312" w:hAnsi="宋体" w:eastAsia="仿宋_GB2312"/>
          <w:spacing w:val="6"/>
          <w:sz w:val="30"/>
          <w:szCs w:val="30"/>
        </w:rPr>
      </w:pPr>
      <w:r>
        <w:rPr>
          <w:rFonts w:hint="eastAsia" w:ascii="仿宋_GB2312" w:hAnsi="宋体" w:eastAsia="仿宋_GB2312"/>
          <w:spacing w:val="6"/>
          <w:sz w:val="30"/>
          <w:szCs w:val="30"/>
          <w:lang w:val="en-US" w:eastAsia="zh-CN"/>
        </w:rPr>
        <w:t>2</w:t>
      </w:r>
      <w:r>
        <w:rPr>
          <w:rFonts w:hint="eastAsia" w:ascii="仿宋_GB2312" w:hAnsi="宋体" w:eastAsia="仿宋_GB2312"/>
          <w:spacing w:val="6"/>
          <w:sz w:val="30"/>
          <w:szCs w:val="30"/>
        </w:rPr>
        <w:t>、要求投标人单项投标报价均不得高于表中本单项控制价，投标价总计= ∑</w:t>
      </w:r>
      <w:r>
        <w:rPr>
          <w:rFonts w:hint="eastAsia" w:ascii="仿宋_GB2312" w:hAnsi="宋体" w:eastAsia="仿宋_GB2312"/>
          <w:spacing w:val="6"/>
          <w:sz w:val="30"/>
          <w:szCs w:val="30"/>
          <w:lang w:eastAsia="zh-CN"/>
        </w:rPr>
        <w:t>分</w:t>
      </w:r>
      <w:r>
        <w:rPr>
          <w:rFonts w:hint="eastAsia" w:ascii="仿宋_GB2312" w:hAnsi="宋体" w:eastAsia="仿宋_GB2312"/>
          <w:spacing w:val="6"/>
          <w:sz w:val="30"/>
          <w:szCs w:val="30"/>
        </w:rPr>
        <w:t>项投标</w:t>
      </w:r>
      <w:r>
        <w:rPr>
          <w:rFonts w:hint="eastAsia" w:ascii="仿宋_GB2312" w:hAnsi="宋体" w:eastAsia="仿宋_GB2312"/>
          <w:spacing w:val="6"/>
          <w:sz w:val="30"/>
          <w:szCs w:val="30"/>
          <w:lang w:eastAsia="zh-CN"/>
        </w:rPr>
        <w:t>总价</w:t>
      </w:r>
      <w:r>
        <w:rPr>
          <w:rFonts w:hint="eastAsia" w:ascii="仿宋_GB2312" w:hAnsi="宋体" w:eastAsia="仿宋_GB2312"/>
          <w:spacing w:val="6"/>
          <w:sz w:val="30"/>
          <w:szCs w:val="30"/>
        </w:rPr>
        <w:t>。</w:t>
      </w:r>
    </w:p>
    <w:p>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both"/>
        <w:textAlignment w:val="auto"/>
        <w:outlineLvl w:val="0"/>
        <w:rPr>
          <w:rFonts w:hint="eastAsia"/>
          <w:szCs w:val="32"/>
          <w:lang w:eastAsia="zh-CN"/>
        </w:rPr>
      </w:pPr>
    </w:p>
    <w:sectPr>
      <w:pgSz w:w="16838" w:h="11906" w:orient="landscape"/>
      <w:pgMar w:top="1588" w:right="2098" w:bottom="1474" w:left="1985" w:header="851" w:footer="992" w:gutter="567"/>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6FF" w:usb1="400004FF" w:usb2="00000000" w:usb3="00000000" w:csb0="2000019F" w:csb1="00000000"/>
  </w:font>
  <w:font w:name="Calibri">
    <w:panose1 w:val="020F0502020204030204"/>
    <w:charset w:val="00"/>
    <w:family w:val="swiss"/>
    <w:pitch w:val="default"/>
    <w:sig w:usb0="E0002AFF" w:usb1="C000247B" w:usb2="00000009" w:usb3="00000000" w:csb0="200001FF" w:csb1="00000000"/>
  </w:font>
  <w:font w:name="Courier New">
    <w:panose1 w:val="02070309020205020404"/>
    <w:charset w:val="00"/>
    <w:family w:val="modern"/>
    <w:pitch w:val="default"/>
    <w:sig w:usb0="E0002EFF" w:usb1="C0007843" w:usb2="00000009" w:usb3="00000000" w:csb0="400001FF" w:csb1="FFFF0000"/>
  </w:font>
  <w:font w:name="仿宋_GB2312">
    <w:panose1 w:val="02010609030101010101"/>
    <w:charset w:val="86"/>
    <w:family w:val="modern"/>
    <w:pitch w:val="default"/>
    <w:sig w:usb0="00000001" w:usb1="080E0000" w:usb2="00000000" w:usb3="00000000" w:csb0="00040000" w:csb1="00000000"/>
  </w:font>
  <w:font w:name="Arial Unicode MS">
    <w:panose1 w:val="020B0604020202020204"/>
    <w:charset w:val="86"/>
    <w:family w:val="swiss"/>
    <w:pitch w:val="default"/>
    <w:sig w:usb0="FFFFFFFF" w:usb1="E9FFFFFF" w:usb2="0000003F" w:usb3="00000000" w:csb0="603F01FF" w:csb1="FFFF0000"/>
  </w:font>
  <w:font w:name="方正小标宋简体">
    <w:panose1 w:val="03000509000000000000"/>
    <w:charset w:val="86"/>
    <w:family w:val="script"/>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default"/>
    <w:sig w:usb0="E0002EFF" w:usb1="C0007843" w:usb2="00000009" w:usb3="00000000" w:csb0="400001FF" w:csb1="FFFF0000"/>
  </w:font>
  <w:font w:name="楷体_GB2312">
    <w:altName w:val="楷体"/>
    <w:panose1 w:val="02010609030101010101"/>
    <w:charset w:val="86"/>
    <w:family w:val="modern"/>
    <w:pitch w:val="default"/>
    <w:sig w:usb0="00000000" w:usb1="00000000" w:usb2="00000010" w:usb3="00000000" w:csb0="00040000" w:csb1="00000000"/>
  </w:font>
  <w:font w:name="CG Times">
    <w:altName w:val="Times New Roman"/>
    <w:panose1 w:val="02020603050405020304"/>
    <w:charset w:val="00"/>
    <w:family w:val="roman"/>
    <w:pitch w:val="default"/>
    <w:sig w:usb0="00000000" w:usb1="00000000" w:usb2="00000000" w:usb3="00000000" w:csb0="00000093" w:csb1="00000000"/>
  </w:font>
  <w:font w:name="RomanD">
    <w:altName w:val="Segoe Print"/>
    <w:panose1 w:val="00000400000000000000"/>
    <w:charset w:val="00"/>
    <w:family w:val="auto"/>
    <w:pitch w:val="default"/>
    <w:sig w:usb0="00000000" w:usb1="00000000" w:usb2="00000000" w:usb3="00000000" w:csb0="000001FF" w:csb1="00000000"/>
  </w:font>
  <w:font w:name="新宋体">
    <w:panose1 w:val="02010609030101010101"/>
    <w:charset w:val="86"/>
    <w:family w:val="modern"/>
    <w:pitch w:val="default"/>
    <w:sig w:usb0="00000003" w:usb1="288F0000" w:usb2="00000006" w:usb3="00000000" w:csb0="00040001" w:csb1="00000000"/>
  </w:font>
  <w:font w:name="Verdana">
    <w:panose1 w:val="020B0604030504040204"/>
    <w:charset w:val="00"/>
    <w:family w:val="swiss"/>
    <w:pitch w:val="default"/>
    <w:sig w:usb0="A10006FF" w:usb1="4000205B" w:usb2="00000010" w:usb3="00000000" w:csb0="2000019F" w:csb1="00000000"/>
  </w:font>
  <w:font w:name="全真中明體">
    <w:altName w:val="MingLiU-ExtB"/>
    <w:panose1 w:val="00000000000000000000"/>
    <w:charset w:val="88"/>
    <w:family w:val="modern"/>
    <w:pitch w:val="default"/>
    <w:sig w:usb0="00000000" w:usb1="00000000" w:usb2="00000010" w:usb3="00000000" w:csb0="00100000" w:csb1="00000000"/>
  </w:font>
  <w:font w:name="CG Omega">
    <w:altName w:val="Segoe Print"/>
    <w:panose1 w:val="020B0502050508020304"/>
    <w:charset w:val="00"/>
    <w:family w:val="swiss"/>
    <w:pitch w:val="default"/>
    <w:sig w:usb0="00000000" w:usb1="00000000" w:usb2="00000000" w:usb3="00000000" w:csb0="00000093" w:csb1="00000000"/>
  </w:font>
  <w:font w:name="Abadi MT Condensed Light">
    <w:altName w:val="MV Boli"/>
    <w:panose1 w:val="020B0306030101010103"/>
    <w:charset w:val="00"/>
    <w:family w:val="swiss"/>
    <w:pitch w:val="default"/>
    <w:sig w:usb0="00000000" w:usb1="00000000" w:usb2="00000000" w:usb3="00000000" w:csb0="00000001" w:csb1="00000000"/>
  </w:font>
  <w:font w:name="Tahoma">
    <w:panose1 w:val="020B0604030504040204"/>
    <w:charset w:val="00"/>
    <w:family w:val="swiss"/>
    <w:pitch w:val="default"/>
    <w:sig w:usb0="E1002EFF" w:usb1="C000605B" w:usb2="00000029" w:usb3="00000000" w:csb0="200101FF" w:csb1="20280000"/>
  </w:font>
  <w:font w:name="Antique Olive Roman">
    <w:altName w:val="Arial"/>
    <w:panose1 w:val="00000000000000000000"/>
    <w:charset w:val="00"/>
    <w:family w:val="swiss"/>
    <w:pitch w:val="default"/>
    <w:sig w:usb0="00000000" w:usb1="00000000" w:usb2="00000000" w:usb3="00000000" w:csb0="00000001" w:csb1="00000000"/>
  </w:font>
  <w:font w:name="Arial (W1)">
    <w:altName w:val="Arial"/>
    <w:panose1 w:val="020B0604020202020204"/>
    <w:charset w:val="00"/>
    <w:family w:val="swiss"/>
    <w:pitch w:val="default"/>
    <w:sig w:usb0="00000000" w:usb1="00000000" w:usb2="00000008" w:usb3="00000000" w:csb0="000001FF" w:csb1="00000000"/>
  </w:font>
  <w:font w:name="Times New (W1)">
    <w:altName w:val="Times New Roman"/>
    <w:panose1 w:val="00000000000000000000"/>
    <w:charset w:val="00"/>
    <w:family w:val="roman"/>
    <w:pitch w:val="default"/>
    <w:sig w:usb0="00000000" w:usb1="00000000" w:usb2="00000008" w:usb3="00000000" w:csb0="000001FF"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 w:name="MingLiU">
    <w:altName w:val="PMingLiU-ExtB"/>
    <w:panose1 w:val="02020509000000000000"/>
    <w:charset w:val="88"/>
    <w:family w:val="auto"/>
    <w:pitch w:val="default"/>
    <w:sig w:usb0="00000000" w:usb1="00000000" w:usb2="00000016" w:usb3="00000000" w:csb0="00100001" w:csb1="00000000"/>
  </w:font>
  <w:font w:name="MV Boli">
    <w:panose1 w:val="02000500030200090000"/>
    <w:charset w:val="00"/>
    <w:family w:val="auto"/>
    <w:pitch w:val="default"/>
    <w:sig w:usb0="00000003" w:usb1="00000000" w:usb2="00000100" w:usb3="00000000" w:csb0="00000001"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0002AFF" w:usb1="C000247B" w:usb2="00000009" w:usb3="00000000" w:csb0="200001FF" w:csb1="00000000"/>
  </w:font>
  <w:font w:name="楷体_GB2312">
    <w:altName w:val="楷体"/>
    <w:panose1 w:val="00000000000000000000"/>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80000000" w:csb1="00000000"/>
  </w:font>
  <w:font w:name="PMingLiU">
    <w:altName w:val="PMingLiU-ExtB"/>
    <w:panose1 w:val="02020500000000000000"/>
    <w:charset w:val="88"/>
    <w:family w:val="auto"/>
    <w:pitch w:val="default"/>
    <w:sig w:usb0="00000000" w:usb1="00000000" w:usb2="00000016" w:usb3="00000000" w:csb0="00100001" w:csb1="00000000"/>
  </w:font>
  <w:font w:name="Wingdings 3">
    <w:panose1 w:val="05040102010807070707"/>
    <w:charset w:val="00"/>
    <w:family w:val="auto"/>
    <w:pitch w:val="default"/>
    <w:sig w:usb0="00000000" w:usb1="00000000" w:usb2="00000000" w:usb3="00000000" w:csb0="80000000" w:csb1="00000000"/>
  </w:font>
  <w:font w:name="Microsoft Sans Serif">
    <w:panose1 w:val="020B0604020202020204"/>
    <w:charset w:val="00"/>
    <w:family w:val="auto"/>
    <w:pitch w:val="default"/>
    <w:sig w:usb0="E5002EFF" w:usb1="C000605B" w:usb2="00000029" w:usb3="00000000" w:csb0="200101FF" w:csb1="20280000"/>
  </w:font>
  <w:font w:name="MingLiU-ExtB">
    <w:panose1 w:val="02020500000000000000"/>
    <w:charset w:val="88"/>
    <w:family w:val="auto"/>
    <w:pitch w:val="default"/>
    <w:sig w:usb0="8000002F" w:usb1="02000008" w:usb2="00000000" w:usb3="00000000" w:csb0="00100001" w:csb1="00000000"/>
  </w:font>
  <w:font w:name="PMingLiU-ExtB">
    <w:panose1 w:val="02020500000000000000"/>
    <w:charset w:val="88"/>
    <w:family w:val="auto"/>
    <w:pitch w:val="default"/>
    <w:sig w:usb0="8000002F" w:usb1="02000008" w:usb2="00000000" w:usb3="00000000" w:csb0="001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D58E5"/>
    <w:rsid w:val="00040DAC"/>
    <w:rsid w:val="00040F8B"/>
    <w:rsid w:val="00064136"/>
    <w:rsid w:val="000676D4"/>
    <w:rsid w:val="0007275A"/>
    <w:rsid w:val="00072840"/>
    <w:rsid w:val="00094887"/>
    <w:rsid w:val="000D58E5"/>
    <w:rsid w:val="000E634A"/>
    <w:rsid w:val="000F4BA1"/>
    <w:rsid w:val="0011014F"/>
    <w:rsid w:val="00113D04"/>
    <w:rsid w:val="00144456"/>
    <w:rsid w:val="0019000B"/>
    <w:rsid w:val="001A2F03"/>
    <w:rsid w:val="001B02C9"/>
    <w:rsid w:val="001C7AA0"/>
    <w:rsid w:val="001E13F8"/>
    <w:rsid w:val="001F1AA1"/>
    <w:rsid w:val="001F42C5"/>
    <w:rsid w:val="001F6DB6"/>
    <w:rsid w:val="00203DB3"/>
    <w:rsid w:val="00207BAD"/>
    <w:rsid w:val="0025154F"/>
    <w:rsid w:val="00263238"/>
    <w:rsid w:val="002650BE"/>
    <w:rsid w:val="0027393E"/>
    <w:rsid w:val="002A586F"/>
    <w:rsid w:val="002C758E"/>
    <w:rsid w:val="002D0E42"/>
    <w:rsid w:val="0030640B"/>
    <w:rsid w:val="00312518"/>
    <w:rsid w:val="003225C0"/>
    <w:rsid w:val="00391BD3"/>
    <w:rsid w:val="003A215E"/>
    <w:rsid w:val="003B3DD8"/>
    <w:rsid w:val="003B4E8D"/>
    <w:rsid w:val="003C1FF4"/>
    <w:rsid w:val="003C57D9"/>
    <w:rsid w:val="003C5B4D"/>
    <w:rsid w:val="003D3CAB"/>
    <w:rsid w:val="00415586"/>
    <w:rsid w:val="00417ACF"/>
    <w:rsid w:val="00421C77"/>
    <w:rsid w:val="004238B9"/>
    <w:rsid w:val="004A2E74"/>
    <w:rsid w:val="004B3D50"/>
    <w:rsid w:val="004D3290"/>
    <w:rsid w:val="004F16DF"/>
    <w:rsid w:val="0050313E"/>
    <w:rsid w:val="00507B55"/>
    <w:rsid w:val="00512A35"/>
    <w:rsid w:val="00553CCA"/>
    <w:rsid w:val="00570FEC"/>
    <w:rsid w:val="0057226C"/>
    <w:rsid w:val="00572A6F"/>
    <w:rsid w:val="00597B2F"/>
    <w:rsid w:val="005A6BCB"/>
    <w:rsid w:val="005C31A8"/>
    <w:rsid w:val="00603296"/>
    <w:rsid w:val="006207AF"/>
    <w:rsid w:val="006513C2"/>
    <w:rsid w:val="00685315"/>
    <w:rsid w:val="00692BFD"/>
    <w:rsid w:val="006939C6"/>
    <w:rsid w:val="006C6E51"/>
    <w:rsid w:val="006E4603"/>
    <w:rsid w:val="0073657D"/>
    <w:rsid w:val="00795677"/>
    <w:rsid w:val="007A2854"/>
    <w:rsid w:val="007A5BFC"/>
    <w:rsid w:val="008154EF"/>
    <w:rsid w:val="00865494"/>
    <w:rsid w:val="0086793D"/>
    <w:rsid w:val="00886145"/>
    <w:rsid w:val="00890918"/>
    <w:rsid w:val="008A449B"/>
    <w:rsid w:val="008B55DE"/>
    <w:rsid w:val="008D5A1C"/>
    <w:rsid w:val="008E4B08"/>
    <w:rsid w:val="008E7824"/>
    <w:rsid w:val="008F674F"/>
    <w:rsid w:val="009147E4"/>
    <w:rsid w:val="009447C2"/>
    <w:rsid w:val="009540AF"/>
    <w:rsid w:val="00955A4D"/>
    <w:rsid w:val="0096164B"/>
    <w:rsid w:val="009770EE"/>
    <w:rsid w:val="0098498E"/>
    <w:rsid w:val="00996054"/>
    <w:rsid w:val="009C3C82"/>
    <w:rsid w:val="009E1C97"/>
    <w:rsid w:val="009E587A"/>
    <w:rsid w:val="00A019C0"/>
    <w:rsid w:val="00A12719"/>
    <w:rsid w:val="00A62E02"/>
    <w:rsid w:val="00A6662D"/>
    <w:rsid w:val="00A715EA"/>
    <w:rsid w:val="00AB1363"/>
    <w:rsid w:val="00AC1B74"/>
    <w:rsid w:val="00AD5704"/>
    <w:rsid w:val="00B240E9"/>
    <w:rsid w:val="00B717CA"/>
    <w:rsid w:val="00C024A0"/>
    <w:rsid w:val="00C138BA"/>
    <w:rsid w:val="00C1587A"/>
    <w:rsid w:val="00C34000"/>
    <w:rsid w:val="00C4795E"/>
    <w:rsid w:val="00C47CA9"/>
    <w:rsid w:val="00C75B45"/>
    <w:rsid w:val="00CA6B8D"/>
    <w:rsid w:val="00CB2C1A"/>
    <w:rsid w:val="00D22768"/>
    <w:rsid w:val="00D41EE6"/>
    <w:rsid w:val="00D47F96"/>
    <w:rsid w:val="00D56A80"/>
    <w:rsid w:val="00D75473"/>
    <w:rsid w:val="00DD56C8"/>
    <w:rsid w:val="00E053A6"/>
    <w:rsid w:val="00E1151E"/>
    <w:rsid w:val="00E138C3"/>
    <w:rsid w:val="00E43C0C"/>
    <w:rsid w:val="00E45476"/>
    <w:rsid w:val="00E61596"/>
    <w:rsid w:val="00EB73FC"/>
    <w:rsid w:val="00ED05D2"/>
    <w:rsid w:val="00F01696"/>
    <w:rsid w:val="00F420DC"/>
    <w:rsid w:val="00FB603E"/>
    <w:rsid w:val="00FC5B82"/>
    <w:rsid w:val="00FC7E71"/>
    <w:rsid w:val="00FE6BE2"/>
    <w:rsid w:val="00FE769B"/>
    <w:rsid w:val="01630950"/>
    <w:rsid w:val="02863822"/>
    <w:rsid w:val="04211045"/>
    <w:rsid w:val="1B0F3EED"/>
    <w:rsid w:val="1CBC7B7D"/>
    <w:rsid w:val="1FA175E3"/>
    <w:rsid w:val="2B056A78"/>
    <w:rsid w:val="2E0C3A1F"/>
    <w:rsid w:val="41D52CFC"/>
    <w:rsid w:val="41DF0AF5"/>
    <w:rsid w:val="58897053"/>
    <w:rsid w:val="5DC53E5E"/>
    <w:rsid w:val="5F38510B"/>
    <w:rsid w:val="64070B36"/>
    <w:rsid w:val="6AB913AC"/>
    <w:rsid w:val="6AD65961"/>
    <w:rsid w:val="6C856ECE"/>
    <w:rsid w:val="76CF707E"/>
    <w:rsid w:val="79616B44"/>
    <w:rsid w:val="7DA2117F"/>
    <w:rsid w:val="7E20798C"/>
    <w:rsid w:val="7E524AD9"/>
    <w:rsid w:val="7E9700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19"/>
    <w:qFormat/>
    <w:uiPriority w:val="0"/>
    <w:pPr>
      <w:keepNext/>
      <w:keepLines/>
      <w:spacing w:before="340" w:after="330" w:line="576" w:lineRule="auto"/>
      <w:outlineLvl w:val="0"/>
    </w:pPr>
    <w:rPr>
      <w:rFonts w:ascii="Times New Roman" w:hAnsi="Times New Roman" w:eastAsia="宋体" w:cs="Times New Roman"/>
      <w:b/>
      <w:bCs/>
      <w:kern w:val="44"/>
      <w:sz w:val="44"/>
      <w:szCs w:val="44"/>
    </w:rPr>
  </w:style>
  <w:style w:type="character" w:default="1" w:styleId="11">
    <w:name w:val="Default Paragraph Font"/>
    <w:unhideWhenUsed/>
    <w:qFormat/>
    <w:uiPriority w:val="1"/>
  </w:style>
  <w:style w:type="table" w:default="1" w:styleId="14">
    <w:name w:val="Normal Table"/>
    <w:unhideWhenUsed/>
    <w:qFormat/>
    <w:uiPriority w:val="99"/>
    <w:tblPr>
      <w:tblLayout w:type="fixed"/>
      <w:tblCellMar>
        <w:top w:w="0" w:type="dxa"/>
        <w:left w:w="108" w:type="dxa"/>
        <w:bottom w:w="0" w:type="dxa"/>
        <w:right w:w="108" w:type="dxa"/>
      </w:tblCellMar>
    </w:tblPr>
  </w:style>
  <w:style w:type="paragraph" w:styleId="3">
    <w:name w:val="Body Text"/>
    <w:basedOn w:val="1"/>
    <w:link w:val="25"/>
    <w:qFormat/>
    <w:uiPriority w:val="0"/>
    <w:rPr>
      <w:rFonts w:ascii="Times New Roman" w:hAnsi="Times New Roman" w:eastAsia="仿宋_GB2312" w:cs="Times New Roman"/>
      <w:sz w:val="32"/>
      <w:szCs w:val="20"/>
    </w:rPr>
  </w:style>
  <w:style w:type="paragraph" w:styleId="4">
    <w:name w:val="Body Text Indent"/>
    <w:basedOn w:val="1"/>
    <w:link w:val="24"/>
    <w:qFormat/>
    <w:uiPriority w:val="0"/>
    <w:pPr>
      <w:snapToGrid w:val="0"/>
      <w:ind w:firstLine="420" w:firstLineChars="200"/>
    </w:pPr>
    <w:rPr>
      <w:rFonts w:ascii="宋体" w:hAnsi="宋体"/>
      <w:szCs w:val="24"/>
    </w:rPr>
  </w:style>
  <w:style w:type="paragraph" w:styleId="5">
    <w:name w:val="Plain Text"/>
    <w:basedOn w:val="1"/>
    <w:link w:val="20"/>
    <w:unhideWhenUsed/>
    <w:qFormat/>
    <w:uiPriority w:val="0"/>
    <w:rPr>
      <w:rFonts w:ascii="宋体" w:hAnsi="Courier New" w:eastAsia="宋体" w:cs="Times New Roman"/>
      <w:sz w:val="24"/>
      <w:szCs w:val="20"/>
    </w:rPr>
  </w:style>
  <w:style w:type="paragraph" w:styleId="6">
    <w:name w:val="Body Text Indent 2"/>
    <w:basedOn w:val="1"/>
    <w:link w:val="26"/>
    <w:qFormat/>
    <w:uiPriority w:val="0"/>
    <w:pPr>
      <w:tabs>
        <w:tab w:val="left" w:pos="7020"/>
      </w:tabs>
      <w:spacing w:line="400" w:lineRule="exact"/>
      <w:ind w:firstLine="640" w:firstLineChars="200"/>
    </w:pPr>
    <w:rPr>
      <w:rFonts w:ascii="仿宋_GB2312" w:hAnsi="宋体" w:eastAsia="仿宋_GB2312" w:cs="Times New Roman"/>
      <w:sz w:val="32"/>
      <w:szCs w:val="24"/>
    </w:rPr>
  </w:style>
  <w:style w:type="paragraph" w:styleId="7">
    <w:name w:val="Balloon Text"/>
    <w:basedOn w:val="1"/>
    <w:link w:val="22"/>
    <w:unhideWhenUsed/>
    <w:qFormat/>
    <w:uiPriority w:val="99"/>
    <w:rPr>
      <w:sz w:val="18"/>
      <w:szCs w:val="18"/>
    </w:rPr>
  </w:style>
  <w:style w:type="paragraph" w:styleId="8">
    <w:name w:val="footer"/>
    <w:basedOn w:val="1"/>
    <w:link w:val="17"/>
    <w:unhideWhenUsed/>
    <w:qFormat/>
    <w:uiPriority w:val="99"/>
    <w:pPr>
      <w:tabs>
        <w:tab w:val="center" w:pos="4153"/>
        <w:tab w:val="right" w:pos="8306"/>
      </w:tabs>
      <w:snapToGrid w:val="0"/>
      <w:jc w:val="left"/>
    </w:pPr>
    <w:rPr>
      <w:sz w:val="18"/>
      <w:szCs w:val="18"/>
    </w:rPr>
  </w:style>
  <w:style w:type="paragraph" w:styleId="9">
    <w:name w:val="header"/>
    <w:basedOn w:val="1"/>
    <w:link w:val="16"/>
    <w:unhideWhenUsed/>
    <w:qFormat/>
    <w:uiPriority w:val="99"/>
    <w:pPr>
      <w:pBdr>
        <w:bottom w:val="single" w:color="auto" w:sz="6" w:space="1"/>
      </w:pBdr>
      <w:tabs>
        <w:tab w:val="center" w:pos="4153"/>
        <w:tab w:val="right" w:pos="8306"/>
      </w:tabs>
      <w:snapToGrid w:val="0"/>
      <w:jc w:val="center"/>
    </w:pPr>
    <w:rPr>
      <w:sz w:val="18"/>
      <w:szCs w:val="18"/>
    </w:rPr>
  </w:style>
  <w:style w:type="paragraph" w:styleId="10">
    <w:name w:val="toc 1"/>
    <w:basedOn w:val="1"/>
    <w:next w:val="1"/>
    <w:unhideWhenUsed/>
    <w:qFormat/>
    <w:uiPriority w:val="39"/>
    <w:pPr>
      <w:widowControl/>
      <w:spacing w:after="100" w:line="276" w:lineRule="auto"/>
      <w:jc w:val="left"/>
    </w:pPr>
    <w:rPr>
      <w:rFonts w:ascii="Calibri" w:hAnsi="Calibri" w:eastAsia="宋体" w:cs="Times New Roman"/>
      <w:kern w:val="0"/>
      <w:sz w:val="22"/>
    </w:rPr>
  </w:style>
  <w:style w:type="character" w:styleId="12">
    <w:name w:val="page number"/>
    <w:basedOn w:val="11"/>
    <w:qFormat/>
    <w:uiPriority w:val="0"/>
  </w:style>
  <w:style w:type="character" w:styleId="13">
    <w:name w:val="Hyperlink"/>
    <w:unhideWhenUsed/>
    <w:qFormat/>
    <w:uiPriority w:val="99"/>
    <w:rPr>
      <w:color w:val="0000FF"/>
      <w:u w:val="single"/>
    </w:rPr>
  </w:style>
  <w:style w:type="table" w:styleId="15">
    <w:name w:val="Table Grid"/>
    <w:basedOn w:val="14"/>
    <w:qFormat/>
    <w:uiPriority w:val="59"/>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6">
    <w:name w:val="页眉 Char"/>
    <w:basedOn w:val="11"/>
    <w:link w:val="9"/>
    <w:qFormat/>
    <w:uiPriority w:val="99"/>
    <w:rPr>
      <w:sz w:val="18"/>
      <w:szCs w:val="18"/>
    </w:rPr>
  </w:style>
  <w:style w:type="character" w:customStyle="1" w:styleId="17">
    <w:name w:val="页脚 Char"/>
    <w:basedOn w:val="11"/>
    <w:link w:val="8"/>
    <w:qFormat/>
    <w:uiPriority w:val="99"/>
    <w:rPr>
      <w:sz w:val="18"/>
      <w:szCs w:val="18"/>
    </w:rPr>
  </w:style>
  <w:style w:type="paragraph" w:customStyle="1" w:styleId="18">
    <w:name w:val="p0"/>
    <w:basedOn w:val="1"/>
    <w:qFormat/>
    <w:uiPriority w:val="0"/>
    <w:pPr>
      <w:widowControl/>
      <w:jc w:val="left"/>
    </w:pPr>
    <w:rPr>
      <w:rFonts w:ascii="Times New Roman" w:hAnsi="Times New Roman" w:eastAsia="宋体" w:cs="Times New Roman"/>
      <w:szCs w:val="24"/>
    </w:rPr>
  </w:style>
  <w:style w:type="character" w:customStyle="1" w:styleId="19">
    <w:name w:val="标题 1 Char"/>
    <w:basedOn w:val="11"/>
    <w:link w:val="2"/>
    <w:qFormat/>
    <w:uiPriority w:val="0"/>
    <w:rPr>
      <w:rFonts w:ascii="Times New Roman" w:hAnsi="Times New Roman" w:eastAsia="宋体" w:cs="Times New Roman"/>
      <w:b/>
      <w:bCs/>
      <w:kern w:val="44"/>
      <w:sz w:val="44"/>
      <w:szCs w:val="44"/>
    </w:rPr>
  </w:style>
  <w:style w:type="character" w:customStyle="1" w:styleId="20">
    <w:name w:val="纯文本 Char"/>
    <w:basedOn w:val="11"/>
    <w:link w:val="5"/>
    <w:qFormat/>
    <w:uiPriority w:val="0"/>
    <w:rPr>
      <w:rFonts w:ascii="宋体" w:hAnsi="Courier New" w:eastAsia="宋体" w:cs="Times New Roman"/>
      <w:sz w:val="24"/>
      <w:szCs w:val="20"/>
    </w:rPr>
  </w:style>
  <w:style w:type="paragraph" w:customStyle="1" w:styleId="21">
    <w:name w:val="Char Char Char Char"/>
    <w:basedOn w:val="1"/>
    <w:qFormat/>
    <w:uiPriority w:val="0"/>
    <w:rPr>
      <w:rFonts w:ascii="Times New Roman" w:hAnsi="Times New Roman" w:eastAsia="宋体" w:cs="Times New Roman"/>
      <w:szCs w:val="24"/>
    </w:rPr>
  </w:style>
  <w:style w:type="character" w:customStyle="1" w:styleId="22">
    <w:name w:val="批注框文本 Char"/>
    <w:basedOn w:val="11"/>
    <w:link w:val="7"/>
    <w:semiHidden/>
    <w:qFormat/>
    <w:uiPriority w:val="99"/>
    <w:rPr>
      <w:sz w:val="18"/>
      <w:szCs w:val="18"/>
    </w:rPr>
  </w:style>
  <w:style w:type="character" w:customStyle="1" w:styleId="23">
    <w:name w:val="正文文本缩进 Char"/>
    <w:basedOn w:val="11"/>
    <w:link w:val="4"/>
    <w:qFormat/>
    <w:uiPriority w:val="0"/>
    <w:rPr>
      <w:rFonts w:ascii="宋体" w:hAnsi="宋体"/>
      <w:szCs w:val="24"/>
    </w:rPr>
  </w:style>
  <w:style w:type="character" w:customStyle="1" w:styleId="24">
    <w:name w:val="正文文本缩进 Char1"/>
    <w:basedOn w:val="11"/>
    <w:link w:val="4"/>
    <w:semiHidden/>
    <w:qFormat/>
    <w:uiPriority w:val="99"/>
  </w:style>
  <w:style w:type="character" w:customStyle="1" w:styleId="25">
    <w:name w:val="正文文本 Char"/>
    <w:basedOn w:val="11"/>
    <w:link w:val="3"/>
    <w:qFormat/>
    <w:uiPriority w:val="0"/>
    <w:rPr>
      <w:rFonts w:ascii="Times New Roman" w:hAnsi="Times New Roman" w:eastAsia="仿宋_GB2312" w:cs="Times New Roman"/>
      <w:sz w:val="32"/>
      <w:szCs w:val="20"/>
    </w:rPr>
  </w:style>
  <w:style w:type="character" w:customStyle="1" w:styleId="26">
    <w:name w:val="正文文本缩进 2 Char"/>
    <w:basedOn w:val="11"/>
    <w:link w:val="6"/>
    <w:qFormat/>
    <w:uiPriority w:val="0"/>
    <w:rPr>
      <w:rFonts w:ascii="仿宋_GB2312" w:hAnsi="宋体" w:eastAsia="仿宋_GB2312" w:cs="Times New Roman"/>
      <w:sz w:val="32"/>
      <w:szCs w:val="24"/>
    </w:rPr>
  </w:style>
  <w:style w:type="paragraph" w:customStyle="1" w:styleId="27">
    <w:name w:val="1.1.1（1）"/>
    <w:basedOn w:val="1"/>
    <w:link w:val="28"/>
    <w:qFormat/>
    <w:uiPriority w:val="0"/>
    <w:pPr>
      <w:adjustRightInd w:val="0"/>
      <w:snapToGrid w:val="0"/>
      <w:spacing w:line="360" w:lineRule="auto"/>
      <w:ind w:left="350" w:leftChars="200" w:hanging="150" w:hangingChars="150"/>
    </w:pPr>
    <w:rPr>
      <w:rFonts w:ascii="宋体" w:hAnsi="宋体" w:eastAsia="宋体" w:cs="Times New Roman"/>
      <w:sz w:val="24"/>
      <w:szCs w:val="24"/>
    </w:rPr>
  </w:style>
  <w:style w:type="character" w:customStyle="1" w:styleId="28">
    <w:name w:val="1.1.1（1） Char"/>
    <w:link w:val="27"/>
    <w:qFormat/>
    <w:uiPriority w:val="0"/>
    <w:rPr>
      <w:rFonts w:ascii="宋体" w:hAnsi="宋体" w:eastAsia="宋体" w:cs="Times New Roman"/>
      <w:sz w:val="24"/>
      <w:szCs w:val="24"/>
    </w:rPr>
  </w:style>
  <w:style w:type="paragraph" w:customStyle="1" w:styleId="29">
    <w:name w:val="正文 A"/>
    <w:qFormat/>
    <w:uiPriority w:val="0"/>
    <w:pPr>
      <w:widowControl w:val="0"/>
      <w:jc w:val="both"/>
    </w:pPr>
    <w:rPr>
      <w:rFonts w:ascii="Times New Roman" w:hAnsi="Times New Roman" w:eastAsia="Arial Unicode MS" w:cs="Arial Unicode MS"/>
      <w:color w:val="000000"/>
      <w:kern w:val="2"/>
      <w:sz w:val="21"/>
      <w:szCs w:val="21"/>
      <w:u w:color="000000"/>
      <w:lang w:val="en-US" w:eastAsia="zh-CN" w:bidi="ar-SA"/>
    </w:rPr>
  </w:style>
  <w:style w:type="table" w:customStyle="1" w:styleId="30">
    <w:name w:val="Table Normal"/>
    <w:qFormat/>
    <w:uiPriority w:val="0"/>
    <w:rPr>
      <w:rFonts w:ascii="Times New Roman" w:hAnsi="Times New Roman" w:cs="Times New Roman"/>
      <w:kern w:val="0"/>
      <w:sz w:val="20"/>
      <w:szCs w:val="20"/>
    </w:rPr>
    <w:tblPr>
      <w:tblLayout w:type="fixed"/>
      <w:tblCellMar>
        <w:top w:w="0" w:type="dxa"/>
        <w:left w:w="0" w:type="dxa"/>
        <w:bottom w:w="0" w:type="dxa"/>
        <w:right w:w="0" w:type="dxa"/>
      </w:tblCellMar>
    </w:tblPr>
  </w:style>
  <w:style w:type="character" w:customStyle="1" w:styleId="31">
    <w:name w:val="无"/>
    <w:qFormat/>
    <w:uiPriority w:val="0"/>
  </w:style>
  <w:style w:type="character" w:customStyle="1" w:styleId="32">
    <w:name w:val="font01"/>
    <w:basedOn w:val="11"/>
    <w:qFormat/>
    <w:uiPriority w:val="0"/>
    <w:rPr>
      <w:rFonts w:hint="default" w:ascii="楷体_GB2312" w:eastAsia="楷体_GB2312" w:cs="楷体_GB2312"/>
      <w:color w:val="000000"/>
      <w:sz w:val="24"/>
      <w:szCs w:val="24"/>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29</Pages>
  <Words>1964</Words>
  <Characters>11198</Characters>
  <Lines>93</Lines>
  <Paragraphs>26</Paragraphs>
  <ScaleCrop>false</ScaleCrop>
  <LinksUpToDate>false</LinksUpToDate>
  <CharactersWithSpaces>13136</CharactersWithSpaces>
  <Application>WPS Office_10.8.0.6370_F1E327BC-269C-435d-A152-05C5408002CA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2016-10-26T01:54:00Z</dcterms:created>
  <dc:creator>qjh</dc:creator>
  <cp:lastModifiedBy>于俊清</cp:lastModifiedBy>
  <cp:lastPrinted>2018-03-26T06:35:00Z</cp:lastPrinted>
  <dcterms:modified xsi:type="dcterms:W3CDTF">2018-05-03T06:39:01Z</dcterms:modified>
  <cp:revision>83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2052-10.8.0.6370</vt:lpwstr>
  </property>
</Properties>
</file>