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tabs>
          <w:tab w:val="left" w:pos="425"/>
        </w:tabs>
        <w:adjustRightInd w:val="0"/>
        <w:snapToGrid w:val="0"/>
        <w:spacing w:line="560" w:lineRule="exact"/>
        <w:rPr>
          <w:szCs w:val="32"/>
        </w:rPr>
      </w:pPr>
      <w:r>
        <w:rPr>
          <w:rFonts w:hint="eastAsia"/>
          <w:szCs w:val="32"/>
        </w:rPr>
        <w:t>报价要求：</w:t>
      </w:r>
    </w:p>
    <w:p>
      <w:pPr>
        <w:pStyle w:val="6"/>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6"/>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6"/>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6"/>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6"/>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6"/>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6"/>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6"/>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pStyle w:val="6"/>
        <w:tabs>
          <w:tab w:val="left" w:pos="425"/>
        </w:tabs>
        <w:adjustRightInd w:val="0"/>
        <w:snapToGrid w:val="0"/>
        <w:spacing w:line="560" w:lineRule="exact"/>
        <w:rPr>
          <w:rFonts w:hint="eastAsia"/>
          <w:szCs w:val="32"/>
          <w:lang w:eastAsia="zh-CN"/>
        </w:rPr>
      </w:pPr>
      <w:bookmarkStart w:id="0" w:name="_GoBack"/>
      <w:bookmarkEnd w:id="0"/>
      <w:r>
        <w:rPr>
          <w:rFonts w:hint="eastAsia"/>
          <w:szCs w:val="32"/>
          <w:lang w:eastAsia="zh-CN"/>
        </w:rPr>
        <w:br w:type="page"/>
      </w:r>
    </w:p>
    <w:p>
      <w:pPr>
        <w:pStyle w:val="18"/>
        <w:spacing w:line="560" w:lineRule="exact"/>
        <w:rPr>
          <w:rFonts w:hint="eastAsia" w:ascii="仿宋_GB2312" w:hAnsi="微软雅黑" w:eastAsia="仿宋_GB2312" w:cs="仿宋_GB2312"/>
          <w:kern w:val="0"/>
          <w:sz w:val="32"/>
          <w:szCs w:val="32"/>
          <w:lang w:eastAsia="zh-CN"/>
        </w:rPr>
      </w:pPr>
      <w:r>
        <w:rPr>
          <w:rFonts w:hint="eastAsia" w:ascii="仿宋_GB2312" w:hAnsi="微软雅黑" w:eastAsia="仿宋_GB2312" w:cs="仿宋_GB2312"/>
          <w:kern w:val="0"/>
          <w:sz w:val="32"/>
          <w:szCs w:val="32"/>
          <w:lang w:eastAsia="zh-CN"/>
        </w:rPr>
        <w:t>附件</w:t>
      </w:r>
      <w:r>
        <w:rPr>
          <w:rFonts w:hint="eastAsia" w:ascii="仿宋_GB2312" w:hAnsi="微软雅黑" w:eastAsia="仿宋_GB2312" w:cs="仿宋_GB2312"/>
          <w:kern w:val="0"/>
          <w:sz w:val="32"/>
          <w:szCs w:val="32"/>
          <w:lang w:val="en-US" w:eastAsia="zh-CN"/>
        </w:rPr>
        <w:t>2：</w:t>
      </w:r>
    </w:p>
    <w:p>
      <w:pPr>
        <w:snapToGrid w:val="0"/>
        <w:ind w:left="678" w:hanging="663" w:hangingChars="150"/>
        <w:jc w:val="center"/>
        <w:rPr>
          <w:rFonts w:hint="eastAsia"/>
          <w:b/>
          <w:bCs w:val="0"/>
          <w:sz w:val="44"/>
        </w:rPr>
      </w:pPr>
      <w:r>
        <w:rPr>
          <w:rFonts w:hint="eastAsia"/>
          <w:b/>
          <w:bCs w:val="0"/>
          <w:sz w:val="44"/>
        </w:rPr>
        <w:t>神华黄骅港务公司</w:t>
      </w:r>
      <w:r>
        <w:rPr>
          <w:rFonts w:hint="eastAsia"/>
          <w:b/>
          <w:bCs w:val="0"/>
          <w:sz w:val="44"/>
          <w:lang w:eastAsia="zh-CN"/>
        </w:rPr>
        <w:t>富士安川变频器</w:t>
      </w:r>
      <w:r>
        <w:rPr>
          <w:rFonts w:hint="eastAsia"/>
          <w:b/>
          <w:bCs w:val="0"/>
          <w:sz w:val="44"/>
        </w:rPr>
        <w:t xml:space="preserve">         </w:t>
      </w:r>
      <w:r>
        <w:rPr>
          <w:rFonts w:hint="eastAsia"/>
          <w:b/>
          <w:bCs w:val="0"/>
          <w:sz w:val="44"/>
          <w:lang w:val="en-US" w:eastAsia="zh-CN"/>
        </w:rPr>
        <w:t xml:space="preserve"> </w:t>
      </w:r>
      <w:r>
        <w:rPr>
          <w:rFonts w:hint="eastAsia"/>
          <w:b/>
          <w:bCs w:val="0"/>
          <w:sz w:val="44"/>
        </w:rPr>
        <w:t>技术服务协议</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一、项目内容及范围：</w:t>
      </w:r>
    </w:p>
    <w:p>
      <w:pPr>
        <w:snapToGrid w:val="0"/>
        <w:spacing w:line="560" w:lineRule="exact"/>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神华黄骅港务公司</w:t>
      </w:r>
      <w:r>
        <w:rPr>
          <w:rFonts w:hint="eastAsia" w:ascii="仿宋_GB2312" w:hAnsi="宋体" w:eastAsia="仿宋_GB2312"/>
          <w:spacing w:val="6"/>
          <w:sz w:val="30"/>
          <w:szCs w:val="30"/>
          <w:lang w:eastAsia="zh-CN"/>
        </w:rPr>
        <w:t>富士安川变频器</w:t>
      </w:r>
      <w:r>
        <w:rPr>
          <w:rFonts w:hint="eastAsia" w:ascii="仿宋_GB2312" w:hAnsi="宋体" w:eastAsia="仿宋_GB2312"/>
          <w:spacing w:val="6"/>
          <w:sz w:val="30"/>
          <w:szCs w:val="30"/>
        </w:rPr>
        <w:t>的技术指导、培训及维修。</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二、服务期：</w:t>
      </w:r>
    </w:p>
    <w:p>
      <w:pPr>
        <w:snapToGrid w:val="0"/>
        <w:spacing w:line="360" w:lineRule="auto"/>
        <w:ind w:firstLine="624" w:firstLineChars="200"/>
        <w:jc w:val="left"/>
        <w:rPr>
          <w:rFonts w:ascii="仿宋_GB2312" w:hAnsi="宋体" w:eastAsia="仿宋_GB2312"/>
          <w:spacing w:val="6"/>
          <w:sz w:val="30"/>
          <w:szCs w:val="30"/>
        </w:rPr>
      </w:pPr>
      <w:r>
        <w:rPr>
          <w:rFonts w:hint="eastAsia" w:ascii="仿宋_GB2312" w:hAnsi="宋体" w:eastAsia="仿宋_GB2312"/>
          <w:spacing w:val="6"/>
          <w:sz w:val="30"/>
          <w:szCs w:val="30"/>
        </w:rPr>
        <w:t>2018年5月至2019年5月。服务期内投标方对发包方变频器的日常</w:t>
      </w:r>
      <w:r>
        <w:rPr>
          <w:rFonts w:hint="eastAsia" w:ascii="仿宋_GB2312" w:hAnsi="宋体" w:eastAsia="仿宋_GB2312"/>
          <w:spacing w:val="6"/>
          <w:sz w:val="30"/>
          <w:szCs w:val="30"/>
          <w:lang w:eastAsia="zh-CN"/>
        </w:rPr>
        <w:t>保养</w:t>
      </w:r>
      <w:r>
        <w:rPr>
          <w:rFonts w:hint="eastAsia" w:ascii="仿宋_GB2312" w:hAnsi="宋体" w:eastAsia="仿宋_GB2312"/>
          <w:spacing w:val="6"/>
          <w:sz w:val="30"/>
          <w:szCs w:val="30"/>
        </w:rPr>
        <w:t>、更新升级</w:t>
      </w:r>
      <w:r>
        <w:rPr>
          <w:rFonts w:hint="eastAsia" w:ascii="仿宋_GB2312" w:hAnsi="宋体" w:eastAsia="仿宋_GB2312"/>
          <w:spacing w:val="6"/>
          <w:sz w:val="30"/>
          <w:szCs w:val="30"/>
          <w:lang w:eastAsia="zh-CN"/>
        </w:rPr>
        <w:t>等</w:t>
      </w:r>
      <w:r>
        <w:rPr>
          <w:rFonts w:hint="eastAsia" w:ascii="仿宋_GB2312" w:hAnsi="宋体" w:eastAsia="仿宋_GB2312"/>
          <w:spacing w:val="6"/>
          <w:sz w:val="30"/>
          <w:szCs w:val="30"/>
        </w:rPr>
        <w:t>提供技术支持，并对损坏的变频器提供维修业务。</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三、服务内容：</w:t>
      </w:r>
    </w:p>
    <w:p>
      <w:pPr>
        <w:spacing w:line="360" w:lineRule="auto"/>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1、技术服务：投标方每个季度安排</w:t>
      </w:r>
      <w:r>
        <w:rPr>
          <w:rFonts w:hint="eastAsia" w:ascii="仿宋_GB2312" w:hAnsi="宋体" w:eastAsia="仿宋_GB2312"/>
          <w:spacing w:val="6"/>
          <w:sz w:val="30"/>
          <w:szCs w:val="30"/>
          <w:lang w:val="en-US" w:eastAsia="zh-CN"/>
        </w:rPr>
        <w:t>富士或安川授权的</w:t>
      </w:r>
      <w:r>
        <w:rPr>
          <w:rFonts w:hint="eastAsia" w:ascii="仿宋_GB2312" w:hAnsi="宋体" w:eastAsia="仿宋_GB2312"/>
          <w:spacing w:val="6"/>
          <w:sz w:val="30"/>
          <w:szCs w:val="30"/>
          <w:highlight w:val="none"/>
        </w:rPr>
        <w:t>工程师</w:t>
      </w:r>
      <w:r>
        <w:rPr>
          <w:rFonts w:hint="eastAsia" w:ascii="仿宋_GB2312" w:hAnsi="宋体" w:eastAsia="仿宋_GB2312"/>
          <w:spacing w:val="6"/>
          <w:sz w:val="30"/>
          <w:szCs w:val="30"/>
        </w:rPr>
        <w:t>协助招标方对全厂</w:t>
      </w:r>
      <w:r>
        <w:rPr>
          <w:rFonts w:hint="eastAsia" w:ascii="仿宋_GB2312" w:hAnsi="宋体" w:eastAsia="仿宋_GB2312"/>
          <w:spacing w:val="6"/>
          <w:sz w:val="30"/>
          <w:szCs w:val="30"/>
          <w:lang w:eastAsia="zh-CN"/>
        </w:rPr>
        <w:t>富士安川变频器</w:t>
      </w:r>
      <w:r>
        <w:rPr>
          <w:rFonts w:hint="eastAsia" w:ascii="仿宋_GB2312" w:hAnsi="宋体" w:eastAsia="仿宋_GB2312"/>
          <w:spacing w:val="6"/>
          <w:sz w:val="30"/>
          <w:szCs w:val="30"/>
        </w:rPr>
        <w:t>进行</w:t>
      </w:r>
      <w:r>
        <w:rPr>
          <w:rFonts w:hint="eastAsia" w:ascii="仿宋_GB2312" w:hAnsi="宋体" w:eastAsia="仿宋_GB2312"/>
          <w:spacing w:val="6"/>
          <w:sz w:val="30"/>
          <w:szCs w:val="30"/>
          <w:lang w:eastAsia="zh-CN"/>
        </w:rPr>
        <w:t>为期三天的</w:t>
      </w:r>
      <w:r>
        <w:rPr>
          <w:rFonts w:hint="eastAsia" w:ascii="仿宋_GB2312" w:hAnsi="宋体" w:eastAsia="仿宋_GB2312"/>
          <w:spacing w:val="6"/>
          <w:sz w:val="30"/>
          <w:szCs w:val="30"/>
        </w:rPr>
        <w:t>日常维保指导（清扫、除尘、散热处理等）及现场培训等技术服务。经招标方认可后，投标方相应收取服务费用，服务费用参见附件</w:t>
      </w:r>
      <w:r>
        <w:rPr>
          <w:rFonts w:hint="eastAsia" w:ascii="仿宋_GB2312" w:hAnsi="宋体" w:eastAsia="仿宋_GB2312"/>
          <w:spacing w:val="6"/>
          <w:sz w:val="30"/>
          <w:szCs w:val="30"/>
          <w:lang w:val="en-US" w:eastAsia="zh-CN"/>
        </w:rPr>
        <w:t>4</w:t>
      </w:r>
      <w:r>
        <w:rPr>
          <w:rFonts w:hint="eastAsia" w:ascii="仿宋_GB2312" w:hAnsi="宋体" w:eastAsia="仿宋_GB2312"/>
          <w:spacing w:val="6"/>
          <w:sz w:val="30"/>
          <w:szCs w:val="30"/>
        </w:rPr>
        <w:t>。</w:t>
      </w:r>
      <w:r>
        <w:rPr>
          <w:rFonts w:hint="eastAsia" w:ascii="仿宋_GB2312" w:hAnsi="宋体" w:eastAsia="仿宋_GB2312"/>
          <w:spacing w:val="6"/>
          <w:sz w:val="30"/>
          <w:szCs w:val="30"/>
          <w:lang w:eastAsia="zh-CN"/>
        </w:rPr>
        <w:t>培训时间由招标方提前一周通知。</w:t>
      </w:r>
      <w:r>
        <w:rPr>
          <w:rFonts w:hint="eastAsia" w:ascii="仿宋_GB2312" w:hAnsi="宋体" w:eastAsia="仿宋_GB2312"/>
          <w:spacing w:val="6"/>
          <w:sz w:val="30"/>
          <w:szCs w:val="30"/>
        </w:rPr>
        <w:t>投标方有义务</w:t>
      </w:r>
      <w:r>
        <w:rPr>
          <w:rFonts w:hint="eastAsia" w:ascii="仿宋_GB2312" w:hAnsi="宋体" w:eastAsia="仿宋_GB2312"/>
          <w:spacing w:val="6"/>
          <w:sz w:val="30"/>
          <w:szCs w:val="30"/>
          <w:lang w:eastAsia="zh-CN"/>
        </w:rPr>
        <w:t>根据招标方要求</w:t>
      </w:r>
      <w:r>
        <w:rPr>
          <w:rFonts w:hint="eastAsia" w:ascii="仿宋_GB2312" w:hAnsi="宋体" w:eastAsia="仿宋_GB2312"/>
          <w:spacing w:val="6"/>
          <w:sz w:val="30"/>
          <w:szCs w:val="30"/>
        </w:rPr>
        <w:t>指导设备升级选型及提供常规备件库存储备方案。</w:t>
      </w:r>
    </w:p>
    <w:p>
      <w:pPr>
        <w:spacing w:line="360" w:lineRule="auto"/>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2、设备维修服务：设备发生突发故障后，招标方可将现场故障设备的型号、序列号，故障代码、简单故障描述等提供给投标方，投标方需在12小时内达到招标方指定地点对故障设备进行检测诊断并根据检测情况经招标方允许后组织现场维修（或返厂维修）；要求：</w:t>
      </w:r>
    </w:p>
    <w:p>
      <w:pPr>
        <w:spacing w:line="360" w:lineRule="auto"/>
        <w:ind w:firstLine="312" w:firstLineChars="100"/>
        <w:rPr>
          <w:rFonts w:hint="eastAsia" w:ascii="仿宋_GB2312" w:hAnsi="宋体" w:eastAsia="仿宋_GB2312"/>
          <w:spacing w:val="6"/>
          <w:sz w:val="30"/>
          <w:szCs w:val="30"/>
        </w:rPr>
      </w:pPr>
      <w:r>
        <w:rPr>
          <w:rFonts w:hint="eastAsia" w:ascii="仿宋_GB2312" w:hAnsi="宋体" w:eastAsia="仿宋_GB2312"/>
          <w:spacing w:val="6"/>
          <w:sz w:val="30"/>
          <w:szCs w:val="30"/>
        </w:rPr>
        <w:t>（1）所更换元件必须提供</w:t>
      </w:r>
      <w:r>
        <w:rPr>
          <w:rFonts w:hint="eastAsia" w:ascii="仿宋_GB2312" w:hAnsi="宋体" w:eastAsia="仿宋_GB2312"/>
          <w:spacing w:val="6"/>
          <w:sz w:val="30"/>
          <w:szCs w:val="30"/>
          <w:lang w:eastAsia="zh-CN"/>
        </w:rPr>
        <w:t>富士安川</w:t>
      </w:r>
      <w:r>
        <w:rPr>
          <w:rFonts w:hint="eastAsia" w:ascii="仿宋_GB2312" w:hAnsi="宋体" w:eastAsia="仿宋_GB2312"/>
          <w:spacing w:val="6"/>
          <w:sz w:val="30"/>
          <w:szCs w:val="30"/>
        </w:rPr>
        <w:t>原厂证明，换下部件需同时运回招标方厂区指定地点。</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（2）IGBT一旦损坏，投标方须对一组IGBT进行更换。</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（3）投标方维修完成后需向招标方提交检测报告、出厂合格证明、及维修量确认单等材料。</w:t>
      </w:r>
      <w:r>
        <w:rPr>
          <w:rFonts w:hint="eastAsia" w:ascii="仿宋_GB2312" w:hAnsi="宋体" w:eastAsia="仿宋_GB2312"/>
          <w:spacing w:val="6"/>
          <w:sz w:val="30"/>
          <w:szCs w:val="30"/>
          <w:lang w:eastAsia="zh-CN"/>
        </w:rPr>
        <w:t>并将维修时间、维修单位及变频器基本参数以标牌或标签的形式固定到返修变频器上。</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（4）招标方有义务为投标方工程师提供施工所需的图纸、场地、水、电等便利条件。</w:t>
      </w:r>
    </w:p>
    <w:p>
      <w:pPr>
        <w:snapToGrid w:val="0"/>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四、验收标准</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1、变频器需满足</w:t>
      </w:r>
      <w:r>
        <w:rPr>
          <w:rFonts w:ascii="仿宋_GB2312" w:hAnsi="宋体" w:eastAsia="仿宋_GB2312"/>
          <w:spacing w:val="6"/>
          <w:sz w:val="30"/>
          <w:szCs w:val="30"/>
        </w:rPr>
        <w:t>GB/T3886.1</w:t>
      </w:r>
      <w:r>
        <w:rPr>
          <w:rFonts w:hint="eastAsia" w:ascii="仿宋_GB2312" w:hAnsi="宋体" w:eastAsia="仿宋_GB2312"/>
          <w:spacing w:val="6"/>
          <w:sz w:val="30"/>
          <w:szCs w:val="30"/>
        </w:rPr>
        <w:t>、</w:t>
      </w:r>
      <w:r>
        <w:rPr>
          <w:rFonts w:ascii="仿宋_GB2312" w:hAnsi="宋体" w:eastAsia="仿宋_GB2312"/>
          <w:spacing w:val="6"/>
          <w:sz w:val="30"/>
          <w:szCs w:val="30"/>
        </w:rPr>
        <w:t>GB/T3886.</w:t>
      </w:r>
      <w:r>
        <w:rPr>
          <w:rFonts w:hint="eastAsia" w:ascii="仿宋_GB2312" w:hAnsi="宋体" w:eastAsia="仿宋_GB2312"/>
          <w:spacing w:val="6"/>
          <w:sz w:val="30"/>
          <w:szCs w:val="30"/>
        </w:rPr>
        <w:t>2、</w:t>
      </w:r>
      <w:r>
        <w:rPr>
          <w:rFonts w:ascii="仿宋_GB2312" w:hAnsi="宋体" w:eastAsia="仿宋_GB2312"/>
          <w:spacing w:val="6"/>
          <w:sz w:val="30"/>
          <w:szCs w:val="30"/>
        </w:rPr>
        <w:t>GB3886.</w:t>
      </w:r>
      <w:r>
        <w:rPr>
          <w:rFonts w:hint="eastAsia" w:ascii="仿宋_GB2312" w:hAnsi="宋体" w:eastAsia="仿宋_GB2312"/>
          <w:spacing w:val="6"/>
          <w:sz w:val="30"/>
          <w:szCs w:val="30"/>
        </w:rPr>
        <w:t>3、</w:t>
      </w:r>
      <w:r>
        <w:rPr>
          <w:rFonts w:ascii="仿宋_GB2312" w:hAnsi="宋体" w:eastAsia="仿宋_GB2312"/>
          <w:spacing w:val="6"/>
          <w:sz w:val="30"/>
          <w:szCs w:val="30"/>
        </w:rPr>
        <w:t>GB/T3886.</w:t>
      </w:r>
      <w:r>
        <w:rPr>
          <w:rFonts w:hint="eastAsia" w:ascii="仿宋_GB2312" w:hAnsi="宋体" w:eastAsia="仿宋_GB2312"/>
          <w:spacing w:val="6"/>
          <w:sz w:val="30"/>
          <w:szCs w:val="30"/>
        </w:rPr>
        <w:t>4、</w:t>
      </w:r>
      <w:r>
        <w:rPr>
          <w:rFonts w:ascii="仿宋_GB2312" w:hAnsi="宋体" w:eastAsia="仿宋_GB2312"/>
          <w:spacing w:val="6"/>
          <w:sz w:val="30"/>
          <w:szCs w:val="30"/>
        </w:rPr>
        <w:t>GB3886.</w:t>
      </w:r>
      <w:r>
        <w:rPr>
          <w:rFonts w:hint="eastAsia" w:ascii="仿宋_GB2312" w:hAnsi="宋体" w:eastAsia="仿宋_GB2312"/>
          <w:spacing w:val="6"/>
          <w:sz w:val="30"/>
          <w:szCs w:val="30"/>
        </w:rPr>
        <w:t>5、</w:t>
      </w:r>
      <w:r>
        <w:rPr>
          <w:rFonts w:ascii="仿宋_GB2312" w:hAnsi="宋体" w:eastAsia="仿宋_GB2312"/>
          <w:spacing w:val="6"/>
          <w:sz w:val="30"/>
          <w:szCs w:val="30"/>
        </w:rPr>
        <w:t>GB/T3886.</w:t>
      </w:r>
      <w:r>
        <w:rPr>
          <w:rFonts w:hint="eastAsia" w:ascii="仿宋_GB2312" w:hAnsi="宋体" w:eastAsia="仿宋_GB2312"/>
          <w:spacing w:val="6"/>
          <w:sz w:val="30"/>
          <w:szCs w:val="30"/>
        </w:rPr>
        <w:t>6等国标的相关要求。</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2、外观正常，无损坏及变形</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3、输入/输出端与外壳绝缘测试试验合格</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4、额定输入电压时输出电压正常</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5、控制回路与外壳之间耐压试验合格</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6、正向、反向传动，定时加速、定时减速，输入输出数据等正常。</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7、轻载能力、额定电流测试数据正常</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8、1.5倍-2倍过电流能力试验合格</w:t>
      </w:r>
      <w:r>
        <w:rPr>
          <w:rFonts w:hint="eastAsia" w:ascii="仿宋_GB2312" w:hAnsi="宋体" w:eastAsia="仿宋_GB2312"/>
          <w:spacing w:val="6"/>
          <w:sz w:val="30"/>
          <w:szCs w:val="30"/>
          <w:lang w:eastAsia="zh-CN"/>
        </w:rPr>
        <w:t>。</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五、报价及结算方式</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宋体" w:eastAsia="仿宋_GB2312"/>
          <w:spacing w:val="6"/>
          <w:sz w:val="30"/>
          <w:szCs w:val="30"/>
        </w:rPr>
        <w:t>1、变频器技术服务报价采用单价形式进行报价。</w:t>
      </w:r>
      <w:r>
        <w:rPr>
          <w:rFonts w:hint="eastAsia" w:ascii="仿宋_GB2312" w:hAnsi="Times New Roman" w:eastAsia="仿宋_GB2312"/>
          <w:b/>
          <w:sz w:val="30"/>
          <w:szCs w:val="30"/>
        </w:rPr>
        <w:t xml:space="preserve"> </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宋体" w:eastAsia="仿宋_GB2312"/>
          <w:spacing w:val="6"/>
          <w:sz w:val="30"/>
          <w:szCs w:val="30"/>
        </w:rPr>
        <w:t xml:space="preserve">2、最终工程结算以实际发生工程量进行结算，即：工程结算价 = </w:t>
      </w:r>
      <w:r>
        <w:rPr>
          <w:rFonts w:hint="eastAsia" w:ascii="仿宋_GB2312" w:hAnsi="宋体" w:eastAsia="仿宋_GB2312"/>
          <w:spacing w:val="6"/>
          <w:sz w:val="30"/>
          <w:szCs w:val="30"/>
          <w:lang w:eastAsia="zh-CN"/>
        </w:rPr>
        <w:t>季度性技术服务</w:t>
      </w:r>
      <w:r>
        <w:rPr>
          <w:rFonts w:hint="eastAsia" w:ascii="仿宋_GB2312" w:hAnsi="宋体" w:eastAsia="仿宋_GB2312"/>
          <w:spacing w:val="6"/>
          <w:sz w:val="30"/>
          <w:szCs w:val="30"/>
        </w:rPr>
        <w:t>费+∑实际发生维修量×该项投标单价。每半年结算一次，结算时承包方需提前提供增值税专用发票。</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lang w:eastAsia="zh-CN"/>
        </w:rPr>
        <w:t>六</w:t>
      </w:r>
      <w:r>
        <w:rPr>
          <w:rFonts w:hint="eastAsia" w:ascii="仿宋_GB2312" w:hAnsi="Times New Roman" w:eastAsia="仿宋_GB2312"/>
          <w:b/>
          <w:sz w:val="30"/>
          <w:szCs w:val="30"/>
        </w:rPr>
        <w:t>、项目质保：</w:t>
      </w:r>
    </w:p>
    <w:p>
      <w:pPr>
        <w:snapToGrid w:val="0"/>
        <w:spacing w:line="360" w:lineRule="auto"/>
        <w:ind w:firstLine="312" w:firstLineChars="100"/>
        <w:rPr>
          <w:rFonts w:hint="eastAsia" w:ascii="仿宋_GB2312" w:hAnsi="宋体" w:eastAsia="仿宋_GB2312"/>
          <w:spacing w:val="6"/>
          <w:sz w:val="30"/>
          <w:szCs w:val="30"/>
        </w:rPr>
        <w:sectPr>
          <w:pgSz w:w="11906" w:h="16838"/>
          <w:pgMar w:top="1440" w:right="1800" w:bottom="1440" w:left="1800" w:header="851" w:footer="992" w:gutter="0"/>
          <w:cols w:space="425" w:num="1"/>
          <w:docGrid w:type="lines" w:linePitch="312" w:charSpace="0"/>
        </w:sectPr>
      </w:pPr>
      <w:r>
        <w:rPr>
          <w:rFonts w:hint="eastAsia" w:ascii="仿宋_GB2312" w:hAnsi="宋体" w:eastAsia="仿宋_GB2312"/>
          <w:spacing w:val="6"/>
          <w:sz w:val="30"/>
          <w:szCs w:val="30"/>
        </w:rPr>
        <w:t>1、维修后变频器质保期为12个月，质保期范围内若变频器不能满足现场运行条件，承包方须重新对变频器进行返厂维修，直至变频器满足运行条件为止。</w:t>
      </w:r>
    </w:p>
    <w:p>
      <w:pPr>
        <w:rPr>
          <w:rFonts w:ascii="宋体" w:hAnsi="宋体" w:cs="宋体"/>
          <w:b w:val="0"/>
          <w:bCs w:val="0"/>
          <w:sz w:val="28"/>
          <w:szCs w:val="28"/>
        </w:rPr>
      </w:pPr>
      <w:r>
        <w:rPr>
          <w:rFonts w:hint="eastAsia" w:ascii="宋体" w:hAnsi="宋体" w:cs="宋体"/>
          <w:b w:val="0"/>
          <w:bCs w:val="0"/>
          <w:sz w:val="28"/>
          <w:szCs w:val="28"/>
        </w:rPr>
        <w:t>附件</w:t>
      </w:r>
      <w:r>
        <w:rPr>
          <w:rFonts w:hint="eastAsia" w:ascii="宋体" w:hAnsi="宋体" w:cs="宋体"/>
          <w:b w:val="0"/>
          <w:bCs w:val="0"/>
          <w:sz w:val="28"/>
          <w:szCs w:val="28"/>
          <w:lang w:val="en-US" w:eastAsia="zh-CN"/>
        </w:rPr>
        <w:t>3</w:t>
      </w:r>
      <w:r>
        <w:rPr>
          <w:rFonts w:hint="eastAsia" w:ascii="宋体" w:hAnsi="宋体" w:cs="宋体"/>
          <w:b w:val="0"/>
          <w:bCs w:val="0"/>
          <w:sz w:val="28"/>
          <w:szCs w:val="28"/>
        </w:rPr>
        <w:t>：</w:t>
      </w:r>
    </w:p>
    <w:p>
      <w:pPr>
        <w:jc w:val="center"/>
        <w:rPr>
          <w:rFonts w:ascii="宋体" w:hAnsi="宋体" w:cs="宋体"/>
          <w:b/>
          <w:bCs/>
          <w:sz w:val="28"/>
          <w:szCs w:val="28"/>
        </w:rPr>
      </w:pPr>
      <w:r>
        <w:rPr>
          <w:rFonts w:hint="eastAsia" w:ascii="宋体" w:hAnsi="宋体" w:cs="宋体"/>
          <w:b/>
          <w:bCs/>
          <w:sz w:val="28"/>
          <w:szCs w:val="28"/>
          <w:lang w:eastAsia="zh-CN"/>
        </w:rPr>
        <w:t>富士安川变频器</w:t>
      </w:r>
      <w:r>
        <w:rPr>
          <w:rFonts w:hint="eastAsia" w:ascii="宋体" w:hAnsi="宋体" w:cs="宋体"/>
          <w:b/>
          <w:bCs/>
          <w:sz w:val="28"/>
          <w:szCs w:val="28"/>
        </w:rPr>
        <w:t>维</w:t>
      </w:r>
      <w:r>
        <w:rPr>
          <w:rFonts w:hint="eastAsia" w:ascii="宋体" w:hAnsi="宋体" w:cs="宋体"/>
          <w:b/>
          <w:bCs/>
          <w:sz w:val="28"/>
          <w:szCs w:val="28"/>
          <w:lang w:eastAsia="zh-CN"/>
        </w:rPr>
        <w:t>保</w:t>
      </w:r>
      <w:r>
        <w:rPr>
          <w:rFonts w:hint="eastAsia" w:ascii="宋体" w:hAnsi="宋体" w:cs="宋体"/>
          <w:b/>
          <w:bCs/>
          <w:sz w:val="28"/>
          <w:szCs w:val="28"/>
        </w:rPr>
        <w:t>分项报价单</w:t>
      </w:r>
    </w:p>
    <w:tbl>
      <w:tblPr>
        <w:tblStyle w:val="14"/>
        <w:tblW w:w="124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50"/>
        <w:gridCol w:w="1508"/>
        <w:gridCol w:w="1754"/>
        <w:gridCol w:w="1965"/>
        <w:gridCol w:w="1080"/>
        <w:gridCol w:w="1560"/>
        <w:gridCol w:w="1050"/>
        <w:gridCol w:w="1080"/>
        <w:gridCol w:w="1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615"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项目类别</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功率</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分项名称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分项单价控制价</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分项单项投标报价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预计维修数量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分项总价控制价</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i w:val="0"/>
                <w:color w:val="000000"/>
                <w:kern w:val="0"/>
                <w:sz w:val="22"/>
                <w:szCs w:val="22"/>
                <w:u w:val="none"/>
                <w:lang w:val="en-US" w:eastAsia="zh-CN" w:bidi="ar"/>
              </w:rPr>
              <w:t>分项总价投    标报价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5"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技术服务</w:t>
            </w:r>
          </w:p>
        </w:tc>
        <w:tc>
          <w:tcPr>
            <w:tcW w:w="17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维修服务</w:t>
            </w: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0＜X≤20KW</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IGBT（组）</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22500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7"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20＜X≤50KW</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17"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9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IGBT（组）</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2"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07"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8"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50＜X≤100KW</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1"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0"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IGBT（组）</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16500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82500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trPr>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2200</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7" w:hRule="atLeast"/>
        </w:trPr>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50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754"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965"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c>
          <w:tcPr>
            <w:tcW w:w="156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2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5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pPr>
          </w:p>
        </w:tc>
        <w:tc>
          <w:tcPr>
            <w:tcW w:w="17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100＜X≤300KW</w:t>
            </w: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0"/>
                <w:szCs w:val="20"/>
                <w:u w:val="none"/>
                <w:lang w:val="en-US" w:eastAsia="zh-CN" w:bidi="ar"/>
              </w:rPr>
              <w:t>电源板</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0"/>
                <w:szCs w:val="20"/>
                <w:u w:val="none"/>
                <w:lang w:val="en-US" w:eastAsia="zh-CN" w:bidi="ar"/>
              </w:rPr>
              <w:t>5000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5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7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主控板</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6000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6000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19</w:t>
            </w:r>
          </w:p>
        </w:tc>
        <w:tc>
          <w:tcPr>
            <w:tcW w:w="15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7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IGBT（组）</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32000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3</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96000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20</w:t>
            </w:r>
          </w:p>
        </w:tc>
        <w:tc>
          <w:tcPr>
            <w:tcW w:w="15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7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电容</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2400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2400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1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21</w:t>
            </w:r>
          </w:p>
        </w:tc>
        <w:tc>
          <w:tcPr>
            <w:tcW w:w="15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7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电阻</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1800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黑体" w:hAnsi="宋体" w:eastAsia="黑体" w:cs="黑体"/>
                <w:i w:val="0"/>
                <w:color w:val="000000"/>
                <w:kern w:val="0"/>
                <w:sz w:val="20"/>
                <w:szCs w:val="20"/>
                <w:u w:val="none"/>
                <w:lang w:val="en-US" w:eastAsia="zh-CN" w:bidi="ar"/>
              </w:rPr>
              <w:t>1</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1800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26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合计</w:t>
            </w:r>
          </w:p>
        </w:tc>
        <w:tc>
          <w:tcPr>
            <w:tcW w:w="17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w:t>
            </w:r>
          </w:p>
        </w:tc>
        <w:tc>
          <w:tcPr>
            <w:tcW w:w="19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114800</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365500</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000000"/>
                <w:kern w:val="0"/>
                <w:sz w:val="20"/>
                <w:szCs w:val="20"/>
                <w:u w:val="none"/>
                <w:lang w:val="en-US" w:eastAsia="zh-CN" w:bidi="ar"/>
              </w:rPr>
            </w:pPr>
          </w:p>
        </w:tc>
      </w:tr>
    </w:tbl>
    <w:p>
      <w:pPr>
        <w:jc w:val="center"/>
        <w:rPr>
          <w:rFonts w:ascii="仿宋_GB2312" w:hAnsi="宋体" w:eastAsia="仿宋_GB2312"/>
          <w:spacing w:val="6"/>
          <w:sz w:val="30"/>
          <w:szCs w:val="30"/>
        </w:rPr>
      </w:pPr>
      <w:r>
        <w:rPr>
          <w:rFonts w:hint="eastAsia" w:ascii="宋体" w:hAnsi="宋体" w:cs="宋体"/>
          <w:b/>
          <w:bCs/>
          <w:sz w:val="28"/>
          <w:szCs w:val="28"/>
        </w:rPr>
        <w:t>备注：</w:t>
      </w:r>
      <w:r>
        <w:rPr>
          <w:rFonts w:hint="eastAsia" w:ascii="仿宋_GB2312" w:hAnsi="宋体" w:eastAsia="仿宋_GB2312"/>
          <w:spacing w:val="6"/>
          <w:sz w:val="30"/>
          <w:szCs w:val="30"/>
        </w:rPr>
        <w:t>1、</w:t>
      </w:r>
      <w:r>
        <w:rPr>
          <w:rFonts w:hint="eastAsia" w:ascii="仿宋_GB2312" w:hAnsi="宋体" w:eastAsia="仿宋_GB2312"/>
          <w:spacing w:val="6"/>
          <w:sz w:val="30"/>
          <w:szCs w:val="30"/>
          <w:lang w:eastAsia="zh-CN"/>
        </w:rPr>
        <w:t>富士安川变频器</w:t>
      </w:r>
      <w:r>
        <w:rPr>
          <w:rFonts w:hint="eastAsia" w:ascii="仿宋_GB2312" w:hAnsi="宋体" w:eastAsia="仿宋_GB2312"/>
          <w:spacing w:val="6"/>
          <w:sz w:val="30"/>
          <w:szCs w:val="30"/>
        </w:rPr>
        <w:t>技术服务包含</w:t>
      </w:r>
      <w:r>
        <w:rPr>
          <w:rFonts w:hint="eastAsia" w:ascii="仿宋_GB2312" w:hAnsi="宋体" w:eastAsia="仿宋_GB2312"/>
          <w:spacing w:val="6"/>
          <w:sz w:val="30"/>
          <w:szCs w:val="30"/>
          <w:lang w:eastAsia="zh-CN"/>
        </w:rPr>
        <w:t>季度性技术支持</w:t>
      </w:r>
      <w:r>
        <w:rPr>
          <w:rFonts w:hint="eastAsia" w:ascii="仿宋_GB2312" w:hAnsi="宋体" w:eastAsia="仿宋_GB2312"/>
          <w:spacing w:val="6"/>
          <w:sz w:val="30"/>
          <w:szCs w:val="30"/>
        </w:rPr>
        <w:t>及</w:t>
      </w:r>
      <w:r>
        <w:rPr>
          <w:rFonts w:hint="eastAsia" w:ascii="仿宋_GB2312" w:hAnsi="宋体" w:eastAsia="仿宋_GB2312"/>
          <w:spacing w:val="6"/>
          <w:sz w:val="30"/>
          <w:szCs w:val="30"/>
          <w:lang w:eastAsia="zh-CN"/>
        </w:rPr>
        <w:t>应急性</w:t>
      </w:r>
      <w:r>
        <w:rPr>
          <w:rFonts w:hint="eastAsia" w:ascii="仿宋_GB2312" w:hAnsi="宋体" w:eastAsia="仿宋_GB2312"/>
          <w:spacing w:val="6"/>
          <w:sz w:val="30"/>
          <w:szCs w:val="30"/>
        </w:rPr>
        <w:t>维修两部分。</w:t>
      </w:r>
      <w:r>
        <w:rPr>
          <w:rFonts w:hint="eastAsia" w:ascii="仿宋_GB2312" w:hAnsi="宋体" w:eastAsia="仿宋_GB2312"/>
          <w:spacing w:val="6"/>
          <w:sz w:val="30"/>
          <w:szCs w:val="30"/>
          <w:lang w:eastAsia="zh-CN"/>
        </w:rPr>
        <w:t>技术支持</w:t>
      </w:r>
      <w:r>
        <w:rPr>
          <w:rFonts w:hint="eastAsia" w:ascii="仿宋_GB2312" w:hAnsi="宋体" w:eastAsia="仿宋_GB2312"/>
          <w:spacing w:val="6"/>
          <w:sz w:val="30"/>
          <w:szCs w:val="30"/>
        </w:rPr>
        <w:t>费用按固定总价形式报价；维修费用根据检测报告、故障分析等相关材料为依据选择性发生或不发生（其余未列的维修项目由投标方负责免费维修）。维修所产生人工成本、运输成本等其他费用均包含在分项元件报价中，招标方不再另行支付。</w:t>
      </w:r>
    </w:p>
    <w:p>
      <w:pPr>
        <w:spacing w:line="440" w:lineRule="exact"/>
        <w:ind w:firstLine="936" w:firstLineChars="300"/>
        <w:rPr>
          <w:rFonts w:ascii="仿宋_GB2312" w:hAnsi="宋体" w:eastAsia="仿宋_GB2312"/>
          <w:spacing w:val="6"/>
          <w:sz w:val="30"/>
          <w:szCs w:val="30"/>
        </w:rPr>
      </w:pPr>
      <w:r>
        <w:rPr>
          <w:rFonts w:hint="eastAsia" w:ascii="仿宋_GB2312" w:hAnsi="宋体" w:eastAsia="仿宋_GB2312"/>
          <w:spacing w:val="6"/>
          <w:sz w:val="30"/>
          <w:szCs w:val="30"/>
          <w:lang w:val="en-US" w:eastAsia="zh-CN"/>
        </w:rPr>
        <w:t>2</w:t>
      </w:r>
      <w:r>
        <w:rPr>
          <w:rFonts w:hint="eastAsia" w:ascii="仿宋_GB2312" w:hAnsi="宋体" w:eastAsia="仿宋_GB2312"/>
          <w:spacing w:val="6"/>
          <w:sz w:val="30"/>
          <w:szCs w:val="30"/>
        </w:rPr>
        <w:t>、要求投标人单项投标报价均不得高于表中本单项控制价，投标价总计= ∑</w:t>
      </w:r>
      <w:r>
        <w:rPr>
          <w:rFonts w:hint="eastAsia" w:ascii="仿宋_GB2312" w:hAnsi="宋体" w:eastAsia="仿宋_GB2312"/>
          <w:spacing w:val="6"/>
          <w:sz w:val="30"/>
          <w:szCs w:val="30"/>
          <w:lang w:eastAsia="zh-CN"/>
        </w:rPr>
        <w:t>分</w:t>
      </w:r>
      <w:r>
        <w:rPr>
          <w:rFonts w:hint="eastAsia" w:ascii="仿宋_GB2312" w:hAnsi="宋体" w:eastAsia="仿宋_GB2312"/>
          <w:spacing w:val="6"/>
          <w:sz w:val="30"/>
          <w:szCs w:val="30"/>
        </w:rPr>
        <w:t>项投标</w:t>
      </w:r>
      <w:r>
        <w:rPr>
          <w:rFonts w:hint="eastAsia" w:ascii="仿宋_GB2312" w:hAnsi="宋体" w:eastAsia="仿宋_GB2312"/>
          <w:spacing w:val="6"/>
          <w:sz w:val="30"/>
          <w:szCs w:val="30"/>
          <w:lang w:eastAsia="zh-CN"/>
        </w:rPr>
        <w:t>总价</w:t>
      </w:r>
      <w:r>
        <w:rPr>
          <w:rFonts w:hint="eastAsia" w:ascii="仿宋_GB2312" w:hAnsi="宋体" w:eastAsia="仿宋_GB2312"/>
          <w:spacing w:val="6"/>
          <w:sz w:val="30"/>
          <w:szCs w:val="30"/>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0"/>
        <w:rPr>
          <w:rFonts w:hint="eastAsia"/>
          <w:szCs w:val="32"/>
          <w:lang w:eastAsia="zh-CN"/>
        </w:rPr>
      </w:pPr>
    </w:p>
    <w:sectPr>
      <w:pgSz w:w="16838" w:h="11906" w:orient="landscape"/>
      <w:pgMar w:top="1588" w:right="2098" w:bottom="1474" w:left="1985" w:header="851" w:footer="992" w:gutter="56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CG Times">
    <w:altName w:val="Times New Roman"/>
    <w:panose1 w:val="02020603050405020304"/>
    <w:charset w:val="00"/>
    <w:family w:val="roman"/>
    <w:pitch w:val="default"/>
    <w:sig w:usb0="00000000" w:usb1="00000000" w:usb2="00000000" w:usb3="00000000" w:csb0="00000093" w:csb1="00000000"/>
  </w:font>
  <w:font w:name="RomanD">
    <w:altName w:val="Segoe Print"/>
    <w:panose1 w:val="00000400000000000000"/>
    <w:charset w:val="00"/>
    <w:family w:val="auto"/>
    <w:pitch w:val="default"/>
    <w:sig w:usb0="00000000" w:usb1="00000000" w:usb2="00000000" w:usb3="00000000" w:csb0="000001FF" w:csb1="0000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全真中明體">
    <w:altName w:val="MingLiU-ExtB"/>
    <w:panose1 w:val="00000000000000000000"/>
    <w:charset w:val="88"/>
    <w:family w:val="modern"/>
    <w:pitch w:val="default"/>
    <w:sig w:usb0="00000000" w:usb1="00000000" w:usb2="00000010" w:usb3="00000000" w:csb0="00100000" w:csb1="00000000"/>
  </w:font>
  <w:font w:name="CG Omega">
    <w:altName w:val="Segoe Print"/>
    <w:panose1 w:val="020B0502050508020304"/>
    <w:charset w:val="00"/>
    <w:family w:val="swiss"/>
    <w:pitch w:val="default"/>
    <w:sig w:usb0="00000000" w:usb1="00000000" w:usb2="00000000" w:usb3="00000000" w:csb0="00000093" w:csb1="00000000"/>
  </w:font>
  <w:font w:name="Abadi MT Condensed Light">
    <w:altName w:val="MV Boli"/>
    <w:panose1 w:val="020B0306030101010103"/>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ntique Olive Roman">
    <w:altName w:val="Arial"/>
    <w:panose1 w:val="00000000000000000000"/>
    <w:charset w:val="00"/>
    <w:family w:val="swiss"/>
    <w:pitch w:val="default"/>
    <w:sig w:usb0="00000000" w:usb1="00000000" w:usb2="00000000" w:usb3="00000000" w:csb0="00000001" w:csb1="00000000"/>
  </w:font>
  <w:font w:name="Arial (W1)">
    <w:altName w:val="Arial"/>
    <w:panose1 w:val="020B0604020202020204"/>
    <w:charset w:val="00"/>
    <w:family w:val="swiss"/>
    <w:pitch w:val="default"/>
    <w:sig w:usb0="00000000" w:usb1="00000000" w:usb2="00000008" w:usb3="00000000" w:csb0="000001FF" w:csb1="00000000"/>
  </w:font>
  <w:font w:name="Times New (W1)">
    <w:altName w:val="Times New Roman"/>
    <w:panose1 w:val="00000000000000000000"/>
    <w:charset w:val="00"/>
    <w:family w:val="roman"/>
    <w:pitch w:val="default"/>
    <w:sig w:usb0="00000000" w:usb1="00000000" w:usb2="00000008" w:usb3="00000000" w:csb0="000001F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20509000000000000"/>
    <w:charset w:val="88"/>
    <w:family w:val="auto"/>
    <w:pitch w:val="default"/>
    <w:sig w:usb0="00000000" w:usb1="00000000" w:usb2="00000016" w:usb3="00000000" w:csb0="00100001" w:csb1="00000000"/>
  </w:font>
  <w:font w:name="MV Boli">
    <w:panose1 w:val="02000500030200090000"/>
    <w:charset w:val="00"/>
    <w:family w:val="auto"/>
    <w:pitch w:val="default"/>
    <w:sig w:usb0="00000003" w:usb1="00000000" w:usb2="00000100" w:usb3="00000000" w:csb0="00000001"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PMingLiU">
    <w:altName w:val="PMingLiU-ExtB"/>
    <w:panose1 w:val="02020500000000000000"/>
    <w:charset w:val="88"/>
    <w:family w:val="auto"/>
    <w:pitch w:val="default"/>
    <w:sig w:usb0="00000000" w:usb1="00000000" w:usb2="00000016" w:usb3="00000000" w:csb0="00100001" w:csb1="00000000"/>
  </w:font>
  <w:font w:name="Wingdings 3">
    <w:panose1 w:val="05040102010807070707"/>
    <w:charset w:val="00"/>
    <w:family w:val="auto"/>
    <w:pitch w:val="default"/>
    <w:sig w:usb0="00000000" w:usb1="00000000" w:usb2="00000000" w:usb3="00000000" w:csb0="80000000" w:csb1="00000000"/>
  </w:font>
  <w:font w:name="Microsoft Sans Serif">
    <w:panose1 w:val="020B0604020202020204"/>
    <w:charset w:val="00"/>
    <w:family w:val="auto"/>
    <w:pitch w:val="default"/>
    <w:sig w:usb0="E5002EFF" w:usb1="C000605B" w:usb2="00000029" w:usb3="00000000" w:csb0="200101FF" w:csb1="2028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D58E5"/>
    <w:rsid w:val="00040DAC"/>
    <w:rsid w:val="00040F8B"/>
    <w:rsid w:val="00064136"/>
    <w:rsid w:val="000676D4"/>
    <w:rsid w:val="0007275A"/>
    <w:rsid w:val="00072840"/>
    <w:rsid w:val="00094887"/>
    <w:rsid w:val="000D58E5"/>
    <w:rsid w:val="000E634A"/>
    <w:rsid w:val="000F4BA1"/>
    <w:rsid w:val="0011014F"/>
    <w:rsid w:val="00113D04"/>
    <w:rsid w:val="00144456"/>
    <w:rsid w:val="0019000B"/>
    <w:rsid w:val="001A2F03"/>
    <w:rsid w:val="001B02C9"/>
    <w:rsid w:val="001C7AA0"/>
    <w:rsid w:val="001E13F8"/>
    <w:rsid w:val="001F1AA1"/>
    <w:rsid w:val="001F42C5"/>
    <w:rsid w:val="001F6DB6"/>
    <w:rsid w:val="00203DB3"/>
    <w:rsid w:val="00207BAD"/>
    <w:rsid w:val="0025154F"/>
    <w:rsid w:val="00263238"/>
    <w:rsid w:val="002650BE"/>
    <w:rsid w:val="0027393E"/>
    <w:rsid w:val="002A586F"/>
    <w:rsid w:val="002C758E"/>
    <w:rsid w:val="002D0E42"/>
    <w:rsid w:val="0030640B"/>
    <w:rsid w:val="00312518"/>
    <w:rsid w:val="003225C0"/>
    <w:rsid w:val="00391BD3"/>
    <w:rsid w:val="003A215E"/>
    <w:rsid w:val="003B3DD8"/>
    <w:rsid w:val="003B4E8D"/>
    <w:rsid w:val="003C1FF4"/>
    <w:rsid w:val="003C57D9"/>
    <w:rsid w:val="003C5B4D"/>
    <w:rsid w:val="003D3CAB"/>
    <w:rsid w:val="00415586"/>
    <w:rsid w:val="00417ACF"/>
    <w:rsid w:val="00421C77"/>
    <w:rsid w:val="004238B9"/>
    <w:rsid w:val="004A2E74"/>
    <w:rsid w:val="004B3D50"/>
    <w:rsid w:val="004D3290"/>
    <w:rsid w:val="004F16DF"/>
    <w:rsid w:val="0050313E"/>
    <w:rsid w:val="00507B55"/>
    <w:rsid w:val="00512A35"/>
    <w:rsid w:val="00553CCA"/>
    <w:rsid w:val="00570FEC"/>
    <w:rsid w:val="0057226C"/>
    <w:rsid w:val="00572A6F"/>
    <w:rsid w:val="00597B2F"/>
    <w:rsid w:val="005A6BCB"/>
    <w:rsid w:val="005C31A8"/>
    <w:rsid w:val="00603296"/>
    <w:rsid w:val="006207AF"/>
    <w:rsid w:val="006513C2"/>
    <w:rsid w:val="00685315"/>
    <w:rsid w:val="00692BFD"/>
    <w:rsid w:val="006939C6"/>
    <w:rsid w:val="006C6E51"/>
    <w:rsid w:val="006E4603"/>
    <w:rsid w:val="0073657D"/>
    <w:rsid w:val="00795677"/>
    <w:rsid w:val="007A2854"/>
    <w:rsid w:val="007A5BFC"/>
    <w:rsid w:val="008154EF"/>
    <w:rsid w:val="00865494"/>
    <w:rsid w:val="0086793D"/>
    <w:rsid w:val="00886145"/>
    <w:rsid w:val="00890918"/>
    <w:rsid w:val="008A449B"/>
    <w:rsid w:val="008B55DE"/>
    <w:rsid w:val="008D5A1C"/>
    <w:rsid w:val="008E4B08"/>
    <w:rsid w:val="008E7824"/>
    <w:rsid w:val="008F674F"/>
    <w:rsid w:val="009147E4"/>
    <w:rsid w:val="009447C2"/>
    <w:rsid w:val="009540AF"/>
    <w:rsid w:val="00955A4D"/>
    <w:rsid w:val="0096164B"/>
    <w:rsid w:val="009770EE"/>
    <w:rsid w:val="0098498E"/>
    <w:rsid w:val="00996054"/>
    <w:rsid w:val="009C3C82"/>
    <w:rsid w:val="009E1C97"/>
    <w:rsid w:val="009E587A"/>
    <w:rsid w:val="00A019C0"/>
    <w:rsid w:val="00A12719"/>
    <w:rsid w:val="00A62E02"/>
    <w:rsid w:val="00A6662D"/>
    <w:rsid w:val="00A715EA"/>
    <w:rsid w:val="00AB1363"/>
    <w:rsid w:val="00AC1B74"/>
    <w:rsid w:val="00AD5704"/>
    <w:rsid w:val="00B240E9"/>
    <w:rsid w:val="00B717CA"/>
    <w:rsid w:val="00C024A0"/>
    <w:rsid w:val="00C138BA"/>
    <w:rsid w:val="00C1587A"/>
    <w:rsid w:val="00C34000"/>
    <w:rsid w:val="00C4795E"/>
    <w:rsid w:val="00C47CA9"/>
    <w:rsid w:val="00C75B45"/>
    <w:rsid w:val="00CA6B8D"/>
    <w:rsid w:val="00CB2C1A"/>
    <w:rsid w:val="00D22768"/>
    <w:rsid w:val="00D41EE6"/>
    <w:rsid w:val="00D47F96"/>
    <w:rsid w:val="00D56A80"/>
    <w:rsid w:val="00D75473"/>
    <w:rsid w:val="00DD56C8"/>
    <w:rsid w:val="00E053A6"/>
    <w:rsid w:val="00E1151E"/>
    <w:rsid w:val="00E138C3"/>
    <w:rsid w:val="00E43C0C"/>
    <w:rsid w:val="00E45476"/>
    <w:rsid w:val="00E61596"/>
    <w:rsid w:val="00EB73FC"/>
    <w:rsid w:val="00ED05D2"/>
    <w:rsid w:val="00F01696"/>
    <w:rsid w:val="00F420DC"/>
    <w:rsid w:val="00FB603E"/>
    <w:rsid w:val="00FC5B82"/>
    <w:rsid w:val="00FC7E71"/>
    <w:rsid w:val="00FE6BE2"/>
    <w:rsid w:val="00FE769B"/>
    <w:rsid w:val="01630950"/>
    <w:rsid w:val="02863822"/>
    <w:rsid w:val="04211045"/>
    <w:rsid w:val="069678C4"/>
    <w:rsid w:val="14106588"/>
    <w:rsid w:val="1B0F3EED"/>
    <w:rsid w:val="1CBC7B7D"/>
    <w:rsid w:val="1FA175E3"/>
    <w:rsid w:val="2B056A78"/>
    <w:rsid w:val="2BAB3095"/>
    <w:rsid w:val="2E0C3A1F"/>
    <w:rsid w:val="41D52CFC"/>
    <w:rsid w:val="41DF0AF5"/>
    <w:rsid w:val="58897053"/>
    <w:rsid w:val="5DC53E5E"/>
    <w:rsid w:val="5F38510B"/>
    <w:rsid w:val="64070B36"/>
    <w:rsid w:val="6AB913AC"/>
    <w:rsid w:val="6AD65961"/>
    <w:rsid w:val="6C856ECE"/>
    <w:rsid w:val="76CF707E"/>
    <w:rsid w:val="79616B44"/>
    <w:rsid w:val="7DA2117F"/>
    <w:rsid w:val="7E524AD9"/>
    <w:rsid w:val="7E970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25"/>
    <w:qFormat/>
    <w:uiPriority w:val="0"/>
    <w:rPr>
      <w:rFonts w:ascii="Times New Roman" w:hAnsi="Times New Roman" w:eastAsia="仿宋_GB2312" w:cs="Times New Roman"/>
      <w:sz w:val="32"/>
      <w:szCs w:val="20"/>
    </w:rPr>
  </w:style>
  <w:style w:type="paragraph" w:styleId="4">
    <w:name w:val="Body Text Indent"/>
    <w:basedOn w:val="1"/>
    <w:link w:val="24"/>
    <w:qFormat/>
    <w:uiPriority w:val="0"/>
    <w:pPr>
      <w:snapToGrid w:val="0"/>
      <w:ind w:firstLine="420" w:firstLineChars="200"/>
    </w:pPr>
    <w:rPr>
      <w:rFonts w:ascii="宋体" w:hAnsi="宋体"/>
      <w:szCs w:val="24"/>
    </w:rPr>
  </w:style>
  <w:style w:type="paragraph" w:styleId="5">
    <w:name w:val="Plain Text"/>
    <w:basedOn w:val="1"/>
    <w:link w:val="20"/>
    <w:unhideWhenUsed/>
    <w:qFormat/>
    <w:uiPriority w:val="0"/>
    <w:rPr>
      <w:rFonts w:ascii="宋体" w:hAnsi="Courier New" w:eastAsia="宋体" w:cs="Times New Roman"/>
      <w:sz w:val="24"/>
      <w:szCs w:val="20"/>
    </w:rPr>
  </w:style>
  <w:style w:type="paragraph" w:styleId="6">
    <w:name w:val="Body Text Indent 2"/>
    <w:basedOn w:val="1"/>
    <w:link w:val="26"/>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7">
    <w:name w:val="Balloon Text"/>
    <w:basedOn w:val="1"/>
    <w:link w:val="22"/>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Calibri" w:hAnsi="Calibri" w:eastAsia="宋体" w:cs="Times New Roman"/>
      <w:kern w:val="0"/>
      <w:sz w:val="22"/>
    </w:rPr>
  </w:style>
  <w:style w:type="character" w:styleId="12">
    <w:name w:val="page number"/>
    <w:basedOn w:val="11"/>
    <w:qFormat/>
    <w:uiPriority w:val="0"/>
  </w:style>
  <w:style w:type="character" w:styleId="13">
    <w:name w:val="Hyperlink"/>
    <w:unhideWhenUsed/>
    <w:qFormat/>
    <w:uiPriority w:val="99"/>
    <w:rPr>
      <w:color w:val="0000FF"/>
      <w:u w:val="single"/>
    </w:rPr>
  </w:style>
  <w:style w:type="table" w:styleId="15">
    <w:name w:val="Table Grid"/>
    <w:basedOn w:val="1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页眉 Char"/>
    <w:basedOn w:val="11"/>
    <w:link w:val="9"/>
    <w:qFormat/>
    <w:uiPriority w:val="99"/>
    <w:rPr>
      <w:sz w:val="18"/>
      <w:szCs w:val="18"/>
    </w:rPr>
  </w:style>
  <w:style w:type="character" w:customStyle="1" w:styleId="17">
    <w:name w:val="页脚 Char"/>
    <w:basedOn w:val="11"/>
    <w:link w:val="8"/>
    <w:qFormat/>
    <w:uiPriority w:val="99"/>
    <w:rPr>
      <w:sz w:val="18"/>
      <w:szCs w:val="18"/>
    </w:rPr>
  </w:style>
  <w:style w:type="paragraph" w:customStyle="1" w:styleId="18">
    <w:name w:val="p0"/>
    <w:basedOn w:val="1"/>
    <w:qFormat/>
    <w:uiPriority w:val="0"/>
    <w:pPr>
      <w:widowControl/>
      <w:jc w:val="left"/>
    </w:pPr>
    <w:rPr>
      <w:rFonts w:ascii="Times New Roman" w:hAnsi="Times New Roman" w:eastAsia="宋体" w:cs="Times New Roman"/>
      <w:szCs w:val="24"/>
    </w:rPr>
  </w:style>
  <w:style w:type="character" w:customStyle="1" w:styleId="19">
    <w:name w:val="标题 1 Char"/>
    <w:basedOn w:val="11"/>
    <w:link w:val="2"/>
    <w:qFormat/>
    <w:uiPriority w:val="0"/>
    <w:rPr>
      <w:rFonts w:ascii="Times New Roman" w:hAnsi="Times New Roman" w:eastAsia="宋体" w:cs="Times New Roman"/>
      <w:b/>
      <w:bCs/>
      <w:kern w:val="44"/>
      <w:sz w:val="44"/>
      <w:szCs w:val="44"/>
    </w:rPr>
  </w:style>
  <w:style w:type="character" w:customStyle="1" w:styleId="20">
    <w:name w:val="纯文本 Char"/>
    <w:basedOn w:val="11"/>
    <w:link w:val="5"/>
    <w:qFormat/>
    <w:uiPriority w:val="0"/>
    <w:rPr>
      <w:rFonts w:ascii="宋体" w:hAnsi="Courier New" w:eastAsia="宋体" w:cs="Times New Roman"/>
      <w:sz w:val="24"/>
      <w:szCs w:val="20"/>
    </w:rPr>
  </w:style>
  <w:style w:type="paragraph" w:customStyle="1" w:styleId="21">
    <w:name w:val="Char Char Char Char"/>
    <w:basedOn w:val="1"/>
    <w:qFormat/>
    <w:uiPriority w:val="0"/>
    <w:rPr>
      <w:rFonts w:ascii="Times New Roman" w:hAnsi="Times New Roman" w:eastAsia="宋体" w:cs="Times New Roman"/>
      <w:szCs w:val="24"/>
    </w:rPr>
  </w:style>
  <w:style w:type="character" w:customStyle="1" w:styleId="22">
    <w:name w:val="批注框文本 Char"/>
    <w:basedOn w:val="11"/>
    <w:link w:val="7"/>
    <w:semiHidden/>
    <w:qFormat/>
    <w:uiPriority w:val="99"/>
    <w:rPr>
      <w:sz w:val="18"/>
      <w:szCs w:val="18"/>
    </w:rPr>
  </w:style>
  <w:style w:type="character" w:customStyle="1" w:styleId="23">
    <w:name w:val="正文文本缩进 Char"/>
    <w:basedOn w:val="11"/>
    <w:link w:val="4"/>
    <w:qFormat/>
    <w:uiPriority w:val="0"/>
    <w:rPr>
      <w:rFonts w:ascii="宋体" w:hAnsi="宋体"/>
      <w:szCs w:val="24"/>
    </w:rPr>
  </w:style>
  <w:style w:type="character" w:customStyle="1" w:styleId="24">
    <w:name w:val="正文文本缩进 Char1"/>
    <w:basedOn w:val="11"/>
    <w:link w:val="4"/>
    <w:semiHidden/>
    <w:qFormat/>
    <w:uiPriority w:val="99"/>
  </w:style>
  <w:style w:type="character" w:customStyle="1" w:styleId="25">
    <w:name w:val="正文文本 Char"/>
    <w:basedOn w:val="11"/>
    <w:link w:val="3"/>
    <w:qFormat/>
    <w:uiPriority w:val="0"/>
    <w:rPr>
      <w:rFonts w:ascii="Times New Roman" w:hAnsi="Times New Roman" w:eastAsia="仿宋_GB2312" w:cs="Times New Roman"/>
      <w:sz w:val="32"/>
      <w:szCs w:val="20"/>
    </w:rPr>
  </w:style>
  <w:style w:type="character" w:customStyle="1" w:styleId="26">
    <w:name w:val="正文文本缩进 2 Char"/>
    <w:basedOn w:val="11"/>
    <w:link w:val="6"/>
    <w:qFormat/>
    <w:uiPriority w:val="0"/>
    <w:rPr>
      <w:rFonts w:ascii="仿宋_GB2312" w:hAnsi="宋体" w:eastAsia="仿宋_GB2312" w:cs="Times New Roman"/>
      <w:sz w:val="32"/>
      <w:szCs w:val="24"/>
    </w:rPr>
  </w:style>
  <w:style w:type="paragraph" w:customStyle="1" w:styleId="27">
    <w:name w:val="1.1.1（1）"/>
    <w:basedOn w:val="1"/>
    <w:link w:val="28"/>
    <w:qFormat/>
    <w:uiPriority w:val="0"/>
    <w:pPr>
      <w:adjustRightInd w:val="0"/>
      <w:snapToGrid w:val="0"/>
      <w:spacing w:line="360" w:lineRule="auto"/>
      <w:ind w:left="350" w:leftChars="200" w:hanging="150" w:hangingChars="150"/>
    </w:pPr>
    <w:rPr>
      <w:rFonts w:ascii="宋体" w:hAnsi="宋体" w:eastAsia="宋体" w:cs="Times New Roman"/>
      <w:sz w:val="24"/>
      <w:szCs w:val="24"/>
    </w:rPr>
  </w:style>
  <w:style w:type="character" w:customStyle="1" w:styleId="28">
    <w:name w:val="1.1.1（1） Char"/>
    <w:link w:val="27"/>
    <w:qFormat/>
    <w:uiPriority w:val="0"/>
    <w:rPr>
      <w:rFonts w:ascii="宋体" w:hAnsi="宋体" w:eastAsia="宋体" w:cs="Times New Roman"/>
      <w:sz w:val="24"/>
      <w:szCs w:val="24"/>
    </w:rPr>
  </w:style>
  <w:style w:type="paragraph" w:customStyle="1" w:styleId="29">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table" w:customStyle="1" w:styleId="30">
    <w:name w:val="Table Normal"/>
    <w:qFormat/>
    <w:uiPriority w:val="0"/>
    <w:rPr>
      <w:rFonts w:ascii="Times New Roman" w:hAnsi="Times New Roman" w:cs="Times New Roman"/>
      <w:kern w:val="0"/>
      <w:sz w:val="20"/>
      <w:szCs w:val="20"/>
    </w:rPr>
    <w:tblPr>
      <w:tblLayout w:type="fixed"/>
      <w:tblCellMar>
        <w:top w:w="0" w:type="dxa"/>
        <w:left w:w="0" w:type="dxa"/>
        <w:bottom w:w="0" w:type="dxa"/>
        <w:right w:w="0" w:type="dxa"/>
      </w:tblCellMar>
    </w:tblPr>
  </w:style>
  <w:style w:type="character" w:customStyle="1" w:styleId="31">
    <w:name w:val="无"/>
    <w:qFormat/>
    <w:uiPriority w:val="0"/>
  </w:style>
  <w:style w:type="character" w:customStyle="1" w:styleId="32">
    <w:name w:val="font01"/>
    <w:basedOn w:val="11"/>
    <w:qFormat/>
    <w:uiPriority w:val="0"/>
    <w:rPr>
      <w:rFonts w:hint="default" w:ascii="楷体_GB2312" w:eastAsia="楷体_GB2312" w:cs="楷体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1964</Words>
  <Characters>11198</Characters>
  <Lines>93</Lines>
  <Paragraphs>26</Paragraphs>
  <ScaleCrop>false</ScaleCrop>
  <LinksUpToDate>false</LinksUpToDate>
  <CharactersWithSpaces>13136</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2016-10-26T01:54:00Z</dcterms:created>
  <dc:creator>qjh</dc:creator>
  <cp:lastModifiedBy>于俊清</cp:lastModifiedBy>
  <cp:lastPrinted>2018-03-26T06:35:00Z</cp:lastPrinted>
  <dcterms:modified xsi:type="dcterms:W3CDTF">2018-05-03T06:34:11Z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