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56" w:firstLineChars="49"/>
        <w:jc w:val="center"/>
        <w:rPr>
          <w:rFonts w:ascii="仿宋_GB2312" w:hAnsi="宋体" w:eastAsia="仿宋_GB2312" w:cs="Times New Roman"/>
          <w:b/>
          <w:color w:val="auto"/>
          <w:sz w:val="32"/>
          <w:szCs w:val="32"/>
        </w:rPr>
      </w:pPr>
      <w:r>
        <w:rPr>
          <w:rFonts w:hint="eastAsia" w:ascii="仿宋_GB2312" w:hAnsi="宋体" w:eastAsia="仿宋_GB2312" w:cs="Times New Roman"/>
          <w:b/>
          <w:color w:val="auto"/>
          <w:sz w:val="32"/>
          <w:szCs w:val="32"/>
        </w:rPr>
        <w:t>神华上航疏浚有限责任公司神华浚1轮发电机燃油系统改造项目密封比价文件</w:t>
      </w:r>
    </w:p>
    <w:p>
      <w:pPr>
        <w:ind w:firstLine="156" w:firstLineChars="49"/>
        <w:jc w:val="center"/>
        <w:rPr>
          <w:rFonts w:ascii="仿宋_GB2312" w:hAnsi="宋体" w:eastAsia="仿宋_GB2312" w:cs="Times New Roman"/>
          <w:b/>
          <w:color w:val="auto"/>
          <w:sz w:val="32"/>
          <w:szCs w:val="32"/>
        </w:rPr>
      </w:pPr>
    </w:p>
    <w:p>
      <w:pPr>
        <w:widowControl/>
        <w:numPr>
          <w:ilvl w:val="0"/>
          <w:numId w:val="1"/>
        </w:numPr>
        <w:tabs>
          <w:tab w:val="left" w:pos="420"/>
        </w:tabs>
        <w:spacing w:line="500" w:lineRule="exact"/>
        <w:jc w:val="left"/>
        <w:rPr>
          <w:rFonts w:ascii="仿宋_GB2312" w:hAnsi="宋体" w:eastAsia="仿宋_GB2312" w:cs="宋体"/>
          <w:color w:val="auto"/>
          <w:kern w:val="0"/>
          <w:sz w:val="24"/>
          <w:szCs w:val="21"/>
        </w:rPr>
      </w:pPr>
      <w:r>
        <w:rPr>
          <w:rFonts w:hint="eastAsia" w:ascii="仿宋_GB2312" w:hAnsi="宋体" w:eastAsia="仿宋_GB2312" w:cs="Times New Roman"/>
          <w:b/>
          <w:color w:val="auto"/>
          <w:sz w:val="28"/>
          <w:szCs w:val="28"/>
        </w:rPr>
        <w:t>投标人资质要求</w:t>
      </w:r>
    </w:p>
    <w:p>
      <w:pPr>
        <w:ind w:left="420" w:leftChars="2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1、具有独立法人资格，有营业执照、税务登记证、注册资金</w:t>
      </w:r>
      <w:r>
        <w:rPr>
          <w:rFonts w:hint="eastAsia" w:ascii="仿宋_GB2312" w:hAnsi="宋体" w:eastAsia="仿宋_GB2312" w:cs="Times New Roman"/>
          <w:color w:val="auto"/>
          <w:sz w:val="28"/>
          <w:szCs w:val="28"/>
          <w:lang w:val="en-US" w:eastAsia="zh-CN"/>
        </w:rPr>
        <w:t>1</w:t>
      </w:r>
      <w:r>
        <w:rPr>
          <w:rFonts w:hint="eastAsia" w:ascii="仿宋_GB2312" w:hAnsi="宋体" w:eastAsia="仿宋_GB2312" w:cs="Times New Roman"/>
          <w:color w:val="auto"/>
          <w:sz w:val="28"/>
          <w:szCs w:val="28"/>
        </w:rPr>
        <w:t>00万元（含）以上。</w:t>
      </w:r>
    </w:p>
    <w:p>
      <w:pPr>
        <w:ind w:left="420" w:leftChars="200"/>
        <w:rPr>
          <w:rFonts w:ascii="仿宋_GB2312" w:hAnsi="宋体" w:eastAsia="仿宋_GB2312" w:cs="Times New Roman"/>
          <w:color w:val="auto"/>
          <w:sz w:val="28"/>
          <w:szCs w:val="28"/>
        </w:rPr>
      </w:pPr>
      <w:r>
        <w:rPr>
          <w:rFonts w:ascii="仿宋_GB2312" w:hAnsi="宋体" w:eastAsia="仿宋_GB2312" w:cs="Times New Roman"/>
          <w:color w:val="auto"/>
          <w:sz w:val="28"/>
          <w:szCs w:val="28"/>
        </w:rPr>
        <w:t>2</w:t>
      </w:r>
      <w:r>
        <w:rPr>
          <w:rFonts w:hint="eastAsia" w:ascii="仿宋_GB2312" w:hAnsi="宋体" w:eastAsia="仿宋_GB2312" w:cs="Times New Roman"/>
          <w:color w:val="auto"/>
          <w:sz w:val="28"/>
          <w:szCs w:val="28"/>
        </w:rPr>
        <w:t>、在人员、设备、资金上有保障能力。</w:t>
      </w:r>
    </w:p>
    <w:p>
      <w:pPr>
        <w:ind w:left="700" w:leftChars="200" w:hanging="280" w:hangingChars="100"/>
        <w:rPr>
          <w:rFonts w:ascii="仿宋_GB2312" w:hAnsi="宋体" w:eastAsia="仿宋_GB2312" w:cs="Times New Roman"/>
          <w:b/>
          <w:color w:val="auto"/>
          <w:sz w:val="28"/>
          <w:szCs w:val="28"/>
        </w:rPr>
      </w:pPr>
      <w:r>
        <w:rPr>
          <w:rFonts w:hint="eastAsia" w:ascii="仿宋_GB2312" w:hAnsi="宋体" w:eastAsia="仿宋_GB2312" w:cs="Times New Roman"/>
          <w:b/>
          <w:color w:val="auto"/>
          <w:sz w:val="28"/>
          <w:szCs w:val="28"/>
        </w:rPr>
        <w:t>二、标书需提供内容</w:t>
      </w:r>
    </w:p>
    <w:p>
      <w:pPr>
        <w:numPr>
          <w:ilvl w:val="0"/>
          <w:numId w:val="2"/>
        </w:numPr>
        <w:rPr>
          <w:rFonts w:ascii="仿宋_GB2312" w:hAnsi="宋体" w:eastAsia="仿宋_GB2312" w:cs="Times New Roman"/>
          <w:b/>
          <w:color w:val="auto"/>
          <w:sz w:val="28"/>
          <w:szCs w:val="28"/>
        </w:rPr>
      </w:pPr>
      <w:r>
        <w:rPr>
          <w:rFonts w:hint="eastAsia" w:ascii="仿宋_GB2312" w:hAnsi="宋体" w:eastAsia="仿宋_GB2312" w:cs="Times New Roman"/>
          <w:b/>
          <w:color w:val="auto"/>
          <w:sz w:val="28"/>
          <w:szCs w:val="28"/>
        </w:rPr>
        <w:t>投标方资质证明文件</w:t>
      </w:r>
    </w:p>
    <w:p>
      <w:pPr>
        <w:numPr>
          <w:ilvl w:val="0"/>
          <w:numId w:val="3"/>
        </w:numPr>
        <w:jc w:val="left"/>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加盖投标单位公章的法人营业执照副本复印件。</w:t>
      </w:r>
    </w:p>
    <w:p>
      <w:pPr>
        <w:numPr>
          <w:ilvl w:val="0"/>
          <w:numId w:val="3"/>
        </w:numPr>
        <w:jc w:val="left"/>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投标方情况介绍（加盖公章）。</w:t>
      </w:r>
    </w:p>
    <w:p>
      <w:pPr>
        <w:pStyle w:val="109"/>
        <w:numPr>
          <w:ilvl w:val="0"/>
          <w:numId w:val="2"/>
        </w:numPr>
        <w:ind w:firstLineChars="0"/>
        <w:rPr>
          <w:rFonts w:ascii="仿宋_GB2312" w:hAnsi="宋体" w:eastAsia="仿宋_GB2312" w:cs="Times New Roman"/>
          <w:b/>
          <w:color w:val="auto"/>
          <w:sz w:val="28"/>
          <w:szCs w:val="28"/>
        </w:rPr>
      </w:pPr>
      <w:r>
        <w:rPr>
          <w:rFonts w:hint="eastAsia" w:ascii="仿宋_GB2312" w:hAnsi="宋体" w:eastAsia="仿宋_GB2312" w:cs="Times New Roman"/>
          <w:b/>
          <w:color w:val="auto"/>
          <w:sz w:val="28"/>
          <w:szCs w:val="28"/>
        </w:rPr>
        <w:t>报价单及相关要求</w:t>
      </w:r>
    </w:p>
    <w:p>
      <w:pPr>
        <w:ind w:left="735" w:leftChars="350"/>
        <w:jc w:val="left"/>
        <w:rPr>
          <w:rFonts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lang w:val="en-US" w:eastAsia="zh-CN"/>
        </w:rPr>
        <w:t>1）</w:t>
      </w:r>
      <w:r>
        <w:rPr>
          <w:rFonts w:hint="eastAsia" w:ascii="仿宋_GB2312" w:hAnsi="Times New Roman" w:eastAsia="仿宋_GB2312" w:cs="Times New Roman"/>
          <w:color w:val="auto"/>
          <w:sz w:val="28"/>
          <w:szCs w:val="28"/>
        </w:rPr>
        <w:t>报价请严格按照修理单要求，逐项报单价、总价及汇总价格，不得漏项，漏报，不得出现“待定”、“暂定”或“现场定”等类似字样，投标方应充分考虑项目明细及所需附加工程和修理所需材料；</w:t>
      </w:r>
    </w:p>
    <w:p>
      <w:pPr>
        <w:ind w:firstLine="840" w:firstLineChars="300"/>
        <w:jc w:val="left"/>
        <w:rPr>
          <w:rFonts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lang w:val="en-US" w:eastAsia="zh-CN"/>
        </w:rPr>
        <w:t>2）</w:t>
      </w:r>
      <w:r>
        <w:rPr>
          <w:rFonts w:hint="eastAsia" w:ascii="仿宋_GB2312" w:hAnsi="Times New Roman" w:eastAsia="仿宋_GB2312" w:cs="Times New Roman"/>
          <w:color w:val="auto"/>
          <w:sz w:val="28"/>
          <w:szCs w:val="28"/>
        </w:rPr>
        <w:t>投标方如中标，在未经船东方同意前提下，不得随意将项目转包，一经发现证实，所转包项目将不予结算；</w:t>
      </w:r>
    </w:p>
    <w:p>
      <w:pPr>
        <w:ind w:left="709"/>
        <w:jc w:val="left"/>
        <w:rPr>
          <w:rFonts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lang w:val="en-US" w:eastAsia="zh-CN"/>
        </w:rPr>
        <w:t>3）</w:t>
      </w:r>
      <w:r>
        <w:rPr>
          <w:rFonts w:hint="eastAsia" w:ascii="仿宋_GB2312" w:hAnsi="Times New Roman" w:eastAsia="仿宋_GB2312" w:cs="Times New Roman"/>
          <w:color w:val="auto"/>
          <w:sz w:val="28"/>
          <w:szCs w:val="28"/>
        </w:rPr>
        <w:t>投标方如对此比价文件或项目有任何疑问或需要现场勘验，请与神华上航疏浚有限责任公司设备管理部联系，电话：0317-58119</w:t>
      </w:r>
      <w:r>
        <w:rPr>
          <w:rFonts w:hint="eastAsia" w:ascii="仿宋_GB2312" w:hAnsi="Times New Roman" w:eastAsia="仿宋_GB2312" w:cs="Times New Roman"/>
          <w:color w:val="auto"/>
          <w:sz w:val="28"/>
          <w:szCs w:val="28"/>
          <w:lang w:val="en-US" w:eastAsia="zh-CN"/>
        </w:rPr>
        <w:t>1</w:t>
      </w:r>
      <w:r>
        <w:rPr>
          <w:rFonts w:hint="eastAsia" w:ascii="仿宋_GB2312" w:hAnsi="Times New Roman" w:eastAsia="仿宋_GB2312" w:cs="Times New Roman"/>
          <w:color w:val="auto"/>
          <w:sz w:val="28"/>
          <w:szCs w:val="28"/>
        </w:rPr>
        <w:t xml:space="preserve">0 </w:t>
      </w:r>
      <w:r>
        <w:rPr>
          <w:rFonts w:hint="eastAsia" w:ascii="仿宋_GB2312" w:hAnsi="Times New Roman" w:eastAsia="仿宋_GB2312" w:cs="Times New Roman"/>
          <w:color w:val="auto"/>
          <w:sz w:val="28"/>
          <w:szCs w:val="28"/>
          <w:lang w:val="en-US" w:eastAsia="zh-CN"/>
        </w:rPr>
        <w:t xml:space="preserve">     </w:t>
      </w:r>
      <w:r>
        <w:rPr>
          <w:rFonts w:hint="eastAsia" w:ascii="仿宋_GB2312" w:hAnsi="Times New Roman" w:eastAsia="仿宋_GB2312" w:cs="Times New Roman"/>
          <w:color w:val="auto"/>
          <w:sz w:val="28"/>
          <w:szCs w:val="28"/>
        </w:rPr>
        <w:t>联系人：</w:t>
      </w:r>
      <w:r>
        <w:rPr>
          <w:rFonts w:hint="eastAsia" w:ascii="仿宋_GB2312" w:hAnsi="Times New Roman" w:eastAsia="仿宋_GB2312" w:cs="Times New Roman"/>
          <w:color w:val="auto"/>
          <w:sz w:val="28"/>
          <w:szCs w:val="28"/>
          <w:lang w:eastAsia="zh-CN"/>
        </w:rPr>
        <w:t>魏今朝</w:t>
      </w:r>
      <w:bookmarkStart w:id="0" w:name="_GoBack"/>
      <w:bookmarkEnd w:id="0"/>
    </w:p>
    <w:p>
      <w:pPr>
        <w:rPr>
          <w:rFonts w:ascii="仿宋_GB2312" w:hAnsi="Times New Roman" w:eastAsia="仿宋_GB2312" w:cs="Times New Roman"/>
          <w:color w:val="auto"/>
          <w:sz w:val="28"/>
          <w:szCs w:val="28"/>
        </w:rPr>
      </w:pPr>
      <w:r>
        <w:rPr>
          <w:rFonts w:hint="eastAsia" w:ascii="仿宋_GB2312" w:hAnsi="宋体" w:eastAsia="仿宋_GB2312" w:cs="Times New Roman"/>
          <w:color w:val="auto"/>
          <w:sz w:val="28"/>
          <w:szCs w:val="28"/>
        </w:rPr>
        <w:t xml:space="preserve">   </w:t>
      </w:r>
    </w:p>
    <w:p>
      <w:pPr>
        <w:ind w:firstLine="280" w:firstLineChars="100"/>
        <w:rPr>
          <w:rFonts w:ascii="仿宋_GB2312" w:hAnsi="宋体" w:eastAsia="仿宋_GB2312" w:cs="Times New Roman"/>
          <w:b/>
          <w:color w:val="auto"/>
          <w:sz w:val="28"/>
          <w:szCs w:val="28"/>
        </w:rPr>
      </w:pPr>
      <w:r>
        <w:rPr>
          <w:rFonts w:hint="eastAsia" w:ascii="仿宋_GB2312" w:hAnsi="宋体" w:eastAsia="仿宋_GB2312" w:cs="Times New Roman"/>
          <w:b/>
          <w:color w:val="auto"/>
          <w:sz w:val="28"/>
          <w:szCs w:val="28"/>
        </w:rPr>
        <w:t>三、投标文件的编制及提交</w:t>
      </w:r>
    </w:p>
    <w:p>
      <w:pPr>
        <w:ind w:left="560" w:leftChars="200" w:hanging="140" w:hangingChars="5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1、投标文件由投标人参照招标文件的要求编写，采用法定计量单位、规范的中文术语，字迹清楚，涂改之处要加盖印章。</w:t>
      </w:r>
    </w:p>
    <w:p>
      <w:pPr>
        <w:ind w:left="700" w:leftChars="200" w:hanging="280" w:hangingChars="1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2、投标文件须由投标单位法定代表人或其委托代理人签署并加盖法人单位公章。</w:t>
      </w:r>
    </w:p>
    <w:p>
      <w:pPr>
        <w:ind w:firstLine="420" w:firstLineChars="15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3、投标文件正本与副本均应使用不能擦去的墨水打印或书写。</w:t>
      </w:r>
    </w:p>
    <w:p>
      <w:pPr>
        <w:ind w:left="700" w:leftChars="200" w:hanging="280" w:hangingChars="1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4、投标文件应按照招标文件要求的顺序装订成册；投标文件中的各种资质证明材料应一并装订。</w:t>
      </w:r>
    </w:p>
    <w:p>
      <w:pPr>
        <w:ind w:left="373" w:leftChars="178"/>
        <w:rPr>
          <w:rFonts w:ascii="仿宋_GB2312" w:hAnsi="Times New Roman" w:eastAsia="仿宋_GB2312" w:cs="Times New Roman"/>
          <w:color w:val="auto"/>
          <w:sz w:val="28"/>
          <w:szCs w:val="28"/>
        </w:rPr>
      </w:pPr>
      <w:r>
        <w:rPr>
          <w:rFonts w:hint="eastAsia" w:ascii="仿宋_GB2312" w:hAnsi="宋体" w:eastAsia="仿宋_GB2312" w:cs="Times New Roman"/>
          <w:color w:val="auto"/>
          <w:sz w:val="28"/>
          <w:szCs w:val="28"/>
        </w:rPr>
        <w:t>5、</w:t>
      </w:r>
      <w:r>
        <w:rPr>
          <w:rFonts w:ascii="仿宋_GB2312" w:hAnsi="Times New Roman" w:eastAsia="仿宋_GB2312" w:cs="Times New Roman"/>
          <w:color w:val="auto"/>
          <w:sz w:val="28"/>
          <w:szCs w:val="28"/>
        </w:rPr>
        <w:t>比价文件一式两份（正本、副本各一份，并各加盖“正本、副本”印章），胶装装订成册，不得活页装订，编制清晰目录，标注连续页码。同时</w:t>
      </w:r>
      <w:r>
        <w:rPr>
          <w:rFonts w:hint="eastAsia" w:ascii="仿宋_GB2312" w:hAnsi="Times New Roman" w:eastAsia="仿宋_GB2312" w:cs="Times New Roman"/>
          <w:color w:val="auto"/>
          <w:sz w:val="28"/>
          <w:szCs w:val="28"/>
        </w:rPr>
        <w:t>在开标时</w:t>
      </w:r>
      <w:r>
        <w:rPr>
          <w:rFonts w:ascii="仿宋_GB2312" w:hAnsi="Times New Roman" w:eastAsia="仿宋_GB2312" w:cs="Times New Roman"/>
          <w:color w:val="auto"/>
          <w:sz w:val="28"/>
          <w:szCs w:val="28"/>
        </w:rPr>
        <w:t>提交电子版比价文件一份（比价文件正本签字盖章后扫描版，PDF格式）</w:t>
      </w:r>
      <w:r>
        <w:rPr>
          <w:rFonts w:hint="eastAsia" w:ascii="仿宋_GB2312" w:hAnsi="Times New Roman" w:eastAsia="仿宋_GB2312" w:cs="Times New Roman"/>
          <w:color w:val="auto"/>
          <w:sz w:val="28"/>
          <w:szCs w:val="28"/>
        </w:rPr>
        <w:t>。</w:t>
      </w:r>
    </w:p>
    <w:p>
      <w:pPr>
        <w:ind w:left="700" w:leftChars="200" w:hanging="280" w:hangingChars="1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6、所有投标文件必须提交1套正本与1套副本，并标注“正本”和“副本”字样。当正本和副本之间出现差异时，以正本为准。</w:t>
      </w:r>
    </w:p>
    <w:p>
      <w:pPr>
        <w:ind w:left="700" w:leftChars="200" w:hanging="280" w:hangingChars="1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7、所有投标文件需委派专人送达或邮寄至神华上航疏浚公司设备管理部。</w:t>
      </w:r>
    </w:p>
    <w:p>
      <w:pPr>
        <w:ind w:left="700" w:leftChars="200" w:hanging="280" w:hangingChars="1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8、由于不可抗拒的原因或无法控制的事件导致投标文件丢失或损坏，招标方将不承担任何责任。</w:t>
      </w:r>
    </w:p>
    <w:p>
      <w:pPr>
        <w:ind w:left="525" w:leftChars="25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9、投标文件的修改与撤回</w:t>
      </w:r>
    </w:p>
    <w:p>
      <w:pPr>
        <w:ind w:firstLine="700" w:firstLineChars="25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⑴、在投标截止时间以后，不能更改投标文件。</w:t>
      </w:r>
    </w:p>
    <w:p>
      <w:pPr>
        <w:ind w:left="701" w:leftChars="334"/>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⑵、投标文件送达以后，如果投标方提出修改或撤标要求，应至少在投标截止时间前两天将书面申请送达招标方，但不退还投标文件。</w:t>
      </w:r>
    </w:p>
    <w:p>
      <w:pPr>
        <w:ind w:firstLine="560" w:firstLineChars="2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10、投标报价均以人民币报价。</w:t>
      </w:r>
    </w:p>
    <w:p>
      <w:pPr>
        <w:ind w:firstLine="548" w:firstLineChars="196"/>
        <w:rPr>
          <w:rFonts w:ascii="仿宋_GB2312" w:hAnsi="宋体" w:eastAsia="仿宋_GB2312" w:cs="Times New Roman"/>
          <w:b/>
          <w:color w:val="auto"/>
          <w:sz w:val="28"/>
          <w:szCs w:val="28"/>
        </w:rPr>
      </w:pPr>
      <w:r>
        <w:rPr>
          <w:rFonts w:hint="eastAsia" w:ascii="仿宋_GB2312" w:hAnsi="宋体" w:eastAsia="仿宋_GB2312" w:cs="Times New Roman"/>
          <w:b/>
          <w:color w:val="auto"/>
          <w:sz w:val="28"/>
          <w:szCs w:val="28"/>
        </w:rPr>
        <w:t>四、开标</w:t>
      </w:r>
    </w:p>
    <w:p>
      <w:pPr>
        <w:ind w:firstLine="560" w:firstLineChars="2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1、开标会议由招标方确定时间、地点、方式。</w:t>
      </w:r>
    </w:p>
    <w:p>
      <w:pPr>
        <w:ind w:firstLine="560" w:firstLineChars="2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2、投标文件有下列情况之一者将视为无效。</w:t>
      </w:r>
    </w:p>
    <w:p>
      <w:pPr>
        <w:ind w:firstLine="560" w:firstLineChars="2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1)、投标文件未按规定标注、密封。</w:t>
      </w:r>
    </w:p>
    <w:p>
      <w:pPr>
        <w:ind w:firstLine="560" w:firstLineChars="2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2)、未按规定的格式填写，内容不全或字迹模糊辨认不清。</w:t>
      </w:r>
    </w:p>
    <w:p>
      <w:pPr>
        <w:ind w:firstLine="560" w:firstLineChars="2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3)、任何不完整或不满足招标要求的投标书。</w:t>
      </w:r>
    </w:p>
    <w:p>
      <w:pPr>
        <w:ind w:left="700" w:leftChars="267" w:hanging="140" w:hangingChars="5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3、 开标时，招标方有权就招标文件中含混之处向投标方提出询问或澄清要求。</w:t>
      </w:r>
    </w:p>
    <w:p>
      <w:pPr>
        <w:ind w:left="700" w:leftChars="267" w:hanging="140" w:hangingChars="50"/>
        <w:rPr>
          <w:rFonts w:ascii="仿宋_GB2312" w:hAnsi="宋体" w:eastAsia="仿宋_GB2312" w:cs="Times New Roman"/>
          <w:b/>
          <w:color w:val="auto"/>
          <w:sz w:val="28"/>
          <w:szCs w:val="28"/>
        </w:rPr>
      </w:pPr>
      <w:r>
        <w:rPr>
          <w:rFonts w:hint="eastAsia" w:ascii="仿宋_GB2312" w:hAnsi="宋体" w:eastAsia="仿宋_GB2312" w:cs="Times New Roman"/>
          <w:b/>
          <w:color w:val="auto"/>
          <w:sz w:val="28"/>
          <w:szCs w:val="28"/>
        </w:rPr>
        <w:t>五、评标标准</w:t>
      </w:r>
    </w:p>
    <w:p>
      <w:pPr>
        <w:spacing w:line="360" w:lineRule="auto"/>
        <w:ind w:firstLine="560" w:firstLineChars="2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1、评标办法</w:t>
      </w:r>
    </w:p>
    <w:p>
      <w:pPr>
        <w:spacing w:line="360" w:lineRule="auto"/>
        <w:ind w:left="420" w:leftChars="200"/>
        <w:rPr>
          <w:rFonts w:ascii="仿宋_GB2312" w:hAnsi="宋体" w:eastAsia="仿宋_GB2312"/>
          <w:color w:val="auto"/>
          <w:kern w:val="0"/>
          <w:sz w:val="28"/>
          <w:szCs w:val="28"/>
        </w:rPr>
      </w:pPr>
      <w:r>
        <w:rPr>
          <w:rFonts w:hint="eastAsia" w:ascii="仿宋_GB2312" w:hAnsi="宋体" w:eastAsia="仿宋_GB2312"/>
          <w:color w:val="auto"/>
          <w:sz w:val="28"/>
          <w:szCs w:val="28"/>
        </w:rPr>
        <w:t>本项目评标</w:t>
      </w:r>
      <w:r>
        <w:rPr>
          <w:rFonts w:hint="eastAsia" w:ascii="仿宋_GB2312" w:hAnsi="宋体" w:eastAsia="仿宋_GB2312"/>
          <w:color w:val="auto"/>
          <w:kern w:val="0"/>
          <w:sz w:val="28"/>
          <w:szCs w:val="28"/>
        </w:rPr>
        <w:t>采用</w:t>
      </w:r>
      <w:r>
        <w:rPr>
          <w:rFonts w:hint="eastAsia" w:ascii="仿宋_GB2312" w:hAnsi="宋体" w:eastAsia="仿宋_GB2312"/>
          <w:color w:val="auto"/>
          <w:sz w:val="28"/>
          <w:szCs w:val="28"/>
        </w:rPr>
        <w:t>最低价中标法</w:t>
      </w:r>
      <w:r>
        <w:rPr>
          <w:rFonts w:hint="eastAsia" w:ascii="仿宋_GB2312" w:hAnsi="宋体" w:eastAsia="仿宋_GB2312"/>
          <w:color w:val="auto"/>
          <w:kern w:val="0"/>
          <w:sz w:val="28"/>
          <w:szCs w:val="28"/>
        </w:rPr>
        <w:t>，</w:t>
      </w:r>
      <w:r>
        <w:rPr>
          <w:rFonts w:hint="eastAsia" w:ascii="仿宋_GB2312" w:eastAsia="仿宋_GB2312"/>
          <w:color w:val="auto"/>
          <w:sz w:val="28"/>
          <w:szCs w:val="28"/>
        </w:rPr>
        <w:t>评标委员会对满足招标文件实质要求的投标文件，按照评标价由低到高确认中标厂家，投标报价相等的，由评标委员会根据确定</w:t>
      </w:r>
      <w:r>
        <w:rPr>
          <w:rFonts w:hint="eastAsia" w:ascii="仿宋_GB2312" w:eastAsia="仿宋_GB2312"/>
          <w:color w:val="auto"/>
          <w:sz w:val="28"/>
          <w:szCs w:val="28"/>
          <w:lang w:eastAsia="zh-CN"/>
        </w:rPr>
        <w:t>报价合理性</w:t>
      </w:r>
      <w:r>
        <w:rPr>
          <w:rFonts w:hint="eastAsia" w:ascii="仿宋_GB2312" w:eastAsia="仿宋_GB2312"/>
          <w:color w:val="auto"/>
          <w:sz w:val="28"/>
          <w:szCs w:val="28"/>
        </w:rPr>
        <w:t>最终中标</w:t>
      </w:r>
      <w:r>
        <w:rPr>
          <w:rFonts w:ascii="仿宋_GB2312" w:eastAsia="仿宋_GB2312"/>
          <w:color w:val="auto"/>
          <w:sz w:val="28"/>
          <w:szCs w:val="28"/>
        </w:rPr>
        <w:t>厂家</w:t>
      </w:r>
      <w:r>
        <w:rPr>
          <w:rFonts w:hint="eastAsia" w:ascii="仿宋_GB2312" w:eastAsia="仿宋_GB2312"/>
          <w:color w:val="auto"/>
          <w:sz w:val="28"/>
          <w:szCs w:val="28"/>
        </w:rPr>
        <w:t>。</w:t>
      </w:r>
    </w:p>
    <w:p>
      <w:pPr>
        <w:ind w:firstLine="411" w:firstLineChars="147"/>
        <w:rPr>
          <w:rFonts w:ascii="仿宋_GB2312" w:hAnsi="宋体" w:eastAsia="仿宋_GB2312" w:cs="Times New Roman"/>
          <w:b/>
          <w:color w:val="auto"/>
          <w:sz w:val="28"/>
          <w:szCs w:val="28"/>
        </w:rPr>
      </w:pPr>
      <w:r>
        <w:rPr>
          <w:rFonts w:hint="eastAsia" w:ascii="仿宋_GB2312" w:hAnsi="宋体" w:eastAsia="仿宋_GB2312" w:cs="Times New Roman"/>
          <w:b/>
          <w:color w:val="auto"/>
          <w:sz w:val="28"/>
          <w:szCs w:val="28"/>
        </w:rPr>
        <w:t>六、结算方式</w:t>
      </w:r>
    </w:p>
    <w:p>
      <w:pPr>
        <w:ind w:left="280" w:hanging="280" w:hangingChars="100"/>
        <w:rPr>
          <w:rFonts w:ascii="仿宋_GB2312" w:hAnsi="宋体" w:eastAsia="仿宋_GB2312" w:cs="Times New Roman"/>
          <w:color w:val="auto"/>
          <w:sz w:val="28"/>
          <w:szCs w:val="28"/>
        </w:rPr>
      </w:pPr>
      <w:r>
        <w:rPr>
          <w:rFonts w:hint="eastAsia" w:ascii="仿宋_GB2312" w:hAnsi="宋体" w:eastAsia="仿宋_GB2312" w:cs="Times New Roman"/>
          <w:color w:val="auto"/>
          <w:sz w:val="28"/>
          <w:szCs w:val="28"/>
        </w:rPr>
        <w:t xml:space="preserve">        此次</w:t>
      </w:r>
      <w:r>
        <w:rPr>
          <w:rFonts w:hint="eastAsia" w:ascii="仿宋_GB2312" w:hAnsi="宋体" w:eastAsia="仿宋_GB2312" w:cs="Times New Roman"/>
          <w:color w:val="auto"/>
          <w:sz w:val="28"/>
          <w:szCs w:val="28"/>
          <w:lang w:eastAsia="zh-CN"/>
        </w:rPr>
        <w:t>神华浚1轮发电机燃油系统改造项目完成后，按实际核算的费用金额，开具增值税专用发票，支付</w:t>
      </w:r>
      <w:r>
        <w:rPr>
          <w:rFonts w:hint="eastAsia" w:ascii="仿宋_GB2312" w:hAnsi="宋体" w:eastAsia="仿宋_GB2312" w:cs="Times New Roman"/>
          <w:color w:val="auto"/>
          <w:sz w:val="28"/>
          <w:szCs w:val="28"/>
          <w:lang w:val="en-US" w:eastAsia="zh-CN"/>
        </w:rPr>
        <w:t>70%核算费用金额，项目完成3个月后，支付剩余30%核算费用。</w:t>
      </w:r>
    </w:p>
    <w:p>
      <w:pPr>
        <w:ind w:left="280" w:hanging="280" w:hangingChars="100"/>
        <w:rPr>
          <w:rFonts w:ascii="仿宋_GB2312" w:hAnsi="宋体" w:eastAsia="仿宋_GB2312" w:cs="Times New Roman"/>
          <w:color w:val="auto"/>
          <w:sz w:val="28"/>
          <w:szCs w:val="28"/>
        </w:rPr>
      </w:pPr>
    </w:p>
    <w:p>
      <w:pPr>
        <w:ind w:firstLine="280" w:firstLineChars="100"/>
        <w:rPr>
          <w:rFonts w:hint="eastAsia" w:ascii="仿宋_GB2312" w:hAnsi="宋体" w:eastAsia="仿宋_GB2312" w:cs="Times New Roman"/>
          <w:b/>
          <w:color w:val="auto"/>
          <w:sz w:val="28"/>
          <w:szCs w:val="28"/>
        </w:rPr>
      </w:pPr>
      <w:r>
        <w:rPr>
          <w:rFonts w:hint="eastAsia" w:ascii="仿宋_GB2312" w:hAnsi="宋体" w:eastAsia="仿宋_GB2312" w:cs="Times New Roman"/>
          <w:b/>
          <w:color w:val="auto"/>
          <w:sz w:val="28"/>
          <w:szCs w:val="28"/>
          <w:lang w:eastAsia="zh-CN"/>
        </w:rPr>
        <w:t>七、神华浚1轮发电机燃油系统改造项目工程清单</w:t>
      </w:r>
    </w:p>
    <w:p>
      <w:pPr>
        <w:ind w:left="0" w:leftChars="0" w:firstLine="560" w:firstLineChars="200"/>
        <w:jc w:val="left"/>
        <w:rPr>
          <w:rFonts w:hint="eastAsia" w:ascii="仿宋_GB2312" w:hAnsi="宋体" w:eastAsia="仿宋_GB2312" w:cs="Times New Roman"/>
          <w:color w:val="auto"/>
          <w:sz w:val="28"/>
          <w:szCs w:val="28"/>
        </w:rPr>
      </w:pPr>
      <w:r>
        <w:rPr>
          <w:rFonts w:hint="eastAsia" w:ascii="仿宋_GB2312" w:hAnsi="宋体" w:eastAsia="仿宋_GB2312" w:cs="Times New Roman"/>
          <w:color w:val="auto"/>
          <w:sz w:val="28"/>
          <w:szCs w:val="28"/>
          <w:lang w:eastAsia="zh-CN"/>
        </w:rPr>
        <w:t>原</w:t>
      </w:r>
      <w:r>
        <w:rPr>
          <w:rFonts w:hint="eastAsia" w:ascii="仿宋_GB2312" w:hAnsi="宋体" w:eastAsia="仿宋_GB2312" w:cs="Times New Roman"/>
          <w:color w:val="auto"/>
          <w:sz w:val="28"/>
          <w:szCs w:val="28"/>
        </w:rPr>
        <w:t>柴油大仓155.28m³改为4#油大仓；分油机间</w:t>
      </w:r>
      <w:r>
        <w:rPr>
          <w:rFonts w:hint="eastAsia" w:ascii="仿宋_GB2312" w:hAnsi="宋体" w:eastAsia="仿宋_GB2312" w:cs="Times New Roman"/>
          <w:color w:val="auto"/>
          <w:sz w:val="28"/>
          <w:szCs w:val="28"/>
          <w:lang w:eastAsia="zh-CN"/>
        </w:rPr>
        <w:t>原</w:t>
      </w:r>
      <w:r>
        <w:rPr>
          <w:rFonts w:hint="eastAsia" w:ascii="仿宋_GB2312" w:hAnsi="宋体" w:eastAsia="仿宋_GB2312" w:cs="Times New Roman"/>
          <w:color w:val="auto"/>
          <w:sz w:val="28"/>
          <w:szCs w:val="28"/>
        </w:rPr>
        <w:t>柴油日用</w:t>
      </w:r>
      <w:r>
        <w:rPr>
          <w:rFonts w:hint="eastAsia" w:ascii="仿宋_GB2312" w:hAnsi="宋体" w:eastAsia="仿宋_GB2312" w:cs="Times New Roman"/>
          <w:color w:val="auto"/>
          <w:sz w:val="28"/>
          <w:szCs w:val="28"/>
          <w:lang w:eastAsia="zh-CN"/>
        </w:rPr>
        <w:t>柜</w:t>
      </w:r>
      <w:r>
        <w:rPr>
          <w:rFonts w:hint="eastAsia" w:ascii="仿宋_GB2312" w:hAnsi="宋体" w:eastAsia="仿宋_GB2312" w:cs="Times New Roman"/>
          <w:color w:val="auto"/>
          <w:sz w:val="28"/>
          <w:szCs w:val="28"/>
        </w:rPr>
        <w:t>18.04m³改为4#油日用柜，</w:t>
      </w:r>
      <w:r>
        <w:rPr>
          <w:rFonts w:hint="eastAsia" w:ascii="仿宋_GB2312" w:hAnsi="宋体" w:eastAsia="仿宋_GB2312" w:cs="Times New Roman"/>
          <w:color w:val="auto"/>
          <w:sz w:val="28"/>
          <w:szCs w:val="28"/>
          <w:lang w:eastAsia="zh-CN"/>
        </w:rPr>
        <w:t>原</w:t>
      </w:r>
      <w:r>
        <w:rPr>
          <w:rFonts w:hint="eastAsia" w:ascii="仿宋_GB2312" w:hAnsi="宋体" w:eastAsia="仿宋_GB2312" w:cs="Times New Roman"/>
          <w:color w:val="auto"/>
          <w:sz w:val="28"/>
          <w:szCs w:val="28"/>
        </w:rPr>
        <w:t>液压油柜18.11m³改为柴油日用柜（供热油锅炉用油）；液压间加装一个液压油10m³储存柜。</w:t>
      </w:r>
    </w:p>
    <w:p>
      <w:pPr>
        <w:numPr>
          <w:ilvl w:val="0"/>
          <w:numId w:val="4"/>
        </w:numPr>
        <w:ind w:left="0" w:leftChars="0" w:firstLine="560" w:firstLineChars="200"/>
        <w:rPr>
          <w:rFonts w:hint="eastAsia" w:ascii="仿宋_GB2312" w:hAnsi="宋体" w:eastAsia="仿宋_GB2312" w:cs="Times New Roman"/>
          <w:color w:val="auto"/>
          <w:sz w:val="28"/>
          <w:szCs w:val="28"/>
        </w:rPr>
      </w:pPr>
      <w:r>
        <w:rPr>
          <w:rFonts w:hint="eastAsia" w:ascii="仿宋_GB2312" w:hAnsi="宋体" w:eastAsia="仿宋_GB2312" w:cs="Times New Roman"/>
          <w:color w:val="auto"/>
          <w:sz w:val="28"/>
          <w:szCs w:val="28"/>
        </w:rPr>
        <w:t>柴油大仓改为4#油舱，油舱出来的驳运管加装铜伴热管10mm*80米，DN15截止阀2个并在外面包裹耐高温保温层40米</w:t>
      </w:r>
    </w:p>
    <w:p>
      <w:pPr>
        <w:numPr>
          <w:ilvl w:val="0"/>
          <w:numId w:val="4"/>
        </w:numPr>
        <w:ind w:left="0" w:leftChars="0" w:firstLine="560" w:firstLineChars="200"/>
        <w:rPr>
          <w:rFonts w:hint="eastAsia" w:ascii="仿宋_GB2312" w:hAnsi="宋体" w:eastAsia="仿宋_GB2312" w:cs="Times New Roman"/>
          <w:color w:val="auto"/>
          <w:sz w:val="28"/>
          <w:szCs w:val="28"/>
        </w:rPr>
      </w:pPr>
      <w:r>
        <w:rPr>
          <w:rFonts w:hint="eastAsia" w:ascii="仿宋_GB2312" w:hAnsi="宋体" w:eastAsia="仿宋_GB2312" w:cs="Times New Roman"/>
          <w:color w:val="auto"/>
          <w:sz w:val="28"/>
          <w:szCs w:val="28"/>
        </w:rPr>
        <w:t>泵仓一层加装一个4#油螺杆驳运泵（厂供3m³/h），泵前加装一个直径30cm的滤器1个，DN65截止阀3个。大概需要不锈钢管60mm*50米，穿墙接至2#沉淀柜驳油管路上.（另加一个小齿轮泵做备用）</w:t>
      </w:r>
    </w:p>
    <w:p>
      <w:pPr>
        <w:numPr>
          <w:ilvl w:val="0"/>
          <w:numId w:val="4"/>
        </w:numPr>
        <w:ind w:left="0" w:leftChars="0" w:firstLine="560" w:firstLineChars="200"/>
        <w:rPr>
          <w:rFonts w:hint="eastAsia" w:ascii="仿宋_GB2312" w:hAnsi="宋体" w:eastAsia="仿宋_GB2312" w:cs="Times New Roman"/>
          <w:color w:val="auto"/>
          <w:sz w:val="28"/>
          <w:szCs w:val="28"/>
        </w:rPr>
      </w:pPr>
      <w:r>
        <w:rPr>
          <w:rFonts w:hint="eastAsia" w:ascii="仿宋_GB2312" w:hAnsi="宋体" w:eastAsia="仿宋_GB2312" w:cs="Times New Roman"/>
          <w:color w:val="auto"/>
          <w:sz w:val="28"/>
          <w:szCs w:val="28"/>
        </w:rPr>
        <w:t>2#沉淀柜出口至轻油分油机管路改造（60mm*20米），铜伴热管10mm*40米，DN15截止阀2个并在外面包裹耐高温保温层40米，轻油分油机回2#沉淀柜管路改造（60mm*20米）</w:t>
      </w:r>
    </w:p>
    <w:p>
      <w:pPr>
        <w:numPr>
          <w:ilvl w:val="0"/>
          <w:numId w:val="4"/>
        </w:numPr>
        <w:ind w:left="0" w:leftChars="0" w:firstLine="560" w:firstLineChars="200"/>
        <w:rPr>
          <w:rFonts w:hint="eastAsia" w:ascii="仿宋_GB2312" w:hAnsi="宋体" w:eastAsia="仿宋_GB2312" w:cs="Times New Roman"/>
          <w:color w:val="auto"/>
          <w:sz w:val="28"/>
          <w:szCs w:val="28"/>
        </w:rPr>
      </w:pPr>
      <w:r>
        <w:rPr>
          <w:rFonts w:hint="eastAsia" w:ascii="仿宋_GB2312" w:hAnsi="宋体" w:eastAsia="仿宋_GB2312" w:cs="Times New Roman"/>
          <w:color w:val="auto"/>
          <w:sz w:val="28"/>
          <w:szCs w:val="28"/>
        </w:rPr>
        <w:t>三台发电机的泄漏油管加铜伴热8mm*25米DN15截止阀2个，外面包裹耐高温保温层25米</w:t>
      </w:r>
    </w:p>
    <w:p>
      <w:pPr>
        <w:numPr>
          <w:ilvl w:val="0"/>
          <w:numId w:val="4"/>
        </w:numPr>
        <w:ind w:left="0" w:leftChars="0" w:firstLine="560" w:firstLineChars="200"/>
        <w:rPr>
          <w:rFonts w:hint="eastAsia" w:ascii="仿宋_GB2312" w:hAnsi="宋体" w:eastAsia="仿宋_GB2312" w:cs="Times New Roman"/>
          <w:color w:val="auto"/>
          <w:sz w:val="28"/>
          <w:szCs w:val="28"/>
        </w:rPr>
      </w:pPr>
      <w:r>
        <w:rPr>
          <w:rFonts w:hint="eastAsia" w:ascii="仿宋_GB2312" w:hAnsi="宋体" w:eastAsia="仿宋_GB2312" w:cs="Times New Roman"/>
          <w:color w:val="auto"/>
          <w:sz w:val="28"/>
          <w:szCs w:val="28"/>
        </w:rPr>
        <w:t>从4#油柜到5#供油泵的燃油管路上加铜伴热管8mm*30米DN15截止阀2个外面包裹耐高温保温层30米</w:t>
      </w:r>
    </w:p>
    <w:p>
      <w:pPr>
        <w:numPr>
          <w:ilvl w:val="0"/>
          <w:numId w:val="4"/>
        </w:numPr>
        <w:ind w:left="0" w:leftChars="0" w:firstLine="560" w:firstLineChars="200"/>
        <w:rPr>
          <w:rFonts w:hint="eastAsia" w:ascii="仿宋_GB2312" w:hAnsi="宋体" w:eastAsia="仿宋_GB2312" w:cs="Times New Roman"/>
          <w:color w:val="auto"/>
          <w:sz w:val="28"/>
          <w:szCs w:val="28"/>
        </w:rPr>
      </w:pPr>
      <w:r>
        <w:rPr>
          <w:rFonts w:hint="eastAsia" w:ascii="仿宋_GB2312" w:hAnsi="宋体" w:eastAsia="仿宋_GB2312" w:cs="Times New Roman"/>
          <w:color w:val="auto"/>
          <w:sz w:val="28"/>
          <w:szCs w:val="28"/>
        </w:rPr>
        <w:t>5#供油泵通往发电机的4#油管路上安装数字温度计，并接线到集控室，显示4#油油温，5#供油泵通往发电机4#油管路上加装一个温控式加热器（重油分油机的加热器就可以）</w:t>
      </w:r>
    </w:p>
    <w:p>
      <w:pPr>
        <w:numPr>
          <w:ilvl w:val="0"/>
          <w:numId w:val="4"/>
        </w:numPr>
        <w:ind w:left="0" w:leftChars="0" w:firstLine="560" w:firstLineChars="200"/>
        <w:rPr>
          <w:rFonts w:hint="eastAsia" w:ascii="仿宋_GB2312" w:hAnsi="宋体" w:eastAsia="仿宋_GB2312" w:cs="Times New Roman"/>
          <w:color w:val="auto"/>
          <w:sz w:val="28"/>
          <w:szCs w:val="28"/>
        </w:rPr>
      </w:pPr>
      <w:r>
        <w:rPr>
          <w:rFonts w:hint="eastAsia" w:ascii="仿宋_GB2312" w:hAnsi="宋体" w:eastAsia="仿宋_GB2312" w:cs="Times New Roman"/>
          <w:color w:val="auto"/>
          <w:sz w:val="28"/>
          <w:szCs w:val="28"/>
        </w:rPr>
        <w:t>5#供油泵通往发电机4#油管路上安装双联滤器1个（目数150目）</w:t>
      </w:r>
    </w:p>
    <w:p>
      <w:pPr>
        <w:numPr>
          <w:ilvl w:val="0"/>
          <w:numId w:val="4"/>
        </w:numPr>
        <w:ind w:left="0" w:leftChars="0" w:firstLine="560" w:firstLineChars="200"/>
        <w:rPr>
          <w:rFonts w:hint="eastAsia" w:ascii="仿宋_GB2312" w:hAnsi="宋体" w:eastAsia="仿宋_GB2312" w:cs="Times New Roman"/>
          <w:color w:val="auto"/>
          <w:sz w:val="28"/>
          <w:szCs w:val="28"/>
        </w:rPr>
      </w:pPr>
      <w:r>
        <w:rPr>
          <w:rFonts w:hint="eastAsia" w:ascii="仿宋_GB2312" w:hAnsi="宋体" w:eastAsia="仿宋_GB2312" w:cs="Times New Roman"/>
          <w:color w:val="auto"/>
          <w:sz w:val="28"/>
          <w:szCs w:val="28"/>
        </w:rPr>
        <w:t>分油机间</w:t>
      </w:r>
      <w:r>
        <w:rPr>
          <w:rFonts w:hint="eastAsia" w:ascii="仿宋_GB2312" w:hAnsi="宋体" w:eastAsia="仿宋_GB2312" w:cs="Times New Roman"/>
          <w:color w:val="auto"/>
          <w:sz w:val="28"/>
          <w:szCs w:val="28"/>
          <w:lang w:eastAsia="zh-CN"/>
        </w:rPr>
        <w:t>原</w:t>
      </w:r>
      <w:r>
        <w:rPr>
          <w:rFonts w:hint="eastAsia" w:ascii="仿宋_GB2312" w:hAnsi="宋体" w:eastAsia="仿宋_GB2312" w:cs="Times New Roman"/>
          <w:color w:val="auto"/>
          <w:sz w:val="28"/>
          <w:szCs w:val="28"/>
        </w:rPr>
        <w:t>液压油柜顶部加装加油管（50mm不锈钢管50米到左侧加油槽）和透气管（50mm不锈钢管20米到液压间上方）DN50透气帽1个。另外加油管路通一路到机舱一层液压污油舱50mm不锈钢管40米），机舱一层液压污油舱驳出管路（在液压间部分）接50mm不锈钢管20米到液压油柜顶部加装加油管。</w:t>
      </w:r>
    </w:p>
    <w:p>
      <w:pPr>
        <w:numPr>
          <w:ilvl w:val="0"/>
          <w:numId w:val="4"/>
        </w:numPr>
        <w:ind w:left="0" w:leftChars="0" w:firstLine="560" w:firstLineChars="200"/>
        <w:rPr>
          <w:rFonts w:hint="eastAsia" w:ascii="仿宋_GB2312" w:hAnsi="宋体" w:eastAsia="仿宋_GB2312" w:cs="Times New Roman"/>
          <w:color w:val="auto"/>
          <w:sz w:val="28"/>
          <w:szCs w:val="28"/>
        </w:rPr>
      </w:pPr>
      <w:r>
        <w:rPr>
          <w:rFonts w:hint="eastAsia" w:ascii="仿宋_GB2312" w:hAnsi="宋体" w:eastAsia="仿宋_GB2312" w:cs="Times New Roman"/>
          <w:color w:val="auto"/>
          <w:sz w:val="28"/>
          <w:szCs w:val="28"/>
        </w:rPr>
        <w:t>燃油日用柜与2#燃油沉淀柜顶部大约300CM*50CM用8个厚的铁板焊死.</w:t>
      </w:r>
    </w:p>
    <w:p>
      <w:pPr>
        <w:numPr>
          <w:ilvl w:val="0"/>
          <w:numId w:val="4"/>
        </w:numPr>
        <w:ind w:left="0" w:leftChars="0" w:firstLine="560" w:firstLineChars="200"/>
        <w:rPr>
          <w:rFonts w:hint="eastAsia" w:ascii="仿宋_GB2312" w:hAnsi="宋体" w:eastAsia="仿宋_GB2312" w:cs="Times New Roman"/>
          <w:color w:val="auto"/>
          <w:sz w:val="28"/>
          <w:szCs w:val="28"/>
        </w:rPr>
      </w:pPr>
      <w:r>
        <w:rPr>
          <w:rFonts w:hint="eastAsia" w:ascii="仿宋_GB2312" w:hAnsi="宋体" w:eastAsia="仿宋_GB2312" w:cs="Times New Roman"/>
          <w:color w:val="auto"/>
          <w:sz w:val="28"/>
          <w:szCs w:val="28"/>
        </w:rPr>
        <w:t>液压间定做一个液压油10m³储存柜，安装驳运泵一台（船供），安装2米的液位计，顶部安装测量管φ50约4米至液压间顶部。底部安装DN20放残阀一个，驳运泵吸入、排出管路改造，需要φ32铁管20米，DN32截止阀2个。</w:t>
      </w:r>
    </w:p>
    <w:p>
      <w:pPr>
        <w:numPr>
          <w:ilvl w:val="0"/>
          <w:numId w:val="4"/>
        </w:numPr>
        <w:ind w:left="0" w:leftChars="0" w:firstLine="560" w:firstLineChars="200"/>
        <w:rPr>
          <w:rFonts w:hint="eastAsia" w:ascii="仿宋_GB2312" w:hAnsi="宋体" w:eastAsia="仿宋_GB2312" w:cs="Times New Roman"/>
          <w:color w:val="auto"/>
          <w:sz w:val="28"/>
          <w:szCs w:val="28"/>
        </w:rPr>
      </w:pPr>
      <w:r>
        <w:rPr>
          <w:rFonts w:hint="eastAsia" w:ascii="仿宋_GB2312" w:hAnsi="宋体" w:eastAsia="仿宋_GB2312" w:cs="Times New Roman"/>
          <w:color w:val="auto"/>
          <w:sz w:val="28"/>
          <w:szCs w:val="28"/>
        </w:rPr>
        <w:t>燃油日用柜、2#燃油沉淀柜顶部保温层40平方重新包扎。</w:t>
      </w:r>
    </w:p>
    <w:p>
      <w:pPr>
        <w:numPr>
          <w:ilvl w:val="0"/>
          <w:numId w:val="4"/>
        </w:numPr>
        <w:ind w:left="0" w:leftChars="0" w:firstLine="560" w:firstLineChars="200"/>
        <w:rPr>
          <w:rFonts w:hint="eastAsia" w:ascii="仿宋_GB2312" w:hAnsi="宋体" w:eastAsia="仿宋_GB2312" w:cs="Times New Roman"/>
          <w:color w:val="auto"/>
          <w:sz w:val="28"/>
          <w:szCs w:val="28"/>
        </w:rPr>
      </w:pPr>
      <w:r>
        <w:rPr>
          <w:rFonts w:hint="eastAsia" w:ascii="仿宋_GB2312" w:hAnsi="宋体" w:eastAsia="仿宋_GB2312" w:cs="Times New Roman"/>
          <w:color w:val="auto"/>
          <w:sz w:val="28"/>
          <w:szCs w:val="28"/>
        </w:rPr>
        <w:t>燃油增压站5#、6#油泵泵前共计2个滤器太小，改为φ100滤器（高度35厘米）。</w:t>
      </w:r>
    </w:p>
    <w:p>
      <w:pPr>
        <w:numPr>
          <w:ilvl w:val="0"/>
          <w:numId w:val="4"/>
        </w:numPr>
        <w:ind w:left="0" w:leftChars="0" w:firstLine="560" w:firstLineChars="200"/>
        <w:rPr>
          <w:rFonts w:hint="eastAsia" w:ascii="仿宋_GB2312" w:hAnsi="宋体" w:eastAsia="仿宋_GB2312" w:cs="Times New Roman"/>
          <w:color w:val="auto"/>
          <w:sz w:val="28"/>
          <w:szCs w:val="28"/>
        </w:rPr>
      </w:pPr>
      <w:r>
        <w:rPr>
          <w:rFonts w:hint="eastAsia" w:ascii="仿宋_GB2312" w:hAnsi="宋体" w:eastAsia="仿宋_GB2312" w:cs="Times New Roman"/>
          <w:color w:val="auto"/>
          <w:sz w:val="28"/>
          <w:szCs w:val="28"/>
        </w:rPr>
        <w:t>三台发电机进机滤器加装压差传感器3个。</w:t>
      </w:r>
    </w:p>
    <w:p>
      <w:pPr>
        <w:numPr>
          <w:ilvl w:val="0"/>
          <w:numId w:val="4"/>
        </w:numPr>
        <w:ind w:left="0" w:leftChars="0" w:firstLine="560" w:firstLineChars="200"/>
        <w:rPr>
          <w:rFonts w:hint="eastAsia" w:ascii="仿宋_GB2312" w:hAnsi="宋体" w:eastAsia="仿宋_GB2312" w:cs="Times New Roman"/>
          <w:color w:val="auto"/>
          <w:sz w:val="28"/>
          <w:szCs w:val="28"/>
        </w:rPr>
      </w:pPr>
      <w:r>
        <w:rPr>
          <w:rFonts w:hint="eastAsia" w:ascii="仿宋_GB2312" w:hAnsi="宋体" w:eastAsia="仿宋_GB2312" w:cs="Times New Roman"/>
          <w:color w:val="auto"/>
          <w:sz w:val="28"/>
          <w:szCs w:val="28"/>
        </w:rPr>
        <w:t>4#油日用柜顶部加一路溢流管到2#沉淀柜。</w:t>
      </w:r>
    </w:p>
    <w:p>
      <w:pPr>
        <w:numPr>
          <w:ilvl w:val="0"/>
          <w:numId w:val="5"/>
        </w:numPr>
        <w:ind w:left="0" w:leftChars="0"/>
        <w:jc w:val="left"/>
        <w:rPr>
          <w:rFonts w:hint="eastAsia" w:ascii="仿宋_GB2312" w:hAnsi="宋体" w:eastAsia="仿宋_GB2312" w:cs="Times New Roman"/>
          <w:b/>
          <w:bCs/>
          <w:color w:val="auto"/>
          <w:sz w:val="28"/>
          <w:szCs w:val="28"/>
          <w:lang w:eastAsia="zh-CN"/>
        </w:rPr>
      </w:pPr>
      <w:r>
        <w:rPr>
          <w:rFonts w:hint="eastAsia" w:ascii="仿宋_GB2312" w:hAnsi="宋体" w:eastAsia="仿宋_GB2312" w:cs="Times New Roman"/>
          <w:b/>
          <w:bCs/>
          <w:color w:val="auto"/>
          <w:sz w:val="28"/>
          <w:szCs w:val="28"/>
          <w:lang w:eastAsia="zh-CN"/>
        </w:rPr>
        <w:t>报价模板</w:t>
      </w:r>
    </w:p>
    <w:tbl>
      <w:tblPr>
        <w:tblStyle w:val="8"/>
        <w:tblpPr w:leftFromText="180" w:rightFromText="180" w:vertAnchor="text" w:horzAnchor="page" w:tblpX="1996" w:tblpY="279"/>
        <w:tblOverlap w:val="never"/>
        <w:tblW w:w="81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854"/>
        <w:gridCol w:w="3018"/>
        <w:gridCol w:w="882"/>
        <w:gridCol w:w="854"/>
        <w:gridCol w:w="651"/>
        <w:gridCol w:w="771"/>
        <w:gridCol w:w="11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77" w:hRule="atLeast"/>
        </w:trPr>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序号</w:t>
            </w:r>
          </w:p>
        </w:tc>
        <w:tc>
          <w:tcPr>
            <w:tcW w:w="301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内容</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数量</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单位</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单价</w:t>
            </w: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净总价</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A</w:t>
            </w:r>
          </w:p>
        </w:tc>
        <w:tc>
          <w:tcPr>
            <w:tcW w:w="301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改造初期技术交流、咨询及调研</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现场核查</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交通费</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10</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人次</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技术咨询</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B</w:t>
            </w:r>
          </w:p>
        </w:tc>
        <w:tc>
          <w:tcPr>
            <w:tcW w:w="301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设计服务项目</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结构专业设计</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40</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管系专业设计</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70</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电气专业设计</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C</w:t>
            </w: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图纸提交CCS审核并通过审核</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图纸送审费</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图纸排版、打印、复印费</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D</w:t>
            </w: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改造项目设备材料购置、加工费</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材料运输</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燃油泵*2</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1"/>
                <w:szCs w:val="21"/>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温控加热器</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1"/>
                <w:szCs w:val="21"/>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燃油双联滤器</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1"/>
                <w:szCs w:val="21"/>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数显温控器</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1"/>
                <w:szCs w:val="21"/>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管子</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1"/>
                <w:szCs w:val="21"/>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绝缘材料</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1"/>
                <w:szCs w:val="21"/>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保温材料</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1"/>
                <w:szCs w:val="21"/>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钢板</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1"/>
                <w:szCs w:val="21"/>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焊材</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1"/>
                <w:szCs w:val="21"/>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E</w:t>
            </w: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燃油舱改造工程施工费</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1</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项</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C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燃油舱管路拆除</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60</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燃油舱管路安装施工（铆、焊、打磨、油漆）</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160</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C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管路完工油压试验</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40</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C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油舱及管路油污清除</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80</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C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改造完工系统调试</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50</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C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F</w:t>
            </w: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液压油柜改造工程施工费</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1</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项</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油柜及管路拆除</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40</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油柜制作</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70</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C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油柜安装施工（铆、焊、打磨、油漆）</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75</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C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完工油压试验</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C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油污清除</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30</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C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完工系统调试</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30</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人工</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C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G</w:t>
            </w: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施工材料、设备损耗费</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水电费</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氧气、乙炔</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高压风</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施工设备损耗</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21"/>
                <w:szCs w:val="21"/>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起重吊装费</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75"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6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项目费用总计</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p>
        </w:tc>
      </w:tr>
    </w:tbl>
    <w:p>
      <w:pPr>
        <w:numPr>
          <w:ilvl w:val="0"/>
          <w:numId w:val="0"/>
        </w:numPr>
        <w:jc w:val="left"/>
        <w:rPr>
          <w:rFonts w:hint="eastAsia" w:ascii="仿宋_GB2312" w:hAnsi="宋体" w:eastAsia="仿宋_GB2312" w:cs="Times New Roman"/>
          <w:b/>
          <w:bCs/>
          <w:color w:val="auto"/>
          <w:sz w:val="28"/>
          <w:szCs w:val="28"/>
          <w:lang w:eastAsia="zh-CN"/>
        </w:rPr>
      </w:pPr>
    </w:p>
    <w:p>
      <w:pPr>
        <w:ind w:left="701" w:leftChars="334"/>
        <w:rPr>
          <w:rFonts w:hint="eastAsia" w:ascii="仿宋_GB2312" w:hAnsi="宋体" w:eastAsia="仿宋_GB2312" w:cs="Times New Roman"/>
          <w:color w:val="auto"/>
          <w:sz w:val="28"/>
          <w:szCs w:val="28"/>
        </w:rPr>
      </w:pPr>
    </w:p>
    <w:p>
      <w:pPr>
        <w:rPr>
          <w:rFonts w:hint="eastAsia" w:ascii="仿宋_GB2312" w:hAnsi="宋体" w:eastAsia="仿宋_GB2312" w:cs="Times New Roman"/>
          <w:color w:val="auto"/>
          <w:sz w:val="28"/>
          <w:szCs w:val="28"/>
        </w:rPr>
      </w:pPr>
    </w:p>
    <w:sectPr>
      <w:pgSz w:w="11906" w:h="16838"/>
      <w:pgMar w:top="1440" w:right="1797" w:bottom="1440" w:left="179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7D665A"/>
    <w:multiLevelType w:val="multilevel"/>
    <w:tmpl w:val="347D665A"/>
    <w:lvl w:ilvl="0" w:tentative="0">
      <w:start w:val="1"/>
      <w:numFmt w:val="japaneseCounting"/>
      <w:lvlText w:val="%1、"/>
      <w:lvlJc w:val="left"/>
      <w:pPr>
        <w:ind w:left="1013" w:hanging="600"/>
      </w:pPr>
      <w:rPr>
        <w:rFonts w:hint="default" w:ascii="宋体" w:hAnsi="宋体" w:eastAsia="宋体" w:cs="Times New Roman"/>
        <w:b/>
        <w:sz w:val="28"/>
      </w:rPr>
    </w:lvl>
    <w:lvl w:ilvl="1" w:tentative="0">
      <w:start w:val="1"/>
      <w:numFmt w:val="lowerLetter"/>
      <w:lvlText w:val="%2)"/>
      <w:lvlJc w:val="left"/>
      <w:pPr>
        <w:ind w:left="1253" w:hanging="420"/>
      </w:pPr>
    </w:lvl>
    <w:lvl w:ilvl="2" w:tentative="0">
      <w:start w:val="1"/>
      <w:numFmt w:val="lowerRoman"/>
      <w:lvlText w:val="%3."/>
      <w:lvlJc w:val="right"/>
      <w:pPr>
        <w:ind w:left="1673" w:hanging="420"/>
      </w:pPr>
    </w:lvl>
    <w:lvl w:ilvl="3" w:tentative="0">
      <w:start w:val="1"/>
      <w:numFmt w:val="decimal"/>
      <w:lvlText w:val="%4."/>
      <w:lvlJc w:val="left"/>
      <w:pPr>
        <w:ind w:left="2093" w:hanging="420"/>
      </w:pPr>
    </w:lvl>
    <w:lvl w:ilvl="4" w:tentative="0">
      <w:start w:val="1"/>
      <w:numFmt w:val="lowerLetter"/>
      <w:lvlText w:val="%5)"/>
      <w:lvlJc w:val="left"/>
      <w:pPr>
        <w:ind w:left="2513" w:hanging="420"/>
      </w:pPr>
    </w:lvl>
    <w:lvl w:ilvl="5" w:tentative="0">
      <w:start w:val="1"/>
      <w:numFmt w:val="lowerRoman"/>
      <w:lvlText w:val="%6."/>
      <w:lvlJc w:val="right"/>
      <w:pPr>
        <w:ind w:left="2933" w:hanging="420"/>
      </w:pPr>
    </w:lvl>
    <w:lvl w:ilvl="6" w:tentative="0">
      <w:start w:val="1"/>
      <w:numFmt w:val="decimal"/>
      <w:lvlText w:val="%7."/>
      <w:lvlJc w:val="left"/>
      <w:pPr>
        <w:ind w:left="3353" w:hanging="420"/>
      </w:pPr>
    </w:lvl>
    <w:lvl w:ilvl="7" w:tentative="0">
      <w:start w:val="1"/>
      <w:numFmt w:val="lowerLetter"/>
      <w:lvlText w:val="%8)"/>
      <w:lvlJc w:val="left"/>
      <w:pPr>
        <w:ind w:left="3773" w:hanging="420"/>
      </w:pPr>
    </w:lvl>
    <w:lvl w:ilvl="8" w:tentative="0">
      <w:start w:val="1"/>
      <w:numFmt w:val="lowerRoman"/>
      <w:lvlText w:val="%9."/>
      <w:lvlJc w:val="right"/>
      <w:pPr>
        <w:ind w:left="4193" w:hanging="420"/>
      </w:pPr>
    </w:lvl>
  </w:abstractNum>
  <w:abstractNum w:abstractNumId="1">
    <w:nsid w:val="364E12C3"/>
    <w:multiLevelType w:val="multilevel"/>
    <w:tmpl w:val="364E12C3"/>
    <w:lvl w:ilvl="0" w:tentative="0">
      <w:start w:val="1"/>
      <w:numFmt w:val="decimal"/>
      <w:lvlText w:val="%1)"/>
      <w:lvlJc w:val="left"/>
      <w:pPr>
        <w:ind w:left="1120" w:hanging="420"/>
      </w:pPr>
    </w:lvl>
    <w:lvl w:ilvl="1" w:tentative="0">
      <w:start w:val="1"/>
      <w:numFmt w:val="lowerLetter"/>
      <w:lvlText w:val="%2)"/>
      <w:lvlJc w:val="left"/>
      <w:pPr>
        <w:ind w:left="1540" w:hanging="420"/>
      </w:pPr>
    </w:lvl>
    <w:lvl w:ilvl="2" w:tentative="0">
      <w:start w:val="1"/>
      <w:numFmt w:val="lowerRoman"/>
      <w:lvlText w:val="%3."/>
      <w:lvlJc w:val="right"/>
      <w:pPr>
        <w:ind w:left="1960" w:hanging="420"/>
      </w:pPr>
    </w:lvl>
    <w:lvl w:ilvl="3" w:tentative="0">
      <w:start w:val="1"/>
      <w:numFmt w:val="decimal"/>
      <w:lvlText w:val="%4."/>
      <w:lvlJc w:val="left"/>
      <w:pPr>
        <w:ind w:left="2380" w:hanging="420"/>
      </w:pPr>
    </w:lvl>
    <w:lvl w:ilvl="4" w:tentative="0">
      <w:start w:val="1"/>
      <w:numFmt w:val="lowerLetter"/>
      <w:lvlText w:val="%5)"/>
      <w:lvlJc w:val="left"/>
      <w:pPr>
        <w:ind w:left="2800" w:hanging="420"/>
      </w:pPr>
    </w:lvl>
    <w:lvl w:ilvl="5" w:tentative="0">
      <w:start w:val="1"/>
      <w:numFmt w:val="lowerRoman"/>
      <w:lvlText w:val="%6."/>
      <w:lvlJc w:val="right"/>
      <w:pPr>
        <w:ind w:left="3220" w:hanging="420"/>
      </w:pPr>
    </w:lvl>
    <w:lvl w:ilvl="6" w:tentative="0">
      <w:start w:val="1"/>
      <w:numFmt w:val="decimal"/>
      <w:lvlText w:val="%7."/>
      <w:lvlJc w:val="left"/>
      <w:pPr>
        <w:ind w:left="3640" w:hanging="420"/>
      </w:pPr>
    </w:lvl>
    <w:lvl w:ilvl="7" w:tentative="0">
      <w:start w:val="1"/>
      <w:numFmt w:val="lowerLetter"/>
      <w:lvlText w:val="%8)"/>
      <w:lvlJc w:val="left"/>
      <w:pPr>
        <w:ind w:left="4060" w:hanging="420"/>
      </w:pPr>
    </w:lvl>
    <w:lvl w:ilvl="8" w:tentative="0">
      <w:start w:val="1"/>
      <w:numFmt w:val="lowerRoman"/>
      <w:lvlText w:val="%9."/>
      <w:lvlJc w:val="right"/>
      <w:pPr>
        <w:ind w:left="4480" w:hanging="420"/>
      </w:pPr>
    </w:lvl>
  </w:abstractNum>
  <w:abstractNum w:abstractNumId="2">
    <w:nsid w:val="5B0CA42D"/>
    <w:multiLevelType w:val="singleLevel"/>
    <w:tmpl w:val="5B0CA42D"/>
    <w:lvl w:ilvl="0" w:tentative="0">
      <w:start w:val="1"/>
      <w:numFmt w:val="decimal"/>
      <w:suff w:val="nothing"/>
      <w:lvlText w:val="%1．"/>
      <w:lvlJc w:val="left"/>
      <w:pPr>
        <w:ind w:left="0" w:leftChars="0" w:firstLine="400" w:firstLineChars="0"/>
      </w:pPr>
      <w:rPr>
        <w:rFonts w:hint="default"/>
      </w:rPr>
    </w:lvl>
  </w:abstractNum>
  <w:abstractNum w:abstractNumId="3">
    <w:nsid w:val="5B0CA6C4"/>
    <w:multiLevelType w:val="singleLevel"/>
    <w:tmpl w:val="5B0CA6C4"/>
    <w:lvl w:ilvl="0" w:tentative="0">
      <w:start w:val="8"/>
      <w:numFmt w:val="chineseCounting"/>
      <w:suff w:val="nothing"/>
      <w:lvlText w:val="%1、"/>
      <w:lvlJc w:val="left"/>
    </w:lvl>
  </w:abstractNum>
  <w:abstractNum w:abstractNumId="4">
    <w:nsid w:val="62AE6DC0"/>
    <w:multiLevelType w:val="multilevel"/>
    <w:tmpl w:val="62AE6DC0"/>
    <w:lvl w:ilvl="0" w:tentative="0">
      <w:start w:val="1"/>
      <w:numFmt w:val="decimal"/>
      <w:lvlText w:val="%1、"/>
      <w:lvlJc w:val="left"/>
      <w:pPr>
        <w:ind w:left="1287" w:hanging="720"/>
      </w:pPr>
      <w:rPr>
        <w:rFonts w:hint="default"/>
        <w:b/>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EA"/>
    <w:rsid w:val="00035BB1"/>
    <w:rsid w:val="000B7311"/>
    <w:rsid w:val="00177B12"/>
    <w:rsid w:val="001817EA"/>
    <w:rsid w:val="001B2A09"/>
    <w:rsid w:val="001D7A49"/>
    <w:rsid w:val="00204D70"/>
    <w:rsid w:val="002337F1"/>
    <w:rsid w:val="002A67E1"/>
    <w:rsid w:val="002A7B90"/>
    <w:rsid w:val="00311B29"/>
    <w:rsid w:val="0032418B"/>
    <w:rsid w:val="00351AF8"/>
    <w:rsid w:val="00381149"/>
    <w:rsid w:val="0038265E"/>
    <w:rsid w:val="00393A8D"/>
    <w:rsid w:val="003D1D36"/>
    <w:rsid w:val="003E104C"/>
    <w:rsid w:val="00412B51"/>
    <w:rsid w:val="00465A0F"/>
    <w:rsid w:val="004E1EC1"/>
    <w:rsid w:val="0050282B"/>
    <w:rsid w:val="00535962"/>
    <w:rsid w:val="005413C1"/>
    <w:rsid w:val="00552FED"/>
    <w:rsid w:val="005811D6"/>
    <w:rsid w:val="00586A71"/>
    <w:rsid w:val="005873F0"/>
    <w:rsid w:val="005E1FB4"/>
    <w:rsid w:val="0060569D"/>
    <w:rsid w:val="0061371B"/>
    <w:rsid w:val="00667F72"/>
    <w:rsid w:val="006741EA"/>
    <w:rsid w:val="00682044"/>
    <w:rsid w:val="006A21A3"/>
    <w:rsid w:val="006B2B01"/>
    <w:rsid w:val="00746565"/>
    <w:rsid w:val="00770CE6"/>
    <w:rsid w:val="007A606F"/>
    <w:rsid w:val="007D3A5B"/>
    <w:rsid w:val="0087213D"/>
    <w:rsid w:val="008872EE"/>
    <w:rsid w:val="008C776A"/>
    <w:rsid w:val="008F6152"/>
    <w:rsid w:val="00A25111"/>
    <w:rsid w:val="00A34E10"/>
    <w:rsid w:val="00AB76B1"/>
    <w:rsid w:val="00AD49F0"/>
    <w:rsid w:val="00AF061A"/>
    <w:rsid w:val="00B51951"/>
    <w:rsid w:val="00B76D12"/>
    <w:rsid w:val="00B8477C"/>
    <w:rsid w:val="00B95E2D"/>
    <w:rsid w:val="00BE5816"/>
    <w:rsid w:val="00C76BE0"/>
    <w:rsid w:val="00DD7606"/>
    <w:rsid w:val="00E30B03"/>
    <w:rsid w:val="00E553E6"/>
    <w:rsid w:val="00E821FA"/>
    <w:rsid w:val="00F53972"/>
    <w:rsid w:val="00FA67C7"/>
    <w:rsid w:val="06134F50"/>
    <w:rsid w:val="0D456F46"/>
    <w:rsid w:val="10305B08"/>
    <w:rsid w:val="119643BA"/>
    <w:rsid w:val="14BD665A"/>
    <w:rsid w:val="23DC61D5"/>
    <w:rsid w:val="2E801AA0"/>
    <w:rsid w:val="3E1A2E63"/>
    <w:rsid w:val="5EDE267F"/>
    <w:rsid w:val="5FE21D14"/>
    <w:rsid w:val="647F3B1A"/>
    <w:rsid w:val="72697C2B"/>
    <w:rsid w:val="7B5E0D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qFormat/>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8"/>
    <w:unhideWhenUsed/>
    <w:uiPriority w:val="99"/>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styleId="6">
    <w:name w:val="FollowedHyperlink"/>
    <w:unhideWhenUsed/>
    <w:qFormat/>
    <w:uiPriority w:val="99"/>
    <w:rPr>
      <w:color w:val="954F72"/>
      <w:u w:val="single"/>
    </w:rPr>
  </w:style>
  <w:style w:type="character" w:styleId="7">
    <w:name w:val="Hyperlink"/>
    <w:unhideWhenUsed/>
    <w:qFormat/>
    <w:uiPriority w:val="99"/>
    <w:rPr>
      <w:color w:val="0563C1"/>
      <w:u w:val="single"/>
    </w:rPr>
  </w:style>
  <w:style w:type="table" w:styleId="9">
    <w:name w:val="Table Grid"/>
    <w:basedOn w:val="8"/>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0">
    <w:name w:val="页眉 Char"/>
    <w:link w:val="4"/>
    <w:qFormat/>
    <w:uiPriority w:val="0"/>
    <w:rPr>
      <w:sz w:val="18"/>
      <w:szCs w:val="18"/>
    </w:rPr>
  </w:style>
  <w:style w:type="character" w:customStyle="1" w:styleId="11">
    <w:name w:val="页眉 Char1"/>
    <w:basedOn w:val="5"/>
    <w:semiHidden/>
    <w:qFormat/>
    <w:uiPriority w:val="99"/>
    <w:rPr>
      <w:sz w:val="18"/>
      <w:szCs w:val="18"/>
    </w:rPr>
  </w:style>
  <w:style w:type="character" w:customStyle="1" w:styleId="12">
    <w:name w:val="页脚 Char"/>
    <w:link w:val="3"/>
    <w:qFormat/>
    <w:uiPriority w:val="0"/>
    <w:rPr>
      <w:sz w:val="18"/>
      <w:szCs w:val="18"/>
    </w:rPr>
  </w:style>
  <w:style w:type="character" w:customStyle="1" w:styleId="13">
    <w:name w:val="页脚 Char1"/>
    <w:basedOn w:val="5"/>
    <w:semiHidden/>
    <w:qFormat/>
    <w:uiPriority w:val="99"/>
    <w:rPr>
      <w:sz w:val="18"/>
      <w:szCs w:val="18"/>
    </w:rPr>
  </w:style>
  <w:style w:type="paragraph" w:customStyle="1" w:styleId="14">
    <w:name w:val="列出段落1"/>
    <w:qFormat/>
    <w:uiPriority w:val="0"/>
    <w:pPr>
      <w:ind w:firstLine="420" w:firstLineChars="200"/>
    </w:pPr>
    <w:rPr>
      <w:rFonts w:ascii="Times New Roman" w:hAnsi="Times New Roman" w:eastAsia="宋体" w:cs="Times New Roman"/>
      <w:kern w:val="0"/>
      <w:sz w:val="20"/>
      <w:szCs w:val="20"/>
      <w:lang w:val="en-US" w:eastAsia="zh-CN" w:bidi="ar-SA"/>
    </w:rPr>
  </w:style>
  <w:style w:type="paragraph" w:customStyle="1" w:styleId="15">
    <w:name w:val="font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6">
    <w:name w:val="font5"/>
    <w:basedOn w:val="1"/>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17">
    <w:name w:val="font6"/>
    <w:basedOn w:val="1"/>
    <w:qFormat/>
    <w:uiPriority w:val="0"/>
    <w:pPr>
      <w:widowControl/>
      <w:spacing w:before="100" w:beforeAutospacing="1" w:after="100" w:afterAutospacing="1"/>
      <w:jc w:val="left"/>
    </w:pPr>
    <w:rPr>
      <w:rFonts w:ascii="仿宋_GB2312" w:hAnsi="宋体" w:eastAsia="仿宋_GB2312" w:cs="宋体"/>
      <w:kern w:val="0"/>
      <w:sz w:val="24"/>
      <w:szCs w:val="24"/>
    </w:rPr>
  </w:style>
  <w:style w:type="paragraph" w:customStyle="1" w:styleId="18">
    <w:name w:val="font7"/>
    <w:basedOn w:val="1"/>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19">
    <w:name w:val="font8"/>
    <w:basedOn w:val="1"/>
    <w:qFormat/>
    <w:uiPriority w:val="0"/>
    <w:pPr>
      <w:widowControl/>
      <w:spacing w:before="100" w:beforeAutospacing="1" w:after="100" w:afterAutospacing="1"/>
      <w:jc w:val="left"/>
    </w:pPr>
    <w:rPr>
      <w:rFonts w:ascii="宋体" w:hAnsi="宋体" w:eastAsia="宋体" w:cs="宋体"/>
      <w:b/>
      <w:bCs/>
      <w:kern w:val="0"/>
      <w:sz w:val="24"/>
      <w:szCs w:val="24"/>
      <w:u w:val="single"/>
    </w:rPr>
  </w:style>
  <w:style w:type="paragraph" w:customStyle="1" w:styleId="20">
    <w:name w:val="font9"/>
    <w:basedOn w:val="1"/>
    <w:qFormat/>
    <w:uiPriority w:val="0"/>
    <w:pPr>
      <w:widowControl/>
      <w:spacing w:before="100" w:beforeAutospacing="1" w:after="100" w:afterAutospacing="1"/>
      <w:jc w:val="left"/>
    </w:pPr>
    <w:rPr>
      <w:rFonts w:ascii="Arial" w:hAnsi="Arial" w:eastAsia="宋体" w:cs="Arial"/>
      <w:kern w:val="0"/>
      <w:sz w:val="24"/>
      <w:szCs w:val="24"/>
    </w:rPr>
  </w:style>
  <w:style w:type="paragraph" w:customStyle="1" w:styleId="21">
    <w:name w:val="font10"/>
    <w:basedOn w:val="1"/>
    <w:qFormat/>
    <w:uiPriority w:val="0"/>
    <w:pPr>
      <w:widowControl/>
      <w:spacing w:before="100" w:beforeAutospacing="1" w:after="100" w:afterAutospacing="1"/>
      <w:jc w:val="left"/>
    </w:pPr>
    <w:rPr>
      <w:rFonts w:ascii="Calibri" w:hAnsi="Calibri" w:eastAsia="宋体" w:cs="Calibri"/>
      <w:kern w:val="0"/>
      <w:sz w:val="24"/>
      <w:szCs w:val="24"/>
    </w:rPr>
  </w:style>
  <w:style w:type="paragraph" w:customStyle="1" w:styleId="22">
    <w:name w:val="font11"/>
    <w:basedOn w:val="1"/>
    <w:qFormat/>
    <w:uiPriority w:val="0"/>
    <w:pPr>
      <w:widowControl/>
      <w:spacing w:before="100" w:beforeAutospacing="1" w:after="100" w:afterAutospacing="1"/>
      <w:jc w:val="left"/>
    </w:pPr>
    <w:rPr>
      <w:rFonts w:ascii="Calibri" w:hAnsi="Calibri" w:eastAsia="宋体" w:cs="Calibri"/>
      <w:kern w:val="0"/>
      <w:sz w:val="24"/>
      <w:szCs w:val="24"/>
    </w:rPr>
  </w:style>
  <w:style w:type="paragraph" w:customStyle="1" w:styleId="23">
    <w:name w:val="font12"/>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4">
    <w:name w:val="font1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5">
    <w:name w:val="xl6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6">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4"/>
      <w:szCs w:val="24"/>
    </w:rPr>
  </w:style>
  <w:style w:type="paragraph" w:customStyle="1" w:styleId="27">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2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29">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4"/>
      <w:szCs w:val="24"/>
    </w:rPr>
  </w:style>
  <w:style w:type="paragraph" w:customStyle="1" w:styleId="30">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b/>
      <w:bCs/>
      <w:kern w:val="0"/>
      <w:sz w:val="24"/>
      <w:szCs w:val="24"/>
    </w:rPr>
  </w:style>
  <w:style w:type="paragraph" w:customStyle="1" w:styleId="31">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3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33">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kern w:val="0"/>
      <w:sz w:val="24"/>
      <w:szCs w:val="24"/>
    </w:rPr>
  </w:style>
  <w:style w:type="paragraph" w:customStyle="1" w:styleId="34">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eastAsia="宋体" w:cs="宋体"/>
      <w:kern w:val="0"/>
      <w:sz w:val="24"/>
      <w:szCs w:val="24"/>
    </w:rPr>
  </w:style>
  <w:style w:type="paragraph" w:customStyle="1" w:styleId="35">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ahoma" w:hAnsi="Tahoma" w:eastAsia="宋体" w:cs="Tahoma"/>
      <w:kern w:val="0"/>
      <w:sz w:val="24"/>
      <w:szCs w:val="24"/>
    </w:rPr>
  </w:style>
  <w:style w:type="paragraph" w:customStyle="1" w:styleId="36">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37">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38">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paragraph" w:customStyle="1" w:styleId="3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4"/>
      <w:szCs w:val="24"/>
    </w:rPr>
  </w:style>
  <w:style w:type="paragraph" w:customStyle="1" w:styleId="40">
    <w:name w:val="xl7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eastAsia="宋体" w:cs="Times New Roman"/>
      <w:kern w:val="0"/>
      <w:sz w:val="24"/>
      <w:szCs w:val="24"/>
    </w:rPr>
  </w:style>
  <w:style w:type="paragraph" w:customStyle="1" w:styleId="41">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kern w:val="0"/>
      <w:sz w:val="24"/>
      <w:szCs w:val="24"/>
    </w:rPr>
  </w:style>
  <w:style w:type="paragraph" w:customStyle="1" w:styleId="42">
    <w:name w:val="xl80"/>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43">
    <w:name w:val="xl81"/>
    <w:basedOn w:val="1"/>
    <w:qFormat/>
    <w:uiPriority w:val="0"/>
    <w:pPr>
      <w:widowControl/>
      <w:pBdr>
        <w:top w:val="single" w:color="auto" w:sz="4" w:space="0"/>
        <w:left w:val="single" w:color="auto" w:sz="4" w:space="31"/>
        <w:bottom w:val="single" w:color="auto" w:sz="4" w:space="0"/>
        <w:right w:val="single" w:color="auto" w:sz="4" w:space="0"/>
      </w:pBdr>
      <w:spacing w:before="100" w:beforeAutospacing="1" w:after="100" w:afterAutospacing="1"/>
      <w:ind w:firstLine="200" w:firstLineChars="200"/>
      <w:jc w:val="left"/>
    </w:pPr>
    <w:rPr>
      <w:rFonts w:ascii="宋体" w:hAnsi="宋体" w:eastAsia="宋体" w:cs="宋体"/>
      <w:kern w:val="0"/>
      <w:sz w:val="24"/>
      <w:szCs w:val="24"/>
    </w:rPr>
  </w:style>
  <w:style w:type="paragraph" w:customStyle="1" w:styleId="44">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4"/>
      <w:szCs w:val="24"/>
    </w:rPr>
  </w:style>
  <w:style w:type="paragraph" w:customStyle="1" w:styleId="45">
    <w:name w:val="xl83"/>
    <w:basedOn w:val="1"/>
    <w:qFormat/>
    <w:uiPriority w:val="0"/>
    <w:pPr>
      <w:widowControl/>
      <w:pBdr>
        <w:bottom w:val="single" w:color="000000" w:sz="4" w:space="0"/>
        <w:right w:val="single" w:color="000000" w:sz="4" w:space="0"/>
      </w:pBdr>
      <w:spacing w:before="100" w:beforeAutospacing="1" w:after="100" w:afterAutospacing="1"/>
      <w:jc w:val="left"/>
    </w:pPr>
    <w:rPr>
      <w:rFonts w:ascii="仿宋_GB2312" w:hAnsi="宋体" w:eastAsia="仿宋_GB2312" w:cs="宋体"/>
      <w:kern w:val="0"/>
      <w:sz w:val="24"/>
      <w:szCs w:val="24"/>
    </w:rPr>
  </w:style>
  <w:style w:type="paragraph" w:customStyle="1" w:styleId="46">
    <w:name w:val="xl84"/>
    <w:basedOn w:val="1"/>
    <w:qFormat/>
    <w:uiPriority w:val="0"/>
    <w:pPr>
      <w:widowControl/>
      <w:pBdr>
        <w:bottom w:val="single" w:color="000000" w:sz="4" w:space="0"/>
        <w:right w:val="single" w:color="000000" w:sz="4" w:space="0"/>
      </w:pBdr>
      <w:spacing w:before="100" w:beforeAutospacing="1" w:after="100" w:afterAutospacing="1"/>
    </w:pPr>
    <w:rPr>
      <w:rFonts w:ascii="仿宋_GB2312" w:hAnsi="宋体" w:eastAsia="仿宋_GB2312" w:cs="宋体"/>
      <w:kern w:val="0"/>
      <w:sz w:val="24"/>
      <w:szCs w:val="24"/>
    </w:rPr>
  </w:style>
  <w:style w:type="paragraph" w:customStyle="1" w:styleId="4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Times New Roman" w:hAnsi="Times New Roman" w:eastAsia="宋体" w:cs="Times New Roman"/>
      <w:kern w:val="0"/>
      <w:sz w:val="24"/>
      <w:szCs w:val="24"/>
    </w:rPr>
  </w:style>
  <w:style w:type="paragraph" w:customStyle="1" w:styleId="48">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40"/>
      <w:szCs w:val="40"/>
    </w:rPr>
  </w:style>
  <w:style w:type="paragraph" w:customStyle="1" w:styleId="49">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50">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16"/>
      <w:szCs w:val="16"/>
    </w:rPr>
  </w:style>
  <w:style w:type="paragraph" w:customStyle="1" w:styleId="51">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color w:val="000000"/>
      <w:kern w:val="0"/>
      <w:sz w:val="16"/>
      <w:szCs w:val="16"/>
    </w:rPr>
  </w:style>
  <w:style w:type="paragraph" w:customStyle="1" w:styleId="52">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16"/>
      <w:szCs w:val="16"/>
    </w:rPr>
  </w:style>
  <w:style w:type="paragraph" w:customStyle="1" w:styleId="53">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kern w:val="0"/>
      <w:sz w:val="16"/>
      <w:szCs w:val="16"/>
    </w:rPr>
  </w:style>
  <w:style w:type="paragraph" w:customStyle="1" w:styleId="54">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0000"/>
      <w:kern w:val="0"/>
      <w:sz w:val="16"/>
      <w:szCs w:val="16"/>
    </w:rPr>
  </w:style>
  <w:style w:type="paragraph" w:customStyle="1" w:styleId="55">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56">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16"/>
      <w:szCs w:val="16"/>
    </w:rPr>
  </w:style>
  <w:style w:type="paragraph" w:customStyle="1" w:styleId="57">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ED7D31"/>
      <w:kern w:val="0"/>
      <w:sz w:val="16"/>
      <w:szCs w:val="16"/>
    </w:rPr>
  </w:style>
  <w:style w:type="paragraph" w:customStyle="1" w:styleId="58">
    <w:name w:val="xl9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16"/>
      <w:szCs w:val="16"/>
    </w:rPr>
  </w:style>
  <w:style w:type="paragraph" w:customStyle="1" w:styleId="59">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0">
    <w:name w:val="xl9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16"/>
      <w:szCs w:val="16"/>
    </w:rPr>
  </w:style>
  <w:style w:type="paragraph" w:customStyle="1" w:styleId="61">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2">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3">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4">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16"/>
      <w:szCs w:val="16"/>
    </w:rPr>
  </w:style>
  <w:style w:type="paragraph" w:customStyle="1" w:styleId="65">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12"/>
      <w:szCs w:val="12"/>
    </w:rPr>
  </w:style>
  <w:style w:type="paragraph" w:customStyle="1" w:styleId="66">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7">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8">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9">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16"/>
      <w:szCs w:val="16"/>
    </w:rPr>
  </w:style>
  <w:style w:type="paragraph" w:customStyle="1" w:styleId="70">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71">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16"/>
      <w:szCs w:val="16"/>
    </w:rPr>
  </w:style>
  <w:style w:type="paragraph" w:customStyle="1" w:styleId="72">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FF0000"/>
      <w:kern w:val="0"/>
      <w:sz w:val="16"/>
      <w:szCs w:val="16"/>
    </w:rPr>
  </w:style>
  <w:style w:type="paragraph" w:customStyle="1" w:styleId="73">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74">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75">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76">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77">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78">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2"/>
      <w:szCs w:val="12"/>
    </w:rPr>
  </w:style>
  <w:style w:type="paragraph" w:customStyle="1" w:styleId="79">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80">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81">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6"/>
      <w:szCs w:val="16"/>
    </w:rPr>
  </w:style>
  <w:style w:type="paragraph" w:customStyle="1" w:styleId="82">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16"/>
      <w:szCs w:val="16"/>
    </w:rPr>
  </w:style>
  <w:style w:type="paragraph" w:customStyle="1" w:styleId="83">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16"/>
      <w:szCs w:val="16"/>
    </w:rPr>
  </w:style>
  <w:style w:type="paragraph" w:customStyle="1" w:styleId="84">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2"/>
      <w:szCs w:val="12"/>
    </w:rPr>
  </w:style>
  <w:style w:type="paragraph" w:customStyle="1" w:styleId="85">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16"/>
      <w:szCs w:val="16"/>
    </w:rPr>
  </w:style>
  <w:style w:type="paragraph" w:customStyle="1" w:styleId="86">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2"/>
      <w:szCs w:val="12"/>
    </w:rPr>
  </w:style>
  <w:style w:type="paragraph" w:customStyle="1" w:styleId="87">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kern w:val="0"/>
      <w:sz w:val="16"/>
      <w:szCs w:val="16"/>
    </w:rPr>
  </w:style>
  <w:style w:type="paragraph" w:customStyle="1" w:styleId="88">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89">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90">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16"/>
      <w:szCs w:val="16"/>
    </w:rPr>
  </w:style>
  <w:style w:type="paragraph" w:customStyle="1" w:styleId="91">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16"/>
      <w:szCs w:val="16"/>
    </w:rPr>
  </w:style>
  <w:style w:type="paragraph" w:customStyle="1" w:styleId="92">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16"/>
      <w:szCs w:val="16"/>
    </w:rPr>
  </w:style>
  <w:style w:type="paragraph" w:customStyle="1" w:styleId="93">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94">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16"/>
      <w:szCs w:val="16"/>
    </w:rPr>
  </w:style>
  <w:style w:type="paragraph" w:customStyle="1" w:styleId="95">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2"/>
    </w:rPr>
  </w:style>
  <w:style w:type="paragraph" w:customStyle="1" w:styleId="96">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97">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98">
    <w:name w:val="xl1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24"/>
      <w:szCs w:val="24"/>
    </w:rPr>
  </w:style>
  <w:style w:type="paragraph" w:customStyle="1" w:styleId="99">
    <w:name w:val="xl1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00">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01">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color w:val="000000"/>
      <w:kern w:val="0"/>
      <w:sz w:val="16"/>
      <w:szCs w:val="16"/>
    </w:rPr>
  </w:style>
  <w:style w:type="paragraph" w:customStyle="1" w:styleId="102">
    <w:name w:val="xl1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16"/>
      <w:szCs w:val="16"/>
    </w:rPr>
  </w:style>
  <w:style w:type="paragraph" w:customStyle="1" w:styleId="103">
    <w:name w:val="xl1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104">
    <w:name w:val="xl1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4"/>
      <w:szCs w:val="24"/>
    </w:rPr>
  </w:style>
  <w:style w:type="paragraph" w:customStyle="1" w:styleId="105">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6"/>
      <w:szCs w:val="16"/>
    </w:rPr>
  </w:style>
  <w:style w:type="paragraph" w:customStyle="1" w:styleId="106">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107">
    <w:name w:val="xl1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character" w:customStyle="1" w:styleId="108">
    <w:name w:val="批注框文本 Char"/>
    <w:basedOn w:val="5"/>
    <w:link w:val="2"/>
    <w:semiHidden/>
    <w:qFormat/>
    <w:uiPriority w:val="99"/>
    <w:rPr>
      <w:sz w:val="18"/>
      <w:szCs w:val="18"/>
    </w:rPr>
  </w:style>
  <w:style w:type="paragraph" w:customStyle="1" w:styleId="109">
    <w:name w:val="List Paragraph"/>
    <w:basedOn w:val="1"/>
    <w:qFormat/>
    <w:uiPriority w:val="34"/>
    <w:pPr>
      <w:ind w:firstLine="420" w:firstLineChars="200"/>
    </w:pPr>
  </w:style>
  <w:style w:type="character" w:customStyle="1" w:styleId="110">
    <w:name w:val="font41"/>
    <w:basedOn w:val="5"/>
    <w:qFormat/>
    <w:uiPriority w:val="0"/>
    <w:rPr>
      <w:rFonts w:hint="eastAsia" w:ascii="宋体" w:hAnsi="宋体" w:eastAsia="宋体" w:cs="宋体"/>
      <w:color w:val="000000"/>
      <w:sz w:val="22"/>
      <w:szCs w:val="22"/>
      <w:u w:val="none"/>
    </w:rPr>
  </w:style>
  <w:style w:type="character" w:customStyle="1" w:styleId="111">
    <w:name w:val="font101"/>
    <w:basedOn w:val="5"/>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Pages>
  <Words>527</Words>
  <Characters>3009</Characters>
  <Lines>25</Lines>
  <Paragraphs>7</Paragraphs>
  <ScaleCrop>false</ScaleCrop>
  <LinksUpToDate>false</LinksUpToDate>
  <CharactersWithSpaces>3529</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2017-02-23T07:04:00Z</dcterms:created>
  <dc:creator>魏今朝</dc:creator>
  <cp:lastModifiedBy>朱雪美</cp:lastModifiedBy>
  <cp:lastPrinted>2017-02-24T02:11:00Z</cp:lastPrinted>
  <dcterms:modified xsi:type="dcterms:W3CDTF">2018-05-31T00:00:18Z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