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" w:firstLineChars="0"/>
        <w:jc w:val="center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  <w:t>一期工程(含完善工程)、四期工程400#泊位、工作船多用途码头工程码头靠泊等级提升方案报告技术要求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Lines="50" w:line="560" w:lineRule="exact"/>
        <w:ind w:leftChars="200" w:right="0" w:rightChars="0" w:firstLine="320" w:firstLineChars="1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Lines="50" w:line="560" w:lineRule="exact"/>
        <w:ind w:leftChars="200" w:right="0" w:rightChars="0" w:firstLine="320" w:firstLineChars="1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一、</w:t>
      </w:r>
      <w:r>
        <w:rPr>
          <w:rFonts w:hint="eastAsia" w:ascii="仿宋" w:hAnsi="仿宋" w:eastAsia="仿宋"/>
          <w:sz w:val="32"/>
          <w:szCs w:val="32"/>
        </w:rPr>
        <w:t>工程概况：</w:t>
      </w:r>
    </w:p>
    <w:p>
      <w:pPr>
        <w:pStyle w:val="2"/>
        <w:keepNext w:val="0"/>
        <w:keepLines w:val="0"/>
        <w:pageBreakBefore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黄骅港煤炭港区一期工程（含完善工程）、四期工程400#泊位、工作船及多用途码头工程已竣工验收投产，随着近年船舶大型化和公司实际生产运营需要，根据</w:t>
      </w:r>
      <w:r>
        <w:rPr>
          <w:rFonts w:hint="default"/>
          <w:lang w:val="en-US" w:eastAsia="zh-CN"/>
        </w:rPr>
        <w:t>交通运输部关于《沿海码头靠泊能力管理规定》</w:t>
      </w:r>
      <w:r>
        <w:rPr>
          <w:rFonts w:hint="eastAsia"/>
          <w:lang w:val="en-US" w:eastAsia="zh-CN"/>
        </w:rPr>
        <w:t>要求，需对以上工程码头靠泊等级进行提升，以满足公司生产运营需要。</w:t>
      </w:r>
    </w:p>
    <w:p>
      <w:pPr>
        <w:pStyle w:val="2"/>
        <w:keepNext w:val="0"/>
        <w:keepLines w:val="0"/>
        <w:pageBreakBefore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一期工程（含完善工程）</w:t>
      </w:r>
      <w:r>
        <w:rPr>
          <w:rFonts w:hint="eastAsia" w:cs="Times New Roman"/>
          <w:kern w:val="2"/>
          <w:sz w:val="32"/>
          <w:szCs w:val="24"/>
          <w:lang w:val="en-US" w:eastAsia="zh-CN" w:bidi="ar-SA"/>
        </w:rPr>
        <w:t>现状为1万吨级泊位1个、3.5万吨级泊位1个、5万吨级泊位2个，</w:t>
      </w: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四期工程400#泊位</w:t>
      </w:r>
      <w:r>
        <w:rPr>
          <w:rFonts w:hint="eastAsia" w:cs="Times New Roman"/>
          <w:kern w:val="2"/>
          <w:sz w:val="32"/>
          <w:szCs w:val="24"/>
          <w:lang w:val="en-US" w:eastAsia="zh-CN" w:bidi="ar-SA"/>
        </w:rPr>
        <w:t>现状为5万吨级泊位1个，</w:t>
      </w: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工作船及多用途码头工程</w:t>
      </w:r>
      <w:r>
        <w:rPr>
          <w:rFonts w:hint="eastAsia" w:cs="Times New Roman"/>
          <w:kern w:val="2"/>
          <w:sz w:val="32"/>
          <w:szCs w:val="24"/>
          <w:lang w:val="en-US" w:eastAsia="zh-CN" w:bidi="ar-SA"/>
        </w:rPr>
        <w:t>现状为1.5万吨级泊位2个。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开展一期工程（含完善工程）、四期工程400#泊位、工作船及多用途码头工程开展码头靠泊等级提升工作，提升方案研究内容包括：改造必要性和可行性、改造条件、改造方案设</w:t>
      </w:r>
      <w:bookmarkStart w:id="0" w:name="_GoBack"/>
      <w:bookmarkEnd w:id="0"/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计、投资估算等内容，并符合相关的法律法规、技术规范,和交通港航、海事管理机构审批的要求，形成</w:t>
      </w:r>
      <w:r>
        <w:rPr>
          <w:rFonts w:hint="default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码头能力论证报告</w:t>
      </w: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，通过专家评审论证后呈报至主管部门审批，并取得相关批复文件。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二、报价要求：码头靠泊等级提升工作方案设计控制价19.54万元，此费用包含项目现</w:t>
      </w:r>
      <w:r>
        <w:rPr>
          <w:rFonts w:hint="eastAsia" w:ascii="仿宋" w:hAnsi="仿宋" w:eastAsia="仿宋"/>
          <w:sz w:val="32"/>
          <w:szCs w:val="32"/>
        </w:rPr>
        <w:t>场勘查、报告编制、会议审查及专家咨询费等全部费用。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时间要求：中标签订合同后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sz w:val="32"/>
          <w:szCs w:val="32"/>
        </w:rPr>
        <w:t>天内完成全部工作。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1D6804"/>
    <w:rsid w:val="01480EB1"/>
    <w:rsid w:val="02C77B7A"/>
    <w:rsid w:val="6B1D68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2018-08-27T06:07:00Z</dcterms:created>
  <dc:creator>孙本庄</dc:creator>
  <cp:lastModifiedBy>孙本庄</cp:lastModifiedBy>
  <dcterms:modified xsi:type="dcterms:W3CDTF">2018-08-30T08:19:58Z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