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firstLine="883"/>
        <w:jc w:val="center"/>
        <w:rPr>
          <w:rFonts w:eastAsia="黑体"/>
          <w:b/>
          <w:bCs/>
          <w:sz w:val="44"/>
          <w:szCs w:val="44"/>
        </w:rPr>
      </w:pPr>
    </w:p>
    <w:p>
      <w:pPr>
        <w:spacing w:line="360" w:lineRule="auto"/>
        <w:ind w:firstLine="883"/>
        <w:jc w:val="center"/>
        <w:rPr>
          <w:rFonts w:eastAsia="黑体"/>
          <w:b/>
          <w:bCs/>
          <w:sz w:val="44"/>
          <w:szCs w:val="44"/>
        </w:rPr>
      </w:pPr>
    </w:p>
    <w:p>
      <w:pPr>
        <w:spacing w:line="360" w:lineRule="auto"/>
        <w:ind w:firstLine="883"/>
        <w:jc w:val="center"/>
        <w:rPr>
          <w:rFonts w:eastAsia="黑体"/>
          <w:b/>
          <w:bCs/>
          <w:sz w:val="44"/>
          <w:szCs w:val="44"/>
        </w:rPr>
      </w:pPr>
    </w:p>
    <w:p>
      <w:pPr>
        <w:spacing w:line="360" w:lineRule="auto"/>
        <w:ind w:firstLine="883"/>
        <w:jc w:val="center"/>
        <w:rPr>
          <w:rFonts w:eastAsia="黑体"/>
          <w:b/>
          <w:bCs/>
          <w:sz w:val="44"/>
          <w:szCs w:val="44"/>
        </w:rPr>
      </w:pPr>
    </w:p>
    <w:p>
      <w:pPr>
        <w:spacing w:line="360" w:lineRule="auto"/>
        <w:ind w:firstLine="883"/>
        <w:jc w:val="center"/>
        <w:rPr>
          <w:rFonts w:eastAsia="黑体"/>
          <w:b/>
          <w:bCs/>
          <w:sz w:val="44"/>
          <w:szCs w:val="44"/>
        </w:rPr>
      </w:pPr>
    </w:p>
    <w:p>
      <w:pPr>
        <w:spacing w:line="360" w:lineRule="auto"/>
        <w:ind w:firstLine="964"/>
        <w:jc w:val="center"/>
        <w:rPr>
          <w:rFonts w:eastAsia="黑体"/>
          <w:b/>
          <w:bCs/>
          <w:sz w:val="48"/>
          <w:szCs w:val="48"/>
        </w:rPr>
      </w:pPr>
      <w:r>
        <w:rPr>
          <w:rFonts w:hint="eastAsia" w:eastAsia="黑体"/>
          <w:b/>
          <w:bCs/>
          <w:sz w:val="48"/>
          <w:szCs w:val="48"/>
        </w:rPr>
        <w:t>神华黄骅港务消防联网</w:t>
      </w:r>
      <w:r>
        <w:rPr>
          <w:rFonts w:hint="eastAsia" w:eastAsia="黑体"/>
          <w:b/>
          <w:bCs/>
          <w:sz w:val="48"/>
          <w:szCs w:val="48"/>
          <w:lang w:val="en-US" w:eastAsia="zh-CN"/>
        </w:rPr>
        <w:t>工程</w:t>
      </w:r>
      <w:r>
        <w:rPr>
          <w:rFonts w:hint="eastAsia" w:eastAsia="黑体"/>
          <w:b/>
          <w:bCs/>
          <w:sz w:val="48"/>
          <w:szCs w:val="48"/>
        </w:rPr>
        <w:t>项目</w:t>
      </w:r>
    </w:p>
    <w:p>
      <w:pPr>
        <w:spacing w:line="360" w:lineRule="auto"/>
        <w:ind w:firstLine="964"/>
        <w:jc w:val="center"/>
        <w:rPr>
          <w:rFonts w:eastAsia="黑体"/>
          <w:b/>
          <w:bCs/>
          <w:sz w:val="48"/>
          <w:szCs w:val="48"/>
        </w:rPr>
      </w:pPr>
    </w:p>
    <w:p>
      <w:pPr>
        <w:spacing w:line="360" w:lineRule="auto"/>
        <w:ind w:firstLine="964"/>
        <w:jc w:val="center"/>
        <w:rPr>
          <w:rFonts w:eastAsia="黑体"/>
          <w:b/>
          <w:bCs/>
          <w:sz w:val="48"/>
          <w:szCs w:val="48"/>
        </w:rPr>
      </w:pPr>
      <w:r>
        <w:rPr>
          <w:rFonts w:hint="eastAsia" w:eastAsia="黑体"/>
          <w:b/>
          <w:bCs/>
          <w:sz w:val="48"/>
          <w:szCs w:val="48"/>
        </w:rPr>
        <w:t>技术规格书</w:t>
      </w:r>
    </w:p>
    <w:p>
      <w:pPr>
        <w:spacing w:line="360" w:lineRule="auto"/>
        <w:ind w:firstLine="1044"/>
        <w:jc w:val="center"/>
        <w:rPr>
          <w:rFonts w:eastAsia="黑体"/>
          <w:b/>
          <w:bCs/>
          <w:sz w:val="52"/>
          <w:szCs w:val="52"/>
        </w:rPr>
      </w:pPr>
    </w:p>
    <w:p>
      <w:pPr>
        <w:spacing w:line="360" w:lineRule="auto"/>
        <w:ind w:firstLine="1044"/>
        <w:jc w:val="center"/>
        <w:rPr>
          <w:rFonts w:eastAsia="黑体"/>
          <w:b/>
          <w:bCs/>
          <w:sz w:val="52"/>
          <w:szCs w:val="52"/>
        </w:rPr>
      </w:pPr>
    </w:p>
    <w:p>
      <w:pPr>
        <w:spacing w:line="360" w:lineRule="auto"/>
        <w:ind w:firstLine="1044"/>
        <w:jc w:val="center"/>
        <w:rPr>
          <w:rFonts w:eastAsia="黑体"/>
          <w:b/>
          <w:bCs/>
          <w:sz w:val="52"/>
          <w:szCs w:val="52"/>
        </w:rPr>
      </w:pPr>
    </w:p>
    <w:p>
      <w:pPr>
        <w:spacing w:line="360" w:lineRule="auto"/>
        <w:ind w:firstLine="1044"/>
        <w:jc w:val="center"/>
        <w:rPr>
          <w:rFonts w:eastAsia="黑体"/>
          <w:b/>
          <w:bCs/>
          <w:sz w:val="52"/>
          <w:szCs w:val="52"/>
        </w:rPr>
      </w:pPr>
    </w:p>
    <w:p>
      <w:pPr>
        <w:ind w:firstLine="0" w:firstLineChars="0"/>
        <w:jc w:val="center"/>
        <w:rPr>
          <w:rFonts w:ascii="黑体" w:hAnsi="黑体" w:eastAsia="黑体" w:cs="黑体"/>
          <w:sz w:val="36"/>
          <w:szCs w:val="28"/>
        </w:rPr>
      </w:pPr>
    </w:p>
    <w:p>
      <w:pPr>
        <w:ind w:firstLine="0" w:firstLineChars="0"/>
        <w:jc w:val="center"/>
        <w:rPr>
          <w:rFonts w:ascii="黑体" w:hAnsi="黑体" w:eastAsia="黑体" w:cs="黑体"/>
          <w:sz w:val="36"/>
          <w:szCs w:val="28"/>
        </w:rPr>
      </w:pPr>
    </w:p>
    <w:p>
      <w:pPr>
        <w:ind w:firstLine="0" w:firstLineChars="0"/>
        <w:jc w:val="center"/>
        <w:rPr>
          <w:rFonts w:ascii="黑体" w:hAnsi="黑体" w:eastAsia="黑体" w:cs="黑体"/>
          <w:sz w:val="36"/>
          <w:szCs w:val="28"/>
        </w:rPr>
      </w:pPr>
    </w:p>
    <w:p>
      <w:pPr>
        <w:ind w:firstLine="0" w:firstLineChars="0"/>
        <w:jc w:val="center"/>
        <w:rPr>
          <w:rFonts w:ascii="黑体" w:hAnsi="黑体" w:eastAsia="黑体" w:cs="黑体"/>
          <w:sz w:val="36"/>
          <w:szCs w:val="28"/>
        </w:rPr>
      </w:pPr>
    </w:p>
    <w:p>
      <w:pPr>
        <w:ind w:firstLine="0" w:firstLineChars="0"/>
        <w:jc w:val="center"/>
        <w:rPr>
          <w:rFonts w:ascii="黑体" w:hAnsi="黑体" w:eastAsia="黑体" w:cs="黑体"/>
          <w:sz w:val="36"/>
          <w:szCs w:val="28"/>
        </w:rPr>
      </w:pPr>
    </w:p>
    <w:p>
      <w:pPr>
        <w:ind w:firstLine="0" w:firstLineChars="0"/>
        <w:jc w:val="center"/>
        <w:rPr>
          <w:rFonts w:ascii="黑体" w:hAnsi="黑体" w:eastAsia="黑体" w:cs="黑体"/>
          <w:sz w:val="36"/>
          <w:szCs w:val="28"/>
        </w:rPr>
      </w:pPr>
    </w:p>
    <w:p>
      <w:pPr>
        <w:ind w:firstLine="0" w:firstLineChars="0"/>
        <w:jc w:val="center"/>
        <w:rPr>
          <w:rFonts w:ascii="黑体" w:hAnsi="黑体" w:eastAsia="黑体" w:cs="黑体"/>
          <w:sz w:val="36"/>
          <w:szCs w:val="28"/>
        </w:rPr>
      </w:pPr>
    </w:p>
    <w:p>
      <w:pPr>
        <w:ind w:firstLine="0" w:firstLineChars="0"/>
        <w:jc w:val="center"/>
        <w:rPr>
          <w:rFonts w:ascii="黑体" w:hAnsi="黑体" w:eastAsia="黑体" w:cs="黑体"/>
          <w:sz w:val="36"/>
          <w:szCs w:val="28"/>
        </w:rPr>
      </w:pPr>
    </w:p>
    <w:p>
      <w:pPr>
        <w:ind w:firstLine="0" w:firstLineChars="0"/>
        <w:jc w:val="center"/>
        <w:rPr>
          <w:rFonts w:ascii="黑体" w:hAnsi="黑体" w:eastAsia="黑体" w:cs="黑体"/>
          <w:sz w:val="36"/>
          <w:szCs w:val="28"/>
        </w:rPr>
      </w:pPr>
    </w:p>
    <w:p>
      <w:pPr>
        <w:ind w:firstLine="0" w:firstLineChars="0"/>
        <w:jc w:val="center"/>
        <w:rPr>
          <w:rFonts w:ascii="黑体" w:hAnsi="黑体" w:eastAsia="黑体" w:cs="黑体"/>
          <w:sz w:val="36"/>
          <w:szCs w:val="28"/>
        </w:rPr>
      </w:pPr>
    </w:p>
    <w:p>
      <w:pPr>
        <w:ind w:firstLine="0" w:firstLineChars="0"/>
        <w:jc w:val="center"/>
        <w:rPr>
          <w:rFonts w:ascii="黑体" w:hAnsi="黑体" w:eastAsia="黑体" w:cs="黑体"/>
          <w:sz w:val="36"/>
          <w:szCs w:val="28"/>
        </w:rPr>
        <w:sectPr>
          <w:pgSz w:w="11906" w:h="16838"/>
          <w:pgMar w:top="1440" w:right="1800" w:bottom="1440" w:left="1800" w:header="851" w:footer="992" w:gutter="0"/>
          <w:pgNumType w:fmt="upperRoman" w:start="1"/>
          <w:cols w:space="0" w:num="1"/>
          <w:docGrid w:type="lines" w:linePitch="312" w:charSpace="0"/>
        </w:sectPr>
      </w:pPr>
      <w:r>
        <w:rPr>
          <w:rFonts w:hint="eastAsia" w:ascii="黑体" w:hAnsi="黑体" w:eastAsia="黑体" w:cs="黑体"/>
          <w:sz w:val="36"/>
          <w:szCs w:val="28"/>
        </w:rPr>
        <w:t>2018年</w:t>
      </w:r>
      <w:r>
        <w:rPr>
          <w:rFonts w:hint="eastAsia" w:ascii="黑体" w:hAnsi="黑体" w:eastAsia="黑体" w:cs="黑体"/>
          <w:sz w:val="36"/>
          <w:szCs w:val="28"/>
          <w:lang w:val="en-US" w:eastAsia="zh-CN"/>
        </w:rPr>
        <w:t>9</w:t>
      </w:r>
      <w:r>
        <w:rPr>
          <w:rFonts w:hint="eastAsia" w:ascii="黑体" w:hAnsi="黑体" w:eastAsia="黑体" w:cs="黑体"/>
          <w:sz w:val="36"/>
          <w:szCs w:val="28"/>
        </w:rPr>
        <w:t>月</w:t>
      </w:r>
    </w:p>
    <w:p>
      <w:pPr>
        <w:ind w:firstLine="0" w:firstLineChars="0"/>
        <w:jc w:val="center"/>
        <w:rPr>
          <w:rFonts w:ascii="黑体" w:hAnsi="黑体" w:eastAsia="黑体" w:cs="黑体"/>
          <w:b/>
          <w:bCs/>
          <w:sz w:val="32"/>
          <w:szCs w:val="24"/>
        </w:rPr>
      </w:pPr>
      <w:r>
        <w:rPr>
          <w:rFonts w:hint="eastAsia" w:ascii="黑体" w:hAnsi="黑体" w:eastAsia="黑体" w:cs="黑体"/>
          <w:b/>
          <w:bCs/>
          <w:sz w:val="32"/>
          <w:szCs w:val="24"/>
        </w:rPr>
        <w:t>目  录</w:t>
      </w:r>
    </w:p>
    <w:p>
      <w:pPr>
        <w:pStyle w:val="22"/>
        <w:tabs>
          <w:tab w:val="right" w:leader="dot" w:pos="8306"/>
        </w:tabs>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TOC \o "1-2" \h \u </w:instrText>
      </w:r>
      <w:r>
        <w:rPr>
          <w:rFonts w:hint="eastAsia" w:ascii="宋体" w:hAnsi="宋体" w:eastAsia="宋体" w:cs="宋体"/>
          <w:sz w:val="21"/>
          <w:szCs w:val="21"/>
        </w:rPr>
        <w:fldChar w:fldCharType="separate"/>
      </w:r>
      <w:r>
        <w:rPr>
          <w:rFonts w:hint="eastAsia" w:ascii="宋体" w:hAnsi="宋体" w:eastAsia="宋体" w:cs="宋体"/>
          <w:szCs w:val="21"/>
        </w:rPr>
        <w:fldChar w:fldCharType="begin"/>
      </w:r>
      <w:r>
        <w:rPr>
          <w:rFonts w:hint="eastAsia" w:ascii="宋体" w:hAnsi="宋体" w:eastAsia="宋体" w:cs="宋体"/>
          <w:szCs w:val="21"/>
        </w:rPr>
        <w:instrText xml:space="preserve"> HYPERLINK \l _Toc30347 </w:instrText>
      </w:r>
      <w:r>
        <w:rPr>
          <w:rFonts w:hint="eastAsia" w:ascii="宋体" w:hAnsi="宋体" w:eastAsia="宋体" w:cs="宋体"/>
          <w:szCs w:val="21"/>
        </w:rPr>
        <w:fldChar w:fldCharType="separate"/>
      </w:r>
      <w:r>
        <w:rPr>
          <w:rFonts w:hint="default"/>
        </w:rPr>
        <w:t xml:space="preserve">1. </w:t>
      </w:r>
      <w:r>
        <w:rPr>
          <w:rFonts w:hint="eastAsia"/>
        </w:rPr>
        <w:t>总则</w:t>
      </w:r>
      <w:r>
        <w:tab/>
      </w:r>
      <w:r>
        <w:fldChar w:fldCharType="begin"/>
      </w:r>
      <w:r>
        <w:instrText xml:space="preserve"> PAGEREF _Toc30347 </w:instrText>
      </w:r>
      <w:r>
        <w:fldChar w:fldCharType="separate"/>
      </w:r>
      <w:r>
        <w:t>1</w:t>
      </w:r>
      <w:r>
        <w:fldChar w:fldCharType="end"/>
      </w:r>
      <w:r>
        <w:rPr>
          <w:rFonts w:hint="eastAsia" w:ascii="宋体" w:hAnsi="宋体" w:eastAsia="宋体" w:cs="宋体"/>
          <w:szCs w:val="21"/>
        </w:rPr>
        <w:fldChar w:fldCharType="end"/>
      </w:r>
    </w:p>
    <w:p>
      <w:pPr>
        <w:pStyle w:val="25"/>
        <w:tabs>
          <w:tab w:val="right" w:leader="dot" w:pos="8306"/>
        </w:tabs>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_Toc3832 </w:instrText>
      </w:r>
      <w:r>
        <w:rPr>
          <w:rFonts w:hint="eastAsia" w:ascii="宋体" w:hAnsi="宋体" w:eastAsia="宋体" w:cs="宋体"/>
          <w:szCs w:val="21"/>
        </w:rPr>
        <w:fldChar w:fldCharType="separate"/>
      </w:r>
      <w:r>
        <w:rPr>
          <w:rFonts w:hint="default"/>
        </w:rPr>
        <w:t xml:space="preserve">1.1. </w:t>
      </w:r>
      <w:r>
        <w:rPr>
          <w:rFonts w:hint="eastAsia"/>
        </w:rPr>
        <w:t>适用范围</w:t>
      </w:r>
      <w:r>
        <w:tab/>
      </w:r>
      <w:r>
        <w:fldChar w:fldCharType="begin"/>
      </w:r>
      <w:r>
        <w:instrText xml:space="preserve"> PAGEREF _Toc3832 </w:instrText>
      </w:r>
      <w:r>
        <w:fldChar w:fldCharType="separate"/>
      </w:r>
      <w:r>
        <w:t>1</w:t>
      </w:r>
      <w:r>
        <w:fldChar w:fldCharType="end"/>
      </w:r>
      <w:r>
        <w:rPr>
          <w:rFonts w:hint="eastAsia" w:ascii="宋体" w:hAnsi="宋体" w:eastAsia="宋体" w:cs="宋体"/>
          <w:szCs w:val="21"/>
        </w:rPr>
        <w:fldChar w:fldCharType="end"/>
      </w:r>
    </w:p>
    <w:p>
      <w:pPr>
        <w:pStyle w:val="25"/>
        <w:tabs>
          <w:tab w:val="right" w:leader="dot" w:pos="8306"/>
        </w:tabs>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_Toc1155 </w:instrText>
      </w:r>
      <w:r>
        <w:rPr>
          <w:rFonts w:hint="eastAsia" w:ascii="宋体" w:hAnsi="宋体" w:eastAsia="宋体" w:cs="宋体"/>
          <w:szCs w:val="21"/>
        </w:rPr>
        <w:fldChar w:fldCharType="separate"/>
      </w:r>
      <w:r>
        <w:rPr>
          <w:rFonts w:hint="default"/>
        </w:rPr>
        <w:t xml:space="preserve">1.2. </w:t>
      </w:r>
      <w:r>
        <w:rPr>
          <w:rFonts w:hint="eastAsia"/>
        </w:rPr>
        <w:t>技术</w:t>
      </w:r>
      <w:r>
        <w:t>要求</w:t>
      </w:r>
      <w:r>
        <w:rPr>
          <w:rFonts w:hint="eastAsia"/>
        </w:rPr>
        <w:t>说明</w:t>
      </w:r>
      <w:r>
        <w:tab/>
      </w:r>
      <w:r>
        <w:fldChar w:fldCharType="begin"/>
      </w:r>
      <w:r>
        <w:instrText xml:space="preserve"> PAGEREF _Toc1155 </w:instrText>
      </w:r>
      <w:r>
        <w:fldChar w:fldCharType="separate"/>
      </w:r>
      <w:r>
        <w:t>1</w:t>
      </w:r>
      <w:r>
        <w:fldChar w:fldCharType="end"/>
      </w:r>
      <w:r>
        <w:rPr>
          <w:rFonts w:hint="eastAsia" w:ascii="宋体" w:hAnsi="宋体" w:eastAsia="宋体" w:cs="宋体"/>
          <w:szCs w:val="21"/>
        </w:rPr>
        <w:fldChar w:fldCharType="end"/>
      </w:r>
    </w:p>
    <w:p>
      <w:pPr>
        <w:pStyle w:val="25"/>
        <w:tabs>
          <w:tab w:val="right" w:leader="dot" w:pos="8306"/>
        </w:tabs>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_Toc26846 </w:instrText>
      </w:r>
      <w:r>
        <w:rPr>
          <w:rFonts w:hint="eastAsia" w:ascii="宋体" w:hAnsi="宋体" w:eastAsia="宋体" w:cs="宋体"/>
          <w:szCs w:val="21"/>
        </w:rPr>
        <w:fldChar w:fldCharType="separate"/>
      </w:r>
      <w:r>
        <w:rPr>
          <w:rFonts w:hint="default"/>
        </w:rPr>
        <w:t xml:space="preserve">1.3. </w:t>
      </w:r>
      <w:r>
        <w:rPr>
          <w:rFonts w:hint="eastAsia"/>
        </w:rPr>
        <w:t>招标方</w:t>
      </w:r>
      <w:r>
        <w:t>修订说明</w:t>
      </w:r>
      <w:r>
        <w:tab/>
      </w:r>
      <w:r>
        <w:fldChar w:fldCharType="begin"/>
      </w:r>
      <w:r>
        <w:instrText xml:space="preserve"> PAGEREF _Toc26846 </w:instrText>
      </w:r>
      <w:r>
        <w:fldChar w:fldCharType="separate"/>
      </w:r>
      <w:r>
        <w:t>1</w:t>
      </w:r>
      <w:r>
        <w:fldChar w:fldCharType="end"/>
      </w:r>
      <w:r>
        <w:rPr>
          <w:rFonts w:hint="eastAsia" w:ascii="宋体" w:hAnsi="宋体" w:eastAsia="宋体" w:cs="宋体"/>
          <w:szCs w:val="21"/>
        </w:rPr>
        <w:fldChar w:fldCharType="end"/>
      </w:r>
    </w:p>
    <w:p>
      <w:pPr>
        <w:pStyle w:val="25"/>
        <w:tabs>
          <w:tab w:val="right" w:leader="dot" w:pos="8306"/>
        </w:tabs>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_Toc10380 </w:instrText>
      </w:r>
      <w:r>
        <w:rPr>
          <w:rFonts w:hint="eastAsia" w:ascii="宋体" w:hAnsi="宋体" w:eastAsia="宋体" w:cs="宋体"/>
          <w:szCs w:val="21"/>
        </w:rPr>
        <w:fldChar w:fldCharType="separate"/>
      </w:r>
      <w:r>
        <w:rPr>
          <w:rFonts w:hint="default"/>
        </w:rPr>
        <w:t xml:space="preserve">1.4. </w:t>
      </w:r>
      <w:r>
        <w:rPr>
          <w:rFonts w:hint="eastAsia"/>
        </w:rPr>
        <w:t>投标方意义</w:t>
      </w:r>
      <w:r>
        <w:t>反馈</w:t>
      </w:r>
      <w:r>
        <w:tab/>
      </w:r>
      <w:r>
        <w:fldChar w:fldCharType="begin"/>
      </w:r>
      <w:r>
        <w:instrText xml:space="preserve"> PAGEREF _Toc10380 </w:instrText>
      </w:r>
      <w:r>
        <w:fldChar w:fldCharType="separate"/>
      </w:r>
      <w:r>
        <w:t>1</w:t>
      </w:r>
      <w:r>
        <w:fldChar w:fldCharType="end"/>
      </w:r>
      <w:r>
        <w:rPr>
          <w:rFonts w:hint="eastAsia" w:ascii="宋体" w:hAnsi="宋体" w:eastAsia="宋体" w:cs="宋体"/>
          <w:szCs w:val="21"/>
        </w:rPr>
        <w:fldChar w:fldCharType="end"/>
      </w:r>
    </w:p>
    <w:p>
      <w:pPr>
        <w:pStyle w:val="25"/>
        <w:tabs>
          <w:tab w:val="right" w:leader="dot" w:pos="8306"/>
        </w:tabs>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_Toc12342 </w:instrText>
      </w:r>
      <w:r>
        <w:rPr>
          <w:rFonts w:hint="eastAsia" w:ascii="宋体" w:hAnsi="宋体" w:eastAsia="宋体" w:cs="宋体"/>
          <w:szCs w:val="21"/>
        </w:rPr>
        <w:fldChar w:fldCharType="separate"/>
      </w:r>
      <w:r>
        <w:rPr>
          <w:rFonts w:hint="default"/>
        </w:rPr>
        <w:t xml:space="preserve">1.5. </w:t>
      </w:r>
      <w:r>
        <w:rPr>
          <w:rFonts w:hint="eastAsia"/>
        </w:rPr>
        <w:t>规格书</w:t>
      </w:r>
      <w:r>
        <w:t>说明</w:t>
      </w:r>
      <w:r>
        <w:tab/>
      </w:r>
      <w:r>
        <w:fldChar w:fldCharType="begin"/>
      </w:r>
      <w:r>
        <w:instrText xml:space="preserve"> PAGEREF _Toc12342 </w:instrText>
      </w:r>
      <w:r>
        <w:fldChar w:fldCharType="separate"/>
      </w:r>
      <w:r>
        <w:t>1</w:t>
      </w:r>
      <w:r>
        <w:fldChar w:fldCharType="end"/>
      </w:r>
      <w:r>
        <w:rPr>
          <w:rFonts w:hint="eastAsia" w:ascii="宋体" w:hAnsi="宋体" w:eastAsia="宋体" w:cs="宋体"/>
          <w:szCs w:val="21"/>
        </w:rPr>
        <w:fldChar w:fldCharType="end"/>
      </w:r>
    </w:p>
    <w:p>
      <w:pPr>
        <w:pStyle w:val="22"/>
        <w:tabs>
          <w:tab w:val="right" w:leader="dot" w:pos="8306"/>
        </w:tabs>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_Toc24138 </w:instrText>
      </w:r>
      <w:r>
        <w:rPr>
          <w:rFonts w:hint="eastAsia" w:ascii="宋体" w:hAnsi="宋体" w:eastAsia="宋体" w:cs="宋体"/>
          <w:szCs w:val="21"/>
        </w:rPr>
        <w:fldChar w:fldCharType="separate"/>
      </w:r>
      <w:r>
        <w:rPr>
          <w:rFonts w:hint="default"/>
        </w:rPr>
        <w:t xml:space="preserve">2. </w:t>
      </w:r>
      <w:r>
        <w:rPr>
          <w:rFonts w:hint="eastAsia"/>
        </w:rPr>
        <w:t>项目建设的背景和必要性</w:t>
      </w:r>
      <w:r>
        <w:tab/>
      </w:r>
      <w:r>
        <w:fldChar w:fldCharType="begin"/>
      </w:r>
      <w:r>
        <w:instrText xml:space="preserve"> PAGEREF _Toc24138 </w:instrText>
      </w:r>
      <w:r>
        <w:fldChar w:fldCharType="separate"/>
      </w:r>
      <w:r>
        <w:t>1</w:t>
      </w:r>
      <w:r>
        <w:fldChar w:fldCharType="end"/>
      </w:r>
      <w:r>
        <w:rPr>
          <w:rFonts w:hint="eastAsia" w:ascii="宋体" w:hAnsi="宋体" w:eastAsia="宋体" w:cs="宋体"/>
          <w:szCs w:val="21"/>
        </w:rPr>
        <w:fldChar w:fldCharType="end"/>
      </w:r>
    </w:p>
    <w:p>
      <w:pPr>
        <w:pStyle w:val="25"/>
        <w:tabs>
          <w:tab w:val="right" w:leader="dot" w:pos="8306"/>
        </w:tabs>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_Toc31046 </w:instrText>
      </w:r>
      <w:r>
        <w:rPr>
          <w:rFonts w:hint="eastAsia" w:ascii="宋体" w:hAnsi="宋体" w:eastAsia="宋体" w:cs="宋体"/>
          <w:szCs w:val="21"/>
        </w:rPr>
        <w:fldChar w:fldCharType="separate"/>
      </w:r>
      <w:r>
        <w:rPr>
          <w:rFonts w:hint="default"/>
        </w:rPr>
        <w:t xml:space="preserve">2.1. </w:t>
      </w:r>
      <w:r>
        <w:rPr>
          <w:rFonts w:hint="eastAsia"/>
        </w:rPr>
        <w:t>项目的背景和依据</w:t>
      </w:r>
      <w:r>
        <w:tab/>
      </w:r>
      <w:r>
        <w:fldChar w:fldCharType="begin"/>
      </w:r>
      <w:r>
        <w:instrText xml:space="preserve"> PAGEREF _Toc31046 </w:instrText>
      </w:r>
      <w:r>
        <w:fldChar w:fldCharType="separate"/>
      </w:r>
      <w:r>
        <w:t>1</w:t>
      </w:r>
      <w:r>
        <w:fldChar w:fldCharType="end"/>
      </w:r>
      <w:r>
        <w:rPr>
          <w:rFonts w:hint="eastAsia" w:ascii="宋体" w:hAnsi="宋体" w:eastAsia="宋体" w:cs="宋体"/>
          <w:szCs w:val="21"/>
        </w:rPr>
        <w:fldChar w:fldCharType="end"/>
      </w:r>
    </w:p>
    <w:p>
      <w:pPr>
        <w:pStyle w:val="25"/>
        <w:tabs>
          <w:tab w:val="right" w:leader="dot" w:pos="8306"/>
        </w:tabs>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_Toc6999 </w:instrText>
      </w:r>
      <w:r>
        <w:rPr>
          <w:rFonts w:hint="eastAsia" w:ascii="宋体" w:hAnsi="宋体" w:eastAsia="宋体" w:cs="宋体"/>
          <w:szCs w:val="21"/>
        </w:rPr>
        <w:fldChar w:fldCharType="separate"/>
      </w:r>
      <w:r>
        <w:rPr>
          <w:rFonts w:hint="default"/>
        </w:rPr>
        <w:t xml:space="preserve">2.2. </w:t>
      </w:r>
      <w:r>
        <w:t>现状及主要问题</w:t>
      </w:r>
      <w:r>
        <w:tab/>
      </w:r>
      <w:r>
        <w:fldChar w:fldCharType="begin"/>
      </w:r>
      <w:r>
        <w:instrText xml:space="preserve"> PAGEREF _Toc6999 </w:instrText>
      </w:r>
      <w:r>
        <w:fldChar w:fldCharType="separate"/>
      </w:r>
      <w:r>
        <w:t>2</w:t>
      </w:r>
      <w:r>
        <w:fldChar w:fldCharType="end"/>
      </w:r>
      <w:r>
        <w:rPr>
          <w:rFonts w:hint="eastAsia" w:ascii="宋体" w:hAnsi="宋体" w:eastAsia="宋体" w:cs="宋体"/>
          <w:szCs w:val="21"/>
        </w:rPr>
        <w:fldChar w:fldCharType="end"/>
      </w:r>
    </w:p>
    <w:p>
      <w:pPr>
        <w:pStyle w:val="22"/>
        <w:tabs>
          <w:tab w:val="right" w:leader="dot" w:pos="8306"/>
        </w:tabs>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_Toc29701 </w:instrText>
      </w:r>
      <w:r>
        <w:rPr>
          <w:rFonts w:hint="eastAsia" w:ascii="宋体" w:hAnsi="宋体" w:eastAsia="宋体" w:cs="宋体"/>
          <w:szCs w:val="21"/>
        </w:rPr>
        <w:fldChar w:fldCharType="separate"/>
      </w:r>
      <w:r>
        <w:rPr>
          <w:rFonts w:hint="default"/>
        </w:rPr>
        <w:t xml:space="preserve">3. </w:t>
      </w:r>
      <w:r>
        <w:rPr>
          <w:rFonts w:hint="eastAsia"/>
        </w:rPr>
        <w:t>项目建设目标与内容</w:t>
      </w:r>
      <w:r>
        <w:tab/>
      </w:r>
      <w:r>
        <w:fldChar w:fldCharType="begin"/>
      </w:r>
      <w:r>
        <w:instrText xml:space="preserve"> PAGEREF _Toc29701 </w:instrText>
      </w:r>
      <w:r>
        <w:fldChar w:fldCharType="separate"/>
      </w:r>
      <w:r>
        <w:t>9</w:t>
      </w:r>
      <w:r>
        <w:fldChar w:fldCharType="end"/>
      </w:r>
      <w:r>
        <w:rPr>
          <w:rFonts w:hint="eastAsia" w:ascii="宋体" w:hAnsi="宋体" w:eastAsia="宋体" w:cs="宋体"/>
          <w:szCs w:val="21"/>
        </w:rPr>
        <w:fldChar w:fldCharType="end"/>
      </w:r>
    </w:p>
    <w:p>
      <w:pPr>
        <w:pStyle w:val="25"/>
        <w:tabs>
          <w:tab w:val="right" w:leader="dot" w:pos="8306"/>
        </w:tabs>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_Toc9610 </w:instrText>
      </w:r>
      <w:r>
        <w:rPr>
          <w:rFonts w:hint="eastAsia" w:ascii="宋体" w:hAnsi="宋体" w:eastAsia="宋体" w:cs="宋体"/>
          <w:szCs w:val="21"/>
        </w:rPr>
        <w:fldChar w:fldCharType="separate"/>
      </w:r>
      <w:r>
        <w:rPr>
          <w:rFonts w:hint="default"/>
        </w:rPr>
        <w:t xml:space="preserve">3.1. </w:t>
      </w:r>
      <w:r>
        <w:rPr>
          <w:rFonts w:hint="eastAsia"/>
        </w:rPr>
        <w:t>建设目标</w:t>
      </w:r>
      <w:r>
        <w:tab/>
      </w:r>
      <w:r>
        <w:fldChar w:fldCharType="begin"/>
      </w:r>
      <w:r>
        <w:instrText xml:space="preserve"> PAGEREF _Toc9610 </w:instrText>
      </w:r>
      <w:r>
        <w:fldChar w:fldCharType="separate"/>
      </w:r>
      <w:r>
        <w:t>9</w:t>
      </w:r>
      <w:r>
        <w:fldChar w:fldCharType="end"/>
      </w:r>
      <w:r>
        <w:rPr>
          <w:rFonts w:hint="eastAsia" w:ascii="宋体" w:hAnsi="宋体" w:eastAsia="宋体" w:cs="宋体"/>
          <w:szCs w:val="21"/>
        </w:rPr>
        <w:fldChar w:fldCharType="end"/>
      </w:r>
    </w:p>
    <w:p>
      <w:pPr>
        <w:pStyle w:val="25"/>
        <w:tabs>
          <w:tab w:val="right" w:leader="dot" w:pos="8306"/>
        </w:tabs>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_Toc13757 </w:instrText>
      </w:r>
      <w:r>
        <w:rPr>
          <w:rFonts w:hint="eastAsia" w:ascii="宋体" w:hAnsi="宋体" w:eastAsia="宋体" w:cs="宋体"/>
          <w:szCs w:val="21"/>
        </w:rPr>
        <w:fldChar w:fldCharType="separate"/>
      </w:r>
      <w:r>
        <w:rPr>
          <w:rFonts w:hint="default"/>
        </w:rPr>
        <w:t xml:space="preserve">3.2. </w:t>
      </w:r>
      <w:r>
        <w:rPr>
          <w:rFonts w:hint="eastAsia"/>
        </w:rPr>
        <w:t>建设原则和策略</w:t>
      </w:r>
      <w:r>
        <w:tab/>
      </w:r>
      <w:r>
        <w:fldChar w:fldCharType="begin"/>
      </w:r>
      <w:r>
        <w:instrText xml:space="preserve"> PAGEREF _Toc13757 </w:instrText>
      </w:r>
      <w:r>
        <w:fldChar w:fldCharType="separate"/>
      </w:r>
      <w:r>
        <w:t>9</w:t>
      </w:r>
      <w:r>
        <w:fldChar w:fldCharType="end"/>
      </w:r>
      <w:r>
        <w:rPr>
          <w:rFonts w:hint="eastAsia" w:ascii="宋体" w:hAnsi="宋体" w:eastAsia="宋体" w:cs="宋体"/>
          <w:szCs w:val="21"/>
        </w:rPr>
        <w:fldChar w:fldCharType="end"/>
      </w:r>
    </w:p>
    <w:p>
      <w:pPr>
        <w:pStyle w:val="25"/>
        <w:tabs>
          <w:tab w:val="right" w:leader="dot" w:pos="8306"/>
        </w:tabs>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_Toc20619 </w:instrText>
      </w:r>
      <w:r>
        <w:rPr>
          <w:rFonts w:hint="eastAsia" w:ascii="宋体" w:hAnsi="宋体" w:eastAsia="宋体" w:cs="宋体"/>
          <w:szCs w:val="21"/>
        </w:rPr>
        <w:fldChar w:fldCharType="separate"/>
      </w:r>
      <w:r>
        <w:rPr>
          <w:rFonts w:hint="default"/>
        </w:rPr>
        <w:t xml:space="preserve">3.3. </w:t>
      </w:r>
      <w:r>
        <w:rPr>
          <w:rFonts w:hint="eastAsia"/>
        </w:rPr>
        <w:t>建设内容</w:t>
      </w:r>
      <w:r>
        <w:tab/>
      </w:r>
      <w:r>
        <w:fldChar w:fldCharType="begin"/>
      </w:r>
      <w:r>
        <w:instrText xml:space="preserve"> PAGEREF _Toc20619 </w:instrText>
      </w:r>
      <w:r>
        <w:fldChar w:fldCharType="separate"/>
      </w:r>
      <w:r>
        <w:t>10</w:t>
      </w:r>
      <w:r>
        <w:fldChar w:fldCharType="end"/>
      </w:r>
      <w:r>
        <w:rPr>
          <w:rFonts w:hint="eastAsia" w:ascii="宋体" w:hAnsi="宋体" w:eastAsia="宋体" w:cs="宋体"/>
          <w:szCs w:val="21"/>
        </w:rPr>
        <w:fldChar w:fldCharType="end"/>
      </w:r>
    </w:p>
    <w:p>
      <w:pPr>
        <w:pStyle w:val="22"/>
        <w:tabs>
          <w:tab w:val="right" w:leader="dot" w:pos="8306"/>
        </w:tabs>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_Toc12506 </w:instrText>
      </w:r>
      <w:r>
        <w:rPr>
          <w:rFonts w:hint="eastAsia" w:ascii="宋体" w:hAnsi="宋体" w:eastAsia="宋体" w:cs="宋体"/>
          <w:szCs w:val="21"/>
        </w:rPr>
        <w:fldChar w:fldCharType="separate"/>
      </w:r>
      <w:r>
        <w:rPr>
          <w:rFonts w:hint="default"/>
        </w:rPr>
        <w:t xml:space="preserve">4. </w:t>
      </w:r>
      <w:r>
        <w:rPr>
          <w:rFonts w:hint="eastAsia"/>
        </w:rPr>
        <w:t>技术要求</w:t>
      </w:r>
      <w:r>
        <w:tab/>
      </w:r>
      <w:r>
        <w:fldChar w:fldCharType="begin"/>
      </w:r>
      <w:r>
        <w:instrText xml:space="preserve"> PAGEREF _Toc12506 </w:instrText>
      </w:r>
      <w:r>
        <w:fldChar w:fldCharType="separate"/>
      </w:r>
      <w:r>
        <w:t>17</w:t>
      </w:r>
      <w:r>
        <w:fldChar w:fldCharType="end"/>
      </w:r>
      <w:r>
        <w:rPr>
          <w:rFonts w:hint="eastAsia" w:ascii="宋体" w:hAnsi="宋体" w:eastAsia="宋体" w:cs="宋体"/>
          <w:szCs w:val="21"/>
        </w:rPr>
        <w:fldChar w:fldCharType="end"/>
      </w:r>
    </w:p>
    <w:p>
      <w:pPr>
        <w:pStyle w:val="25"/>
        <w:tabs>
          <w:tab w:val="right" w:leader="dot" w:pos="8306"/>
        </w:tabs>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_Toc1270 </w:instrText>
      </w:r>
      <w:r>
        <w:rPr>
          <w:rFonts w:hint="eastAsia" w:ascii="宋体" w:hAnsi="宋体" w:eastAsia="宋体" w:cs="宋体"/>
          <w:szCs w:val="21"/>
        </w:rPr>
        <w:fldChar w:fldCharType="separate"/>
      </w:r>
      <w:r>
        <w:rPr>
          <w:rFonts w:hint="default"/>
        </w:rPr>
        <w:t xml:space="preserve">4.1. </w:t>
      </w:r>
      <w:r>
        <w:rPr>
          <w:rFonts w:hint="eastAsia"/>
        </w:rPr>
        <w:t>消防联网集中监控平台整体设计</w:t>
      </w:r>
      <w:r>
        <w:tab/>
      </w:r>
      <w:r>
        <w:fldChar w:fldCharType="begin"/>
      </w:r>
      <w:r>
        <w:instrText xml:space="preserve"> PAGEREF _Toc1270 </w:instrText>
      </w:r>
      <w:r>
        <w:fldChar w:fldCharType="separate"/>
      </w:r>
      <w:r>
        <w:t>17</w:t>
      </w:r>
      <w:r>
        <w:fldChar w:fldCharType="end"/>
      </w:r>
      <w:r>
        <w:rPr>
          <w:rFonts w:hint="eastAsia" w:ascii="宋体" w:hAnsi="宋体" w:eastAsia="宋体" w:cs="宋体"/>
          <w:szCs w:val="21"/>
        </w:rPr>
        <w:fldChar w:fldCharType="end"/>
      </w:r>
    </w:p>
    <w:p>
      <w:pPr>
        <w:pStyle w:val="25"/>
        <w:tabs>
          <w:tab w:val="right" w:leader="dot" w:pos="8306"/>
        </w:tabs>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_Toc21498 </w:instrText>
      </w:r>
      <w:r>
        <w:rPr>
          <w:rFonts w:hint="eastAsia" w:ascii="宋体" w:hAnsi="宋体" w:eastAsia="宋体" w:cs="宋体"/>
          <w:szCs w:val="21"/>
        </w:rPr>
        <w:fldChar w:fldCharType="separate"/>
      </w:r>
      <w:r>
        <w:rPr>
          <w:rFonts w:hint="default"/>
        </w:rPr>
        <w:t xml:space="preserve">4.2. </w:t>
      </w:r>
      <w:r>
        <w:rPr>
          <w:rFonts w:hint="eastAsia"/>
        </w:rPr>
        <w:t>消防监控网络设计方案</w:t>
      </w:r>
      <w:r>
        <w:tab/>
      </w:r>
      <w:r>
        <w:fldChar w:fldCharType="begin"/>
      </w:r>
      <w:r>
        <w:instrText xml:space="preserve"> PAGEREF _Toc21498 </w:instrText>
      </w:r>
      <w:r>
        <w:fldChar w:fldCharType="separate"/>
      </w:r>
      <w:r>
        <w:t>23</w:t>
      </w:r>
      <w:r>
        <w:fldChar w:fldCharType="end"/>
      </w:r>
      <w:r>
        <w:rPr>
          <w:rFonts w:hint="eastAsia" w:ascii="宋体" w:hAnsi="宋体" w:eastAsia="宋体" w:cs="宋体"/>
          <w:szCs w:val="21"/>
        </w:rPr>
        <w:fldChar w:fldCharType="end"/>
      </w:r>
    </w:p>
    <w:p>
      <w:pPr>
        <w:pStyle w:val="25"/>
        <w:tabs>
          <w:tab w:val="right" w:leader="dot" w:pos="8306"/>
        </w:tabs>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_Toc17814 </w:instrText>
      </w:r>
      <w:r>
        <w:rPr>
          <w:rFonts w:hint="eastAsia" w:ascii="宋体" w:hAnsi="宋体" w:eastAsia="宋体" w:cs="宋体"/>
          <w:szCs w:val="21"/>
        </w:rPr>
        <w:fldChar w:fldCharType="separate"/>
      </w:r>
      <w:r>
        <w:rPr>
          <w:rFonts w:hint="default"/>
        </w:rPr>
        <w:t xml:space="preserve">4.3. </w:t>
      </w:r>
      <w:r>
        <w:rPr>
          <w:rFonts w:hint="eastAsia"/>
        </w:rPr>
        <w:t>消防集控大厅设计方案</w:t>
      </w:r>
      <w:r>
        <w:tab/>
      </w:r>
      <w:r>
        <w:fldChar w:fldCharType="begin"/>
      </w:r>
      <w:r>
        <w:instrText xml:space="preserve"> PAGEREF _Toc17814 </w:instrText>
      </w:r>
      <w:r>
        <w:fldChar w:fldCharType="separate"/>
      </w:r>
      <w:r>
        <w:t>29</w:t>
      </w:r>
      <w:r>
        <w:fldChar w:fldCharType="end"/>
      </w:r>
      <w:r>
        <w:rPr>
          <w:rFonts w:hint="eastAsia" w:ascii="宋体" w:hAnsi="宋体" w:eastAsia="宋体" w:cs="宋体"/>
          <w:szCs w:val="21"/>
        </w:rPr>
        <w:fldChar w:fldCharType="end"/>
      </w:r>
    </w:p>
    <w:p>
      <w:pPr>
        <w:pStyle w:val="25"/>
        <w:tabs>
          <w:tab w:val="right" w:leader="dot" w:pos="8306"/>
        </w:tabs>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_Toc21182 </w:instrText>
      </w:r>
      <w:r>
        <w:rPr>
          <w:rFonts w:hint="eastAsia" w:ascii="宋体" w:hAnsi="宋体" w:eastAsia="宋体" w:cs="宋体"/>
          <w:szCs w:val="21"/>
        </w:rPr>
        <w:fldChar w:fldCharType="separate"/>
      </w:r>
      <w:r>
        <w:rPr>
          <w:rFonts w:hint="default"/>
        </w:rPr>
        <w:t xml:space="preserve">4.4. </w:t>
      </w:r>
      <w:r>
        <w:rPr>
          <w:rFonts w:hint="eastAsia"/>
        </w:rPr>
        <w:t>预期达到的技术指标</w:t>
      </w:r>
      <w:r>
        <w:tab/>
      </w:r>
      <w:r>
        <w:fldChar w:fldCharType="begin"/>
      </w:r>
      <w:r>
        <w:instrText xml:space="preserve"> PAGEREF _Toc21182 </w:instrText>
      </w:r>
      <w:r>
        <w:fldChar w:fldCharType="separate"/>
      </w:r>
      <w:r>
        <w:t>29</w:t>
      </w:r>
      <w:r>
        <w:fldChar w:fldCharType="end"/>
      </w:r>
      <w:r>
        <w:rPr>
          <w:rFonts w:hint="eastAsia" w:ascii="宋体" w:hAnsi="宋体" w:eastAsia="宋体" w:cs="宋体"/>
          <w:szCs w:val="21"/>
        </w:rPr>
        <w:fldChar w:fldCharType="end"/>
      </w:r>
    </w:p>
    <w:p>
      <w:pPr>
        <w:pStyle w:val="22"/>
        <w:tabs>
          <w:tab w:val="right" w:leader="dot" w:pos="8306"/>
        </w:tabs>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_Toc19330 </w:instrText>
      </w:r>
      <w:r>
        <w:rPr>
          <w:rFonts w:hint="eastAsia" w:ascii="宋体" w:hAnsi="宋体" w:eastAsia="宋体" w:cs="宋体"/>
          <w:szCs w:val="21"/>
        </w:rPr>
        <w:fldChar w:fldCharType="separate"/>
      </w:r>
      <w:r>
        <w:rPr>
          <w:rFonts w:hint="default"/>
        </w:rPr>
        <w:t xml:space="preserve">5. </w:t>
      </w:r>
      <w:r>
        <w:rPr>
          <w:rFonts w:hint="eastAsia"/>
        </w:rPr>
        <w:t>软硬件技术规格</w:t>
      </w:r>
      <w:r>
        <w:tab/>
      </w:r>
      <w:r>
        <w:fldChar w:fldCharType="begin"/>
      </w:r>
      <w:r>
        <w:instrText xml:space="preserve"> PAGEREF _Toc19330 </w:instrText>
      </w:r>
      <w:r>
        <w:fldChar w:fldCharType="separate"/>
      </w:r>
      <w:r>
        <w:t>31</w:t>
      </w:r>
      <w:r>
        <w:fldChar w:fldCharType="end"/>
      </w:r>
      <w:r>
        <w:rPr>
          <w:rFonts w:hint="eastAsia" w:ascii="宋体" w:hAnsi="宋体" w:eastAsia="宋体" w:cs="宋体"/>
          <w:szCs w:val="21"/>
        </w:rPr>
        <w:fldChar w:fldCharType="end"/>
      </w:r>
    </w:p>
    <w:p>
      <w:pPr>
        <w:pStyle w:val="25"/>
        <w:tabs>
          <w:tab w:val="right" w:leader="dot" w:pos="8306"/>
        </w:tabs>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_Toc28145 </w:instrText>
      </w:r>
      <w:r>
        <w:rPr>
          <w:rFonts w:hint="eastAsia" w:ascii="宋体" w:hAnsi="宋体" w:eastAsia="宋体" w:cs="宋体"/>
          <w:szCs w:val="21"/>
        </w:rPr>
        <w:fldChar w:fldCharType="separate"/>
      </w:r>
      <w:r>
        <w:rPr>
          <w:rFonts w:hint="default"/>
        </w:rPr>
        <w:t xml:space="preserve">5.1. </w:t>
      </w:r>
      <w:r>
        <w:rPr>
          <w:rFonts w:hint="eastAsia"/>
        </w:rPr>
        <w:t>消防远程监控管理系统</w:t>
      </w:r>
      <w:r>
        <w:tab/>
      </w:r>
      <w:r>
        <w:fldChar w:fldCharType="begin"/>
      </w:r>
      <w:r>
        <w:instrText xml:space="preserve"> PAGEREF _Toc28145 </w:instrText>
      </w:r>
      <w:r>
        <w:fldChar w:fldCharType="separate"/>
      </w:r>
      <w:r>
        <w:t>31</w:t>
      </w:r>
      <w:r>
        <w:fldChar w:fldCharType="end"/>
      </w:r>
      <w:r>
        <w:rPr>
          <w:rFonts w:hint="eastAsia" w:ascii="宋体" w:hAnsi="宋体" w:eastAsia="宋体" w:cs="宋体"/>
          <w:szCs w:val="21"/>
        </w:rPr>
        <w:fldChar w:fldCharType="end"/>
      </w:r>
    </w:p>
    <w:p>
      <w:pPr>
        <w:pStyle w:val="25"/>
        <w:tabs>
          <w:tab w:val="right" w:leader="dot" w:pos="8306"/>
        </w:tabs>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_Toc22565 </w:instrText>
      </w:r>
      <w:r>
        <w:rPr>
          <w:rFonts w:hint="eastAsia" w:ascii="宋体" w:hAnsi="宋体" w:eastAsia="宋体" w:cs="宋体"/>
          <w:szCs w:val="21"/>
        </w:rPr>
        <w:fldChar w:fldCharType="separate"/>
      </w:r>
      <w:r>
        <w:rPr>
          <w:rFonts w:hint="default"/>
        </w:rPr>
        <w:t xml:space="preserve">5.2. </w:t>
      </w:r>
      <w:r>
        <w:rPr>
          <w:rFonts w:hint="eastAsia"/>
        </w:rPr>
        <w:t>监控中心专用硬件设备</w:t>
      </w:r>
      <w:r>
        <w:tab/>
      </w:r>
      <w:r>
        <w:fldChar w:fldCharType="begin"/>
      </w:r>
      <w:r>
        <w:instrText xml:space="preserve"> PAGEREF _Toc22565 </w:instrText>
      </w:r>
      <w:r>
        <w:fldChar w:fldCharType="separate"/>
      </w:r>
      <w:r>
        <w:t>31</w:t>
      </w:r>
      <w:r>
        <w:fldChar w:fldCharType="end"/>
      </w:r>
      <w:r>
        <w:rPr>
          <w:rFonts w:hint="eastAsia" w:ascii="宋体" w:hAnsi="宋体" w:eastAsia="宋体" w:cs="宋体"/>
          <w:szCs w:val="21"/>
        </w:rPr>
        <w:fldChar w:fldCharType="end"/>
      </w:r>
    </w:p>
    <w:p>
      <w:pPr>
        <w:pStyle w:val="25"/>
        <w:tabs>
          <w:tab w:val="right" w:leader="dot" w:pos="8306"/>
        </w:tabs>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_Toc32244 </w:instrText>
      </w:r>
      <w:r>
        <w:rPr>
          <w:rFonts w:hint="eastAsia" w:ascii="宋体" w:hAnsi="宋体" w:eastAsia="宋体" w:cs="宋体"/>
          <w:szCs w:val="21"/>
        </w:rPr>
        <w:fldChar w:fldCharType="separate"/>
      </w:r>
      <w:r>
        <w:rPr>
          <w:rFonts w:hint="default"/>
        </w:rPr>
        <w:t xml:space="preserve">5.3. </w:t>
      </w:r>
      <w:r>
        <w:rPr>
          <w:rFonts w:hint="eastAsia"/>
        </w:rPr>
        <w:t>前端采集传输设备</w:t>
      </w:r>
      <w:r>
        <w:tab/>
      </w:r>
      <w:r>
        <w:fldChar w:fldCharType="begin"/>
      </w:r>
      <w:r>
        <w:instrText xml:space="preserve"> PAGEREF _Toc32244 </w:instrText>
      </w:r>
      <w:r>
        <w:fldChar w:fldCharType="separate"/>
      </w:r>
      <w:r>
        <w:t>32</w:t>
      </w:r>
      <w:r>
        <w:fldChar w:fldCharType="end"/>
      </w:r>
      <w:r>
        <w:rPr>
          <w:rFonts w:hint="eastAsia" w:ascii="宋体" w:hAnsi="宋体" w:eastAsia="宋体" w:cs="宋体"/>
          <w:szCs w:val="21"/>
        </w:rPr>
        <w:fldChar w:fldCharType="end"/>
      </w:r>
    </w:p>
    <w:p>
      <w:pPr>
        <w:pStyle w:val="25"/>
        <w:tabs>
          <w:tab w:val="right" w:leader="dot" w:pos="8306"/>
        </w:tabs>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_Toc5236 </w:instrText>
      </w:r>
      <w:r>
        <w:rPr>
          <w:rFonts w:hint="eastAsia" w:ascii="宋体" w:hAnsi="宋体" w:eastAsia="宋体" w:cs="宋体"/>
          <w:szCs w:val="21"/>
        </w:rPr>
        <w:fldChar w:fldCharType="separate"/>
      </w:r>
      <w:r>
        <w:rPr>
          <w:rFonts w:hint="default"/>
        </w:rPr>
        <w:t xml:space="preserve">5.4. </w:t>
      </w:r>
      <w:r>
        <w:rPr>
          <w:rFonts w:hint="eastAsia"/>
        </w:rPr>
        <w:t>综合布线</w:t>
      </w:r>
      <w:r>
        <w:tab/>
      </w:r>
      <w:r>
        <w:fldChar w:fldCharType="begin"/>
      </w:r>
      <w:r>
        <w:instrText xml:space="preserve"> PAGEREF _Toc5236 </w:instrText>
      </w:r>
      <w:r>
        <w:fldChar w:fldCharType="separate"/>
      </w:r>
      <w:r>
        <w:t>32</w:t>
      </w:r>
      <w:r>
        <w:fldChar w:fldCharType="end"/>
      </w:r>
      <w:r>
        <w:rPr>
          <w:rFonts w:hint="eastAsia" w:ascii="宋体" w:hAnsi="宋体" w:eastAsia="宋体" w:cs="宋体"/>
          <w:szCs w:val="21"/>
        </w:rPr>
        <w:fldChar w:fldCharType="end"/>
      </w:r>
    </w:p>
    <w:p>
      <w:pPr>
        <w:pStyle w:val="25"/>
        <w:tabs>
          <w:tab w:val="right" w:leader="dot" w:pos="8306"/>
        </w:tabs>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_Toc22939 </w:instrText>
      </w:r>
      <w:r>
        <w:rPr>
          <w:rFonts w:hint="eastAsia" w:ascii="宋体" w:hAnsi="宋体" w:eastAsia="宋体" w:cs="宋体"/>
          <w:szCs w:val="21"/>
        </w:rPr>
        <w:fldChar w:fldCharType="separate"/>
      </w:r>
      <w:r>
        <w:rPr>
          <w:rFonts w:hint="default"/>
        </w:rPr>
        <w:t xml:space="preserve">5.5. </w:t>
      </w:r>
      <w:r>
        <w:rPr>
          <w:rFonts w:hint="eastAsia"/>
          <w:lang w:val="en-US" w:eastAsia="zh-CN"/>
        </w:rPr>
        <w:t>控制室设备</w:t>
      </w:r>
      <w:r>
        <w:tab/>
      </w:r>
      <w:r>
        <w:fldChar w:fldCharType="begin"/>
      </w:r>
      <w:r>
        <w:instrText xml:space="preserve"> PAGEREF _Toc22939 </w:instrText>
      </w:r>
      <w:r>
        <w:fldChar w:fldCharType="separate"/>
      </w:r>
      <w:r>
        <w:t>34</w:t>
      </w:r>
      <w:r>
        <w:fldChar w:fldCharType="end"/>
      </w:r>
      <w:r>
        <w:rPr>
          <w:rFonts w:hint="eastAsia" w:ascii="宋体" w:hAnsi="宋体" w:eastAsia="宋体" w:cs="宋体"/>
          <w:szCs w:val="21"/>
        </w:rPr>
        <w:fldChar w:fldCharType="end"/>
      </w:r>
    </w:p>
    <w:p>
      <w:pPr>
        <w:pStyle w:val="22"/>
        <w:tabs>
          <w:tab w:val="right" w:leader="dot" w:pos="8306"/>
        </w:tabs>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_Toc20190 </w:instrText>
      </w:r>
      <w:r>
        <w:rPr>
          <w:rFonts w:hint="eastAsia" w:ascii="宋体" w:hAnsi="宋体" w:eastAsia="宋体" w:cs="宋体"/>
          <w:szCs w:val="21"/>
        </w:rPr>
        <w:fldChar w:fldCharType="separate"/>
      </w:r>
      <w:r>
        <w:rPr>
          <w:rFonts w:hint="default"/>
        </w:rPr>
        <w:t xml:space="preserve">6. </w:t>
      </w:r>
      <w:r>
        <w:rPr>
          <w:rFonts w:hint="eastAsia"/>
        </w:rPr>
        <w:t>项目实施</w:t>
      </w:r>
      <w:r>
        <w:tab/>
      </w:r>
      <w:r>
        <w:fldChar w:fldCharType="begin"/>
      </w:r>
      <w:r>
        <w:instrText xml:space="preserve"> PAGEREF _Toc20190 </w:instrText>
      </w:r>
      <w:r>
        <w:fldChar w:fldCharType="separate"/>
      </w:r>
      <w:r>
        <w:t>34</w:t>
      </w:r>
      <w:r>
        <w:fldChar w:fldCharType="end"/>
      </w:r>
      <w:r>
        <w:rPr>
          <w:rFonts w:hint="eastAsia" w:ascii="宋体" w:hAnsi="宋体" w:eastAsia="宋体" w:cs="宋体"/>
          <w:szCs w:val="21"/>
        </w:rPr>
        <w:fldChar w:fldCharType="end"/>
      </w:r>
    </w:p>
    <w:p>
      <w:pPr>
        <w:pStyle w:val="25"/>
        <w:tabs>
          <w:tab w:val="right" w:leader="dot" w:pos="8306"/>
        </w:tabs>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_Toc17628 </w:instrText>
      </w:r>
      <w:r>
        <w:rPr>
          <w:rFonts w:hint="eastAsia" w:ascii="宋体" w:hAnsi="宋体" w:eastAsia="宋体" w:cs="宋体"/>
          <w:szCs w:val="21"/>
        </w:rPr>
        <w:fldChar w:fldCharType="separate"/>
      </w:r>
      <w:r>
        <w:rPr>
          <w:rFonts w:hint="default"/>
        </w:rPr>
        <w:t xml:space="preserve">6.1. </w:t>
      </w:r>
      <w:r>
        <w:rPr>
          <w:rFonts w:hint="eastAsia"/>
        </w:rPr>
        <w:t>工期要求</w:t>
      </w:r>
      <w:r>
        <w:tab/>
      </w:r>
      <w:r>
        <w:fldChar w:fldCharType="begin"/>
      </w:r>
      <w:r>
        <w:instrText xml:space="preserve"> PAGEREF _Toc17628 </w:instrText>
      </w:r>
      <w:r>
        <w:fldChar w:fldCharType="separate"/>
      </w:r>
      <w:r>
        <w:t>34</w:t>
      </w:r>
      <w:r>
        <w:fldChar w:fldCharType="end"/>
      </w:r>
      <w:r>
        <w:rPr>
          <w:rFonts w:hint="eastAsia" w:ascii="宋体" w:hAnsi="宋体" w:eastAsia="宋体" w:cs="宋体"/>
          <w:szCs w:val="21"/>
        </w:rPr>
        <w:fldChar w:fldCharType="end"/>
      </w:r>
    </w:p>
    <w:p>
      <w:pPr>
        <w:pStyle w:val="25"/>
        <w:tabs>
          <w:tab w:val="right" w:leader="dot" w:pos="8306"/>
        </w:tabs>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_Toc13758 </w:instrText>
      </w:r>
      <w:r>
        <w:rPr>
          <w:rFonts w:hint="eastAsia" w:ascii="宋体" w:hAnsi="宋体" w:eastAsia="宋体" w:cs="宋体"/>
          <w:szCs w:val="21"/>
        </w:rPr>
        <w:fldChar w:fldCharType="separate"/>
      </w:r>
      <w:r>
        <w:rPr>
          <w:rFonts w:hint="default"/>
        </w:rPr>
        <w:t xml:space="preserve">6.2. </w:t>
      </w:r>
      <w:r>
        <w:rPr>
          <w:rFonts w:hint="eastAsia"/>
        </w:rPr>
        <w:t>实施要求</w:t>
      </w:r>
      <w:r>
        <w:tab/>
      </w:r>
      <w:r>
        <w:fldChar w:fldCharType="begin"/>
      </w:r>
      <w:r>
        <w:instrText xml:space="preserve"> PAGEREF _Toc13758 </w:instrText>
      </w:r>
      <w:r>
        <w:fldChar w:fldCharType="separate"/>
      </w:r>
      <w:r>
        <w:t>34</w:t>
      </w:r>
      <w:r>
        <w:fldChar w:fldCharType="end"/>
      </w:r>
      <w:r>
        <w:rPr>
          <w:rFonts w:hint="eastAsia" w:ascii="宋体" w:hAnsi="宋体" w:eastAsia="宋体" w:cs="宋体"/>
          <w:szCs w:val="21"/>
        </w:rPr>
        <w:fldChar w:fldCharType="end"/>
      </w:r>
    </w:p>
    <w:p>
      <w:pPr>
        <w:pStyle w:val="25"/>
        <w:tabs>
          <w:tab w:val="right" w:leader="dot" w:pos="8306"/>
        </w:tabs>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_Toc11769 </w:instrText>
      </w:r>
      <w:r>
        <w:rPr>
          <w:rFonts w:hint="eastAsia" w:ascii="宋体" w:hAnsi="宋体" w:eastAsia="宋体" w:cs="宋体"/>
          <w:szCs w:val="21"/>
        </w:rPr>
        <w:fldChar w:fldCharType="separate"/>
      </w:r>
      <w:r>
        <w:rPr>
          <w:rFonts w:hint="default"/>
        </w:rPr>
        <w:t xml:space="preserve">6.3. </w:t>
      </w:r>
      <w:r>
        <w:rPr>
          <w:rFonts w:hint="eastAsia"/>
        </w:rPr>
        <w:t>线缆敷设要求</w:t>
      </w:r>
      <w:r>
        <w:tab/>
      </w:r>
      <w:r>
        <w:fldChar w:fldCharType="begin"/>
      </w:r>
      <w:r>
        <w:instrText xml:space="preserve"> PAGEREF _Toc11769 </w:instrText>
      </w:r>
      <w:r>
        <w:fldChar w:fldCharType="separate"/>
      </w:r>
      <w:r>
        <w:t>34</w:t>
      </w:r>
      <w:r>
        <w:fldChar w:fldCharType="end"/>
      </w:r>
      <w:r>
        <w:rPr>
          <w:rFonts w:hint="eastAsia" w:ascii="宋体" w:hAnsi="宋体" w:eastAsia="宋体" w:cs="宋体"/>
          <w:szCs w:val="21"/>
        </w:rPr>
        <w:fldChar w:fldCharType="end"/>
      </w:r>
    </w:p>
    <w:p>
      <w:pPr>
        <w:pStyle w:val="25"/>
        <w:tabs>
          <w:tab w:val="right" w:leader="dot" w:pos="8306"/>
        </w:tabs>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_Toc23122 </w:instrText>
      </w:r>
      <w:r>
        <w:rPr>
          <w:rFonts w:hint="eastAsia" w:ascii="宋体" w:hAnsi="宋体" w:eastAsia="宋体" w:cs="宋体"/>
          <w:szCs w:val="21"/>
        </w:rPr>
        <w:fldChar w:fldCharType="separate"/>
      </w:r>
      <w:r>
        <w:rPr>
          <w:rFonts w:hint="default"/>
        </w:rPr>
        <w:t xml:space="preserve">6.4. </w:t>
      </w:r>
      <w:r>
        <w:rPr>
          <w:rFonts w:hint="eastAsia"/>
        </w:rPr>
        <w:t>项目验收</w:t>
      </w:r>
      <w:r>
        <w:tab/>
      </w:r>
      <w:r>
        <w:fldChar w:fldCharType="begin"/>
      </w:r>
      <w:r>
        <w:instrText xml:space="preserve"> PAGEREF _Toc23122 </w:instrText>
      </w:r>
      <w:r>
        <w:fldChar w:fldCharType="separate"/>
      </w:r>
      <w:r>
        <w:t>35</w:t>
      </w:r>
      <w:r>
        <w:fldChar w:fldCharType="end"/>
      </w:r>
      <w:r>
        <w:rPr>
          <w:rFonts w:hint="eastAsia" w:ascii="宋体" w:hAnsi="宋体" w:eastAsia="宋体" w:cs="宋体"/>
          <w:szCs w:val="21"/>
        </w:rPr>
        <w:fldChar w:fldCharType="end"/>
      </w:r>
    </w:p>
    <w:p>
      <w:pPr>
        <w:pStyle w:val="22"/>
        <w:tabs>
          <w:tab w:val="right" w:leader="dot" w:pos="8306"/>
        </w:tabs>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_Toc29975 </w:instrText>
      </w:r>
      <w:r>
        <w:rPr>
          <w:rFonts w:hint="eastAsia" w:ascii="宋体" w:hAnsi="宋体" w:eastAsia="宋体" w:cs="宋体"/>
          <w:szCs w:val="21"/>
        </w:rPr>
        <w:fldChar w:fldCharType="separate"/>
      </w:r>
      <w:r>
        <w:rPr>
          <w:rFonts w:hint="default"/>
        </w:rPr>
        <w:t xml:space="preserve">7. </w:t>
      </w:r>
      <w:r>
        <w:rPr>
          <w:rFonts w:hint="eastAsia"/>
        </w:rPr>
        <w:t>质量保证与培训</w:t>
      </w:r>
      <w:r>
        <w:tab/>
      </w:r>
      <w:r>
        <w:fldChar w:fldCharType="begin"/>
      </w:r>
      <w:r>
        <w:instrText xml:space="preserve"> PAGEREF _Toc29975 </w:instrText>
      </w:r>
      <w:r>
        <w:fldChar w:fldCharType="separate"/>
      </w:r>
      <w:r>
        <w:t>36</w:t>
      </w:r>
      <w:r>
        <w:fldChar w:fldCharType="end"/>
      </w:r>
      <w:r>
        <w:rPr>
          <w:rFonts w:hint="eastAsia" w:ascii="宋体" w:hAnsi="宋体" w:eastAsia="宋体" w:cs="宋体"/>
          <w:szCs w:val="21"/>
        </w:rPr>
        <w:fldChar w:fldCharType="end"/>
      </w:r>
    </w:p>
    <w:p>
      <w:pPr>
        <w:pStyle w:val="25"/>
        <w:tabs>
          <w:tab w:val="right" w:leader="dot" w:pos="8306"/>
        </w:tabs>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_Toc26763 </w:instrText>
      </w:r>
      <w:r>
        <w:rPr>
          <w:rFonts w:hint="eastAsia" w:ascii="宋体" w:hAnsi="宋体" w:eastAsia="宋体" w:cs="宋体"/>
          <w:szCs w:val="21"/>
        </w:rPr>
        <w:fldChar w:fldCharType="separate"/>
      </w:r>
      <w:r>
        <w:rPr>
          <w:rFonts w:hint="default"/>
        </w:rPr>
        <w:t xml:space="preserve">7.1. </w:t>
      </w:r>
      <w:r>
        <w:rPr>
          <w:rFonts w:hint="eastAsia"/>
        </w:rPr>
        <w:t>售后服务</w:t>
      </w:r>
      <w:r>
        <w:tab/>
      </w:r>
      <w:r>
        <w:fldChar w:fldCharType="begin"/>
      </w:r>
      <w:r>
        <w:instrText xml:space="preserve"> PAGEREF _Toc26763 </w:instrText>
      </w:r>
      <w:r>
        <w:fldChar w:fldCharType="separate"/>
      </w:r>
      <w:r>
        <w:t>36</w:t>
      </w:r>
      <w:r>
        <w:fldChar w:fldCharType="end"/>
      </w:r>
      <w:r>
        <w:rPr>
          <w:rFonts w:hint="eastAsia" w:ascii="宋体" w:hAnsi="宋体" w:eastAsia="宋体" w:cs="宋体"/>
          <w:szCs w:val="21"/>
        </w:rPr>
        <w:fldChar w:fldCharType="end"/>
      </w:r>
    </w:p>
    <w:p>
      <w:pPr>
        <w:pStyle w:val="25"/>
        <w:tabs>
          <w:tab w:val="right" w:leader="dot" w:pos="8306"/>
        </w:tabs>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_Toc6487 </w:instrText>
      </w:r>
      <w:r>
        <w:rPr>
          <w:rFonts w:hint="eastAsia" w:ascii="宋体" w:hAnsi="宋体" w:eastAsia="宋体" w:cs="宋体"/>
          <w:szCs w:val="21"/>
        </w:rPr>
        <w:fldChar w:fldCharType="separate"/>
      </w:r>
      <w:r>
        <w:rPr>
          <w:rFonts w:hint="default"/>
        </w:rPr>
        <w:t xml:space="preserve">7.2. </w:t>
      </w:r>
      <w:r>
        <w:rPr>
          <w:rFonts w:hint="eastAsia"/>
        </w:rPr>
        <w:t>技术培训</w:t>
      </w:r>
      <w:r>
        <w:tab/>
      </w:r>
      <w:r>
        <w:fldChar w:fldCharType="begin"/>
      </w:r>
      <w:r>
        <w:instrText xml:space="preserve"> PAGEREF _Toc6487 </w:instrText>
      </w:r>
      <w:r>
        <w:fldChar w:fldCharType="separate"/>
      </w:r>
      <w:r>
        <w:t>37</w:t>
      </w:r>
      <w:r>
        <w:fldChar w:fldCharType="end"/>
      </w:r>
      <w:r>
        <w:rPr>
          <w:rFonts w:hint="eastAsia" w:ascii="宋体" w:hAnsi="宋体" w:eastAsia="宋体" w:cs="宋体"/>
          <w:szCs w:val="21"/>
        </w:rPr>
        <w:fldChar w:fldCharType="end"/>
      </w:r>
    </w:p>
    <w:p>
      <w:pPr>
        <w:pStyle w:val="25"/>
        <w:tabs>
          <w:tab w:val="right" w:leader="dot" w:pos="8306"/>
        </w:tabs>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_Toc8749 </w:instrText>
      </w:r>
      <w:r>
        <w:rPr>
          <w:rFonts w:hint="eastAsia" w:ascii="宋体" w:hAnsi="宋体" w:eastAsia="宋体" w:cs="宋体"/>
          <w:szCs w:val="21"/>
        </w:rPr>
        <w:fldChar w:fldCharType="separate"/>
      </w:r>
      <w:r>
        <w:rPr>
          <w:rFonts w:hint="default"/>
        </w:rPr>
        <w:t xml:space="preserve">7.3. </w:t>
      </w:r>
      <w:r>
        <w:rPr>
          <w:rFonts w:hint="eastAsia"/>
        </w:rPr>
        <w:t>技术资料</w:t>
      </w:r>
      <w:r>
        <w:tab/>
      </w:r>
      <w:r>
        <w:fldChar w:fldCharType="begin"/>
      </w:r>
      <w:r>
        <w:instrText xml:space="preserve"> PAGEREF _Toc8749 </w:instrText>
      </w:r>
      <w:r>
        <w:fldChar w:fldCharType="separate"/>
      </w:r>
      <w:r>
        <w:t>38</w:t>
      </w:r>
      <w:r>
        <w:fldChar w:fldCharType="end"/>
      </w:r>
      <w:r>
        <w:rPr>
          <w:rFonts w:hint="eastAsia" w:ascii="宋体" w:hAnsi="宋体" w:eastAsia="宋体" w:cs="宋体"/>
          <w:szCs w:val="21"/>
        </w:rPr>
        <w:fldChar w:fldCharType="end"/>
      </w:r>
    </w:p>
    <w:p>
      <w:pPr>
        <w:pStyle w:val="22"/>
        <w:tabs>
          <w:tab w:val="right" w:leader="dot" w:pos="8306"/>
        </w:tabs>
        <w:spacing w:line="360" w:lineRule="auto"/>
        <w:ind w:firstLine="420"/>
        <w:rPr>
          <w:rFonts w:ascii="宋体" w:hAnsi="宋体" w:eastAsia="宋体" w:cs="宋体"/>
          <w:sz w:val="21"/>
          <w:szCs w:val="21"/>
        </w:rPr>
      </w:pPr>
      <w:r>
        <w:rPr>
          <w:rFonts w:hint="eastAsia" w:ascii="宋体" w:hAnsi="宋体" w:eastAsia="宋体" w:cs="宋体"/>
          <w:szCs w:val="21"/>
        </w:rPr>
        <w:fldChar w:fldCharType="end"/>
      </w:r>
    </w:p>
    <w:p>
      <w:pPr>
        <w:ind w:firstLine="420"/>
        <w:rPr>
          <w:rFonts w:ascii="宋体" w:hAnsi="宋体" w:eastAsia="宋体" w:cs="宋体"/>
          <w:sz w:val="21"/>
          <w:szCs w:val="21"/>
        </w:rPr>
      </w:pPr>
    </w:p>
    <w:p>
      <w:pPr>
        <w:ind w:firstLine="0" w:firstLineChars="0"/>
        <w:rPr>
          <w:rFonts w:ascii="仿宋" w:hAnsi="仿宋" w:eastAsia="宋体" w:cs="仿宋"/>
          <w:szCs w:val="28"/>
        </w:rPr>
        <w:sectPr>
          <w:headerReference r:id="rId3" w:type="default"/>
          <w:footerReference r:id="rId4" w:type="default"/>
          <w:pgSz w:w="11906" w:h="16838"/>
          <w:pgMar w:top="1440" w:right="1800" w:bottom="1440" w:left="1800" w:header="851" w:footer="992" w:gutter="0"/>
          <w:pgNumType w:fmt="upperRoman" w:start="1"/>
          <w:cols w:space="0" w:num="1"/>
          <w:docGrid w:type="lines" w:linePitch="312" w:charSpace="0"/>
        </w:sectPr>
      </w:pPr>
    </w:p>
    <w:p>
      <w:pPr>
        <w:pStyle w:val="2"/>
      </w:pPr>
      <w:bookmarkStart w:id="0" w:name="_Toc473"/>
      <w:bookmarkStart w:id="1" w:name="_Toc30347"/>
      <w:bookmarkStart w:id="2" w:name="_Toc15318"/>
      <w:bookmarkStart w:id="3" w:name="_Toc489085351"/>
      <w:bookmarkStart w:id="4" w:name="_Toc10984"/>
      <w:bookmarkStart w:id="5" w:name="_Toc27453"/>
      <w:bookmarkStart w:id="6" w:name="_Toc2345"/>
      <w:bookmarkStart w:id="7" w:name="_Toc10642"/>
      <w:bookmarkStart w:id="8" w:name="_Toc11611"/>
      <w:bookmarkStart w:id="9" w:name="_Toc13962"/>
      <w:r>
        <w:rPr>
          <w:rFonts w:hint="eastAsia"/>
        </w:rPr>
        <w:t>总则</w:t>
      </w:r>
      <w:bookmarkEnd w:id="0"/>
      <w:bookmarkEnd w:id="1"/>
      <w:bookmarkEnd w:id="2"/>
      <w:bookmarkEnd w:id="3"/>
    </w:p>
    <w:p>
      <w:pPr>
        <w:pStyle w:val="3"/>
      </w:pPr>
      <w:bookmarkStart w:id="10" w:name="_Toc489085352"/>
      <w:bookmarkStart w:id="11" w:name="_Toc3832"/>
      <w:bookmarkStart w:id="12" w:name="_Toc2578"/>
      <w:bookmarkStart w:id="13" w:name="_Toc6473"/>
      <w:r>
        <w:rPr>
          <w:rFonts w:hint="eastAsia"/>
        </w:rPr>
        <w:t>适用范围</w:t>
      </w:r>
      <w:bookmarkEnd w:id="10"/>
      <w:bookmarkEnd w:id="11"/>
      <w:bookmarkEnd w:id="12"/>
      <w:bookmarkEnd w:id="13"/>
    </w:p>
    <w:p>
      <w:pPr>
        <w:pStyle w:val="59"/>
        <w:ind w:firstLine="480"/>
        <w:rPr>
          <w:rFonts w:eastAsia="宋体" w:cs="宋体"/>
        </w:rPr>
      </w:pPr>
      <w:r>
        <w:rPr>
          <w:rFonts w:hint="eastAsia" w:eastAsia="宋体" w:cs="宋体"/>
        </w:rPr>
        <w:t>本技术规格书适用于神华黄骅港务有限责任公司</w:t>
      </w:r>
      <w:r>
        <w:rPr>
          <w:rFonts w:hint="eastAsia" w:eastAsia="宋体" w:cs="宋体"/>
          <w:lang w:val="en-US"/>
        </w:rPr>
        <w:t>消防联网</w:t>
      </w:r>
      <w:r>
        <w:rPr>
          <w:rFonts w:hint="eastAsia" w:eastAsia="宋体" w:cs="宋体"/>
          <w:lang w:val="en-US" w:eastAsia="zh-CN"/>
        </w:rPr>
        <w:t>工程</w:t>
      </w:r>
      <w:r>
        <w:rPr>
          <w:rFonts w:hint="eastAsia" w:eastAsia="宋体" w:cs="宋体"/>
        </w:rPr>
        <w:t>项目，是该项目招标文件的组成部分，其内容是神华黄骅港务公司</w:t>
      </w:r>
      <w:r>
        <w:rPr>
          <w:rFonts w:hint="eastAsia" w:eastAsia="宋体" w:cs="宋体"/>
          <w:lang w:val="en-US"/>
        </w:rPr>
        <w:t>消防联网</w:t>
      </w:r>
      <w:r>
        <w:rPr>
          <w:rFonts w:hint="eastAsia" w:eastAsia="宋体" w:cs="宋体"/>
          <w:lang w:val="en-US" w:eastAsia="zh-CN"/>
        </w:rPr>
        <w:t>工程</w:t>
      </w:r>
      <w:r>
        <w:rPr>
          <w:rFonts w:hint="eastAsia" w:eastAsia="宋体" w:cs="宋体"/>
        </w:rPr>
        <w:t>项目建设的具体技术要求和主要技术参数的有关条款。投标方应仔细阅读，如发现有疑问、不详和矛盾之处，请立即与神华黄骅港务有限公司（以下简称“招标方”）联系。</w:t>
      </w:r>
    </w:p>
    <w:p>
      <w:pPr>
        <w:pStyle w:val="3"/>
      </w:pPr>
      <w:bookmarkStart w:id="14" w:name="_Toc1155"/>
      <w:bookmarkStart w:id="15" w:name="_Toc489085353"/>
      <w:bookmarkStart w:id="16" w:name="_Toc4624"/>
      <w:bookmarkStart w:id="17" w:name="_Toc10072"/>
      <w:r>
        <w:rPr>
          <w:rFonts w:hint="eastAsia"/>
        </w:rPr>
        <w:t>技术</w:t>
      </w:r>
      <w:r>
        <w:t>要求</w:t>
      </w:r>
      <w:r>
        <w:rPr>
          <w:rFonts w:hint="eastAsia"/>
        </w:rPr>
        <w:t>说明</w:t>
      </w:r>
      <w:bookmarkEnd w:id="14"/>
      <w:bookmarkEnd w:id="15"/>
      <w:bookmarkEnd w:id="16"/>
      <w:bookmarkEnd w:id="17"/>
    </w:p>
    <w:p>
      <w:pPr>
        <w:pStyle w:val="59"/>
        <w:spacing w:after="78" w:afterLines="25"/>
        <w:ind w:firstLine="480"/>
        <w:rPr>
          <w:rFonts w:eastAsia="宋体" w:cs="宋体"/>
        </w:rPr>
      </w:pPr>
      <w:r>
        <w:rPr>
          <w:rFonts w:hint="eastAsia" w:eastAsia="宋体" w:cs="宋体"/>
        </w:rPr>
        <w:t>本技术规格书是基于本项目提出的最低限度技术要求，并非该项目的所有细节。项目规格书中标明的所采用的标准和规范只是为了说明本项目建设应该达到的基本要求，并非限定性的。如本规格书所使用的标准如与投标方所执行的标准发生矛盾时，按较高标准执行。</w:t>
      </w:r>
    </w:p>
    <w:p>
      <w:pPr>
        <w:pStyle w:val="3"/>
      </w:pPr>
      <w:bookmarkStart w:id="18" w:name="_Toc489085354"/>
      <w:bookmarkStart w:id="19" w:name="_Toc26405"/>
      <w:bookmarkStart w:id="20" w:name="_Toc9416"/>
      <w:bookmarkStart w:id="21" w:name="_Toc26846"/>
      <w:r>
        <w:rPr>
          <w:rFonts w:hint="eastAsia"/>
        </w:rPr>
        <w:t>招标方</w:t>
      </w:r>
      <w:r>
        <w:t>修订说明</w:t>
      </w:r>
      <w:bookmarkEnd w:id="18"/>
      <w:bookmarkEnd w:id="19"/>
      <w:bookmarkEnd w:id="20"/>
      <w:bookmarkEnd w:id="21"/>
    </w:p>
    <w:p>
      <w:pPr>
        <w:pStyle w:val="59"/>
        <w:ind w:firstLine="480"/>
        <w:rPr>
          <w:rFonts w:eastAsia="宋体" w:cs="宋体"/>
        </w:rPr>
      </w:pPr>
      <w:r>
        <w:rPr>
          <w:rFonts w:hint="eastAsia" w:eastAsia="宋体" w:cs="宋体"/>
        </w:rPr>
        <w:t>在签订合同后，招标方有权提出因标准、规范和规程发生变化而产生的一些修订要求，具体事项宜由双方共同协商确定。</w:t>
      </w:r>
    </w:p>
    <w:p>
      <w:pPr>
        <w:pStyle w:val="3"/>
      </w:pPr>
      <w:bookmarkStart w:id="22" w:name="_Toc10380"/>
      <w:bookmarkStart w:id="23" w:name="_Toc489085355"/>
      <w:bookmarkStart w:id="24" w:name="_Toc29593"/>
      <w:bookmarkStart w:id="25" w:name="_Toc9502"/>
      <w:r>
        <w:rPr>
          <w:rFonts w:hint="eastAsia"/>
        </w:rPr>
        <w:t>投标方意义</w:t>
      </w:r>
      <w:r>
        <w:t>反馈</w:t>
      </w:r>
      <w:bookmarkEnd w:id="22"/>
      <w:bookmarkEnd w:id="23"/>
      <w:bookmarkEnd w:id="24"/>
      <w:bookmarkEnd w:id="25"/>
    </w:p>
    <w:p>
      <w:pPr>
        <w:pStyle w:val="59"/>
        <w:spacing w:after="78" w:afterLines="25"/>
        <w:ind w:firstLine="480"/>
        <w:rPr>
          <w:rFonts w:eastAsia="宋体" w:cs="宋体"/>
        </w:rPr>
      </w:pPr>
      <w:r>
        <w:rPr>
          <w:rFonts w:hint="eastAsia" w:eastAsia="宋体" w:cs="宋体"/>
        </w:rPr>
        <w:t>如果投标方没有以书面形式对本规格书的条文提出异议，则意味着投标方提供的设备完全符合本规格书的要求。</w:t>
      </w:r>
    </w:p>
    <w:p>
      <w:pPr>
        <w:pStyle w:val="3"/>
      </w:pPr>
      <w:bookmarkStart w:id="26" w:name="_Toc4316"/>
      <w:bookmarkStart w:id="27" w:name="_Toc3412"/>
      <w:bookmarkStart w:id="28" w:name="_Toc12342"/>
      <w:bookmarkStart w:id="29" w:name="_Toc489085356"/>
      <w:r>
        <w:rPr>
          <w:rFonts w:hint="eastAsia"/>
        </w:rPr>
        <w:t>规格书</w:t>
      </w:r>
      <w:r>
        <w:t>说明</w:t>
      </w:r>
      <w:bookmarkEnd w:id="26"/>
      <w:bookmarkEnd w:id="27"/>
      <w:bookmarkEnd w:id="28"/>
      <w:bookmarkEnd w:id="29"/>
    </w:p>
    <w:p>
      <w:pPr>
        <w:pStyle w:val="59"/>
        <w:ind w:firstLine="480"/>
        <w:rPr>
          <w:rFonts w:eastAsia="宋体" w:cs="宋体"/>
        </w:rPr>
      </w:pPr>
      <w:r>
        <w:rPr>
          <w:rFonts w:hint="eastAsia" w:eastAsia="宋体" w:cs="宋体"/>
        </w:rPr>
        <w:t>本规格书经双方确认后作为合同的技术附件，与合同正文具有同等效力。</w:t>
      </w:r>
    </w:p>
    <w:p>
      <w:pPr>
        <w:ind w:firstLine="560"/>
        <w:rPr>
          <w:rFonts w:ascii="宋体" w:hAnsi="宋体" w:eastAsia="宋体" w:cs="宋体"/>
        </w:rPr>
      </w:pPr>
    </w:p>
    <w:p>
      <w:pPr>
        <w:pStyle w:val="2"/>
      </w:pPr>
      <w:bookmarkStart w:id="30" w:name="_Toc24138"/>
      <w:bookmarkStart w:id="31" w:name="_Toc7245"/>
      <w:bookmarkStart w:id="32" w:name="_Toc17238"/>
      <w:r>
        <w:rPr>
          <w:rFonts w:hint="eastAsia"/>
        </w:rPr>
        <w:t>项目建设的背景和必要性</w:t>
      </w:r>
      <w:bookmarkEnd w:id="4"/>
      <w:bookmarkEnd w:id="5"/>
      <w:bookmarkEnd w:id="6"/>
      <w:bookmarkEnd w:id="7"/>
      <w:bookmarkEnd w:id="8"/>
      <w:bookmarkEnd w:id="9"/>
      <w:bookmarkEnd w:id="30"/>
      <w:bookmarkEnd w:id="31"/>
      <w:bookmarkEnd w:id="32"/>
    </w:p>
    <w:p>
      <w:pPr>
        <w:pStyle w:val="3"/>
      </w:pPr>
      <w:bookmarkStart w:id="33" w:name="_Toc11023"/>
      <w:bookmarkStart w:id="34" w:name="_Toc6733"/>
      <w:bookmarkStart w:id="35" w:name="_Toc22264"/>
      <w:bookmarkStart w:id="36" w:name="_Toc6186"/>
      <w:bookmarkStart w:id="37" w:name="_Toc18420"/>
      <w:bookmarkStart w:id="38" w:name="_Toc5839"/>
      <w:bookmarkStart w:id="39" w:name="_Toc12689"/>
      <w:bookmarkStart w:id="40" w:name="_Toc20119"/>
      <w:bookmarkStart w:id="41" w:name="_Toc31046"/>
      <w:r>
        <w:rPr>
          <w:rFonts w:hint="eastAsia"/>
        </w:rPr>
        <w:t>项目的背景和依据</w:t>
      </w:r>
      <w:bookmarkEnd w:id="33"/>
      <w:bookmarkEnd w:id="34"/>
      <w:bookmarkEnd w:id="35"/>
      <w:bookmarkEnd w:id="36"/>
      <w:bookmarkEnd w:id="37"/>
      <w:bookmarkEnd w:id="38"/>
      <w:bookmarkEnd w:id="39"/>
      <w:bookmarkEnd w:id="40"/>
      <w:bookmarkEnd w:id="41"/>
    </w:p>
    <w:p>
      <w:pPr>
        <w:spacing w:line="360" w:lineRule="auto"/>
        <w:ind w:firstLine="480"/>
        <w:rPr>
          <w:rFonts w:ascii="宋体" w:hAnsi="宋体" w:eastAsia="宋体" w:cs="宋体"/>
          <w:kern w:val="0"/>
          <w:sz w:val="24"/>
          <w:szCs w:val="24"/>
        </w:rPr>
      </w:pPr>
      <w:r>
        <w:rPr>
          <w:rFonts w:hint="eastAsia" w:ascii="仿宋" w:hAnsi="仿宋" w:eastAsia="宋体"/>
          <w:kern w:val="0"/>
          <w:sz w:val="24"/>
          <w:szCs w:val="24"/>
        </w:rPr>
        <w:t>随着国民经济的高速发展，城市建设日新月异，城市人口密度、建筑密度不断增大，建筑高度不断增加，给消防工作带来更高的难度和要求。准确、方便、直观、快捷地了</w:t>
      </w:r>
      <w:r>
        <w:rPr>
          <w:rFonts w:hint="eastAsia" w:ascii="宋体" w:hAnsi="宋体" w:eastAsia="宋体" w:cs="宋体"/>
          <w:kern w:val="0"/>
          <w:sz w:val="24"/>
          <w:szCs w:val="24"/>
        </w:rPr>
        <w:t>解着火地点、消防水源等地理信息已经成为消防指挥调度的重要技术支撑和决策依据。</w:t>
      </w:r>
    </w:p>
    <w:p>
      <w:pPr>
        <w:spacing w:line="360" w:lineRule="auto"/>
        <w:ind w:firstLine="480"/>
        <w:rPr>
          <w:rFonts w:ascii="宋体" w:hAnsi="宋体" w:eastAsia="宋体" w:cs="宋体"/>
          <w:kern w:val="0"/>
          <w:sz w:val="24"/>
          <w:szCs w:val="24"/>
        </w:rPr>
      </w:pPr>
      <w:r>
        <w:rPr>
          <w:rFonts w:hint="eastAsia" w:ascii="宋体" w:hAnsi="宋体" w:eastAsia="宋体" w:cs="宋体"/>
          <w:kern w:val="0"/>
          <w:sz w:val="24"/>
          <w:szCs w:val="24"/>
        </w:rPr>
        <w:t>消防部门担负着保护生命和财产安全的重任，无论是灭火救援的快速反应，需要火警的定位、路径选择、相应火警点的水源、建筑物查向等等，还是日常的防火管理，都需要了解人员密集场所的消防通道、危险物品存放等。因此，建设一个消防集中监控平台是适应当代消防信息化发展的必然趋势。</w:t>
      </w:r>
    </w:p>
    <w:p>
      <w:pPr>
        <w:spacing w:line="360" w:lineRule="auto"/>
        <w:ind w:firstLine="480"/>
        <w:rPr>
          <w:rFonts w:ascii="仿宋" w:hAnsi="仿宋" w:eastAsia="宋体"/>
          <w:kern w:val="0"/>
          <w:sz w:val="24"/>
          <w:szCs w:val="24"/>
        </w:rPr>
      </w:pPr>
      <w:r>
        <w:rPr>
          <w:rFonts w:hint="eastAsia" w:ascii="宋体" w:hAnsi="宋体" w:eastAsia="宋体" w:cs="宋体"/>
          <w:kern w:val="0"/>
          <w:sz w:val="24"/>
          <w:szCs w:val="24"/>
        </w:rPr>
        <w:t>黄骅港非常重视消防安全的管理工作，港区面积很大，达到15平方公里，消防点位非常分散，希望通过新技术手段的实</w:t>
      </w:r>
      <w:r>
        <w:rPr>
          <w:rFonts w:hint="eastAsia" w:ascii="仿宋" w:hAnsi="仿宋" w:eastAsia="宋体"/>
          <w:kern w:val="0"/>
          <w:sz w:val="24"/>
          <w:szCs w:val="24"/>
        </w:rPr>
        <w:t>施，建设一套先进合理的火灾自动报警系统集中监控平台，可对港区内火灾报警信息与消防设备的运行状态信息实现远程集中监控管理，能够对港区现有的消防设施进行更为有效地监控、提高监控管理效率，降低潜在安全隐患，提升事故响应能力。</w:t>
      </w:r>
    </w:p>
    <w:p>
      <w:pPr>
        <w:pStyle w:val="3"/>
      </w:pPr>
      <w:bookmarkStart w:id="42" w:name="_Toc11568"/>
      <w:bookmarkStart w:id="43" w:name="_Toc22324"/>
      <w:bookmarkStart w:id="44" w:name="_Toc13905"/>
      <w:bookmarkStart w:id="45" w:name="_Toc1364"/>
      <w:bookmarkStart w:id="46" w:name="_Toc32524"/>
      <w:bookmarkStart w:id="47" w:name="_Toc8404"/>
      <w:bookmarkStart w:id="48" w:name="_Toc9095"/>
      <w:bookmarkStart w:id="49" w:name="_Toc6999"/>
      <w:r>
        <w:t>现状及主要问题</w:t>
      </w:r>
      <w:bookmarkEnd w:id="42"/>
      <w:bookmarkEnd w:id="43"/>
      <w:bookmarkEnd w:id="44"/>
      <w:bookmarkEnd w:id="45"/>
      <w:bookmarkEnd w:id="46"/>
      <w:bookmarkEnd w:id="47"/>
      <w:bookmarkEnd w:id="48"/>
      <w:bookmarkEnd w:id="49"/>
    </w:p>
    <w:p>
      <w:pPr>
        <w:pStyle w:val="12"/>
        <w:spacing w:line="360" w:lineRule="auto"/>
        <w:ind w:firstLine="480" w:firstLineChars="0"/>
        <w:rPr>
          <w:rFonts w:ascii="仿宋" w:hAnsi="仿宋" w:eastAsia="宋体"/>
          <w:sz w:val="24"/>
          <w:szCs w:val="24"/>
        </w:rPr>
      </w:pPr>
      <w:bookmarkStart w:id="50" w:name="OLE_LINK2"/>
      <w:r>
        <w:rPr>
          <w:rFonts w:hint="eastAsia" w:ascii="仿宋" w:hAnsi="仿宋" w:eastAsia="宋体"/>
          <w:sz w:val="24"/>
          <w:szCs w:val="24"/>
          <w:lang w:val="en-GB"/>
        </w:rPr>
        <w:t>目前黄骅港有</w:t>
      </w:r>
      <w:r>
        <w:rPr>
          <w:rFonts w:hint="eastAsia" w:ascii="仿宋" w:hAnsi="仿宋" w:eastAsia="宋体"/>
          <w:sz w:val="24"/>
          <w:szCs w:val="24"/>
        </w:rPr>
        <w:t>51余</w:t>
      </w:r>
      <w:r>
        <w:rPr>
          <w:rFonts w:hint="eastAsia" w:ascii="仿宋" w:hAnsi="仿宋" w:eastAsia="宋体"/>
          <w:sz w:val="24"/>
          <w:szCs w:val="24"/>
          <w:lang w:val="en-GB"/>
        </w:rPr>
        <w:t>套消防告警系统，</w:t>
      </w:r>
      <w:r>
        <w:rPr>
          <w:rFonts w:hint="eastAsia" w:ascii="仿宋" w:hAnsi="仿宋" w:eastAsia="宋体"/>
          <w:sz w:val="24"/>
          <w:szCs w:val="24"/>
        </w:rPr>
        <w:t>由于地理位置分散，没能集中监控，因此港区的消防监控室是按照每套消防告警系统的分布而分别设置，也有51个。后勤保障中心直接管辖6个监控室，其他监控室由消防主机的管辖单位自行管辖。</w:t>
      </w:r>
    </w:p>
    <w:p>
      <w:pPr>
        <w:pStyle w:val="12"/>
        <w:spacing w:line="360" w:lineRule="auto"/>
        <w:rPr>
          <w:rFonts w:eastAsia="宋体"/>
          <w:sz w:val="24"/>
          <w:szCs w:val="24"/>
        </w:rPr>
      </w:pPr>
      <w:r>
        <w:rPr>
          <w:rFonts w:hint="eastAsia" w:eastAsia="宋体"/>
          <w:sz w:val="24"/>
          <w:szCs w:val="24"/>
        </w:rPr>
        <w:t xml:space="preserve">  </w:t>
      </w:r>
    </w:p>
    <w:bookmarkEnd w:id="50"/>
    <w:p>
      <w:pPr>
        <w:pStyle w:val="2"/>
      </w:pPr>
      <w:bookmarkStart w:id="51" w:name="_Toc29118"/>
      <w:bookmarkStart w:id="52" w:name="_Toc26161"/>
      <w:bookmarkStart w:id="53" w:name="_Toc3667"/>
      <w:bookmarkStart w:id="54" w:name="_Toc24039"/>
      <w:bookmarkStart w:id="55" w:name="_Toc18758"/>
      <w:bookmarkStart w:id="56" w:name="_Toc9552"/>
      <w:bookmarkStart w:id="57" w:name="_Toc29701"/>
      <w:bookmarkStart w:id="58" w:name="_Toc1918"/>
      <w:r>
        <w:rPr>
          <w:rFonts w:hint="eastAsia"/>
        </w:rPr>
        <w:t>项目建设目标与内容</w:t>
      </w:r>
      <w:bookmarkEnd w:id="51"/>
      <w:bookmarkEnd w:id="52"/>
      <w:bookmarkEnd w:id="53"/>
      <w:bookmarkEnd w:id="54"/>
      <w:bookmarkEnd w:id="55"/>
      <w:bookmarkEnd w:id="56"/>
      <w:bookmarkEnd w:id="57"/>
      <w:bookmarkEnd w:id="58"/>
    </w:p>
    <w:p>
      <w:pPr>
        <w:pStyle w:val="3"/>
      </w:pPr>
      <w:bookmarkStart w:id="59" w:name="_Toc5963"/>
      <w:bookmarkStart w:id="60" w:name="_Toc9610"/>
      <w:bookmarkStart w:id="61" w:name="_Toc1123"/>
      <w:bookmarkStart w:id="62" w:name="_Toc18997"/>
      <w:bookmarkStart w:id="63" w:name="OLE_LINK6"/>
      <w:r>
        <w:rPr>
          <w:rFonts w:hint="eastAsia"/>
        </w:rPr>
        <w:t>建设目标</w:t>
      </w:r>
      <w:bookmarkEnd w:id="59"/>
      <w:bookmarkEnd w:id="60"/>
      <w:bookmarkEnd w:id="61"/>
      <w:bookmarkEnd w:id="62"/>
    </w:p>
    <w:bookmarkEnd w:id="63"/>
    <w:p>
      <w:pPr>
        <w:spacing w:line="360" w:lineRule="auto"/>
        <w:ind w:firstLine="480"/>
        <w:rPr>
          <w:rFonts w:ascii="仿宋" w:hAnsi="仿宋" w:eastAsia="宋体"/>
          <w:kern w:val="0"/>
          <w:sz w:val="24"/>
          <w:szCs w:val="24"/>
        </w:rPr>
      </w:pPr>
      <w:r>
        <w:rPr>
          <w:rFonts w:hint="eastAsia" w:ascii="仿宋" w:hAnsi="仿宋" w:eastAsia="宋体"/>
          <w:kern w:val="0"/>
          <w:sz w:val="24"/>
          <w:szCs w:val="24"/>
        </w:rPr>
        <w:t>将黄骅港全港区不同类型且独立分散的消防报警系统实现集中联网，形成一个高度集中式的监控管理平台；在统一的港区分布地图中进行集中管理及日常安全巡检，消除一个个“消防孤岛”，实现不同消防报警系统的信息互联互通，保证了消防报警系统信息传递的实时性、准确性；在发生警情时能有效快速实现与视频系统、门禁系统的自动联动，提高港区整体消防安全防护水平，最大限度降低安全风险。</w:t>
      </w:r>
    </w:p>
    <w:p>
      <w:pPr>
        <w:spacing w:line="360" w:lineRule="auto"/>
        <w:ind w:firstLine="480"/>
        <w:rPr>
          <w:rFonts w:ascii="仿宋" w:hAnsi="仿宋" w:eastAsia="宋体"/>
          <w:kern w:val="0"/>
          <w:sz w:val="24"/>
          <w:szCs w:val="24"/>
        </w:rPr>
      </w:pPr>
      <w:r>
        <w:rPr>
          <w:rFonts w:hint="eastAsia" w:ascii="仿宋" w:hAnsi="仿宋" w:eastAsia="宋体"/>
          <w:kern w:val="0"/>
          <w:sz w:val="24"/>
          <w:szCs w:val="24"/>
        </w:rPr>
        <w:t>通过网络传输系统接入消防物联网前端采集设备上传的火灾自动报警系统、消防联动控制系统、电气火灾监控系统、气体灭火系统、疏散指示系统、防火门监控系统等建筑消防系统相关信息。各消防系统即可以保持独立运行不受影响，又能够打破现有的“烟囱式”架构，达到对各类消防系统信息采集、整理和融合的目的。</w:t>
      </w:r>
    </w:p>
    <w:p>
      <w:pPr>
        <w:spacing w:line="360" w:lineRule="auto"/>
        <w:ind w:firstLine="480"/>
        <w:rPr>
          <w:rFonts w:ascii="仿宋" w:hAnsi="仿宋" w:eastAsia="宋体"/>
          <w:kern w:val="0"/>
          <w:sz w:val="24"/>
          <w:szCs w:val="24"/>
        </w:rPr>
      </w:pPr>
      <w:r>
        <w:rPr>
          <w:rFonts w:hint="eastAsia" w:ascii="仿宋" w:hAnsi="仿宋" w:eastAsia="宋体"/>
          <w:kern w:val="0"/>
          <w:sz w:val="24"/>
          <w:szCs w:val="24"/>
        </w:rPr>
        <w:t>填补现有消防系统（设施）综合监控中存在的空白，消除管理的“盲区”，实现消防安全管理工作“人防”、“技防”、“物防”于一体的应用目标。平台通过各系统的整合，事件发生时，通过客户端即可快速进行处理，实现消防工作及时、快速、有效的指挥与管理。</w:t>
      </w:r>
    </w:p>
    <w:p>
      <w:pPr>
        <w:ind w:firstLine="560"/>
        <w:rPr>
          <w:rFonts w:eastAsia="宋体"/>
        </w:rPr>
      </w:pPr>
      <w:bookmarkStart w:id="64" w:name="_Toc6276"/>
      <w:bookmarkStart w:id="65" w:name="_Toc14457"/>
      <w:bookmarkStart w:id="66" w:name="_Toc24222"/>
      <w:bookmarkStart w:id="67" w:name="_Toc26823"/>
    </w:p>
    <w:bookmarkEnd w:id="64"/>
    <w:bookmarkEnd w:id="65"/>
    <w:bookmarkEnd w:id="66"/>
    <w:bookmarkEnd w:id="67"/>
    <w:p>
      <w:pPr>
        <w:pStyle w:val="3"/>
      </w:pPr>
      <w:bookmarkStart w:id="68" w:name="_Toc9784"/>
      <w:bookmarkStart w:id="69" w:name="_Toc10620"/>
      <w:bookmarkStart w:id="70" w:name="_Toc1387"/>
      <w:bookmarkStart w:id="71" w:name="_Toc7574"/>
      <w:bookmarkStart w:id="72" w:name="_Toc13134"/>
      <w:bookmarkStart w:id="73" w:name="_Toc20619"/>
      <w:bookmarkStart w:id="74" w:name="_Toc23692"/>
      <w:bookmarkStart w:id="75" w:name="_Toc5244"/>
      <w:r>
        <w:rPr>
          <w:rFonts w:hint="eastAsia"/>
        </w:rPr>
        <w:t>建设内容</w:t>
      </w:r>
      <w:bookmarkEnd w:id="68"/>
      <w:bookmarkEnd w:id="69"/>
      <w:bookmarkEnd w:id="70"/>
      <w:bookmarkEnd w:id="71"/>
      <w:bookmarkEnd w:id="72"/>
      <w:bookmarkEnd w:id="73"/>
      <w:bookmarkEnd w:id="74"/>
      <w:bookmarkEnd w:id="75"/>
    </w:p>
    <w:p>
      <w:pPr>
        <w:pStyle w:val="4"/>
        <w:ind w:firstLine="482"/>
        <w:rPr>
          <w:rFonts w:ascii="黑体" w:hAnsi="黑体" w:eastAsia="黑体" w:cs="黑体"/>
          <w:sz w:val="24"/>
          <w:szCs w:val="24"/>
        </w:rPr>
      </w:pPr>
      <w:bookmarkStart w:id="76" w:name="_Toc5568"/>
      <w:bookmarkStart w:id="77" w:name="_Toc25230"/>
      <w:bookmarkStart w:id="78" w:name="_Toc16795"/>
      <w:r>
        <w:rPr>
          <w:rFonts w:hint="eastAsia" w:ascii="黑体" w:hAnsi="黑体" w:eastAsia="黑体" w:cs="黑体"/>
          <w:sz w:val="24"/>
          <w:szCs w:val="24"/>
        </w:rPr>
        <w:t>业务架构</w:t>
      </w:r>
      <w:bookmarkEnd w:id="76"/>
      <w:bookmarkEnd w:id="77"/>
      <w:bookmarkEnd w:id="78"/>
    </w:p>
    <w:p>
      <w:pPr>
        <w:spacing w:line="360" w:lineRule="auto"/>
        <w:ind w:firstLine="480"/>
        <w:rPr>
          <w:rFonts w:ascii="仿宋" w:hAnsi="仿宋" w:eastAsia="宋体"/>
          <w:kern w:val="0"/>
          <w:sz w:val="24"/>
          <w:szCs w:val="24"/>
        </w:rPr>
      </w:pPr>
      <w:r>
        <w:rPr>
          <w:rFonts w:hint="eastAsia" w:ascii="仿宋" w:hAnsi="仿宋" w:eastAsia="宋体"/>
          <w:kern w:val="0"/>
          <w:sz w:val="24"/>
          <w:szCs w:val="24"/>
        </w:rPr>
        <w:t>通过搭建黄骅港的消防专网，将港区原有的独立、分散的51套消防系统实现联网集中监控，实时获取设备状态信息及报警信息。在发生警情时，能快速自动联动</w:t>
      </w:r>
      <w:r>
        <w:rPr>
          <w:rFonts w:hint="eastAsia" w:ascii="仿宋" w:hAnsi="仿宋" w:eastAsia="宋体"/>
          <w:kern w:val="0"/>
          <w:sz w:val="24"/>
          <w:szCs w:val="24"/>
          <w:lang w:val="en-US" w:eastAsia="zh-CN"/>
        </w:rPr>
        <w:t>有关</w:t>
      </w:r>
      <w:r>
        <w:rPr>
          <w:rFonts w:hint="eastAsia" w:ascii="仿宋" w:hAnsi="仿宋" w:eastAsia="宋体"/>
          <w:kern w:val="0"/>
          <w:sz w:val="24"/>
          <w:szCs w:val="24"/>
        </w:rPr>
        <w:t>系统，形成一个集中统一的监控平台。</w:t>
      </w:r>
    </w:p>
    <w:p>
      <w:pPr>
        <w:spacing w:line="360" w:lineRule="auto"/>
        <w:ind w:firstLine="480"/>
        <w:rPr>
          <w:rFonts w:ascii="仿宋" w:hAnsi="仿宋" w:eastAsia="宋体"/>
          <w:kern w:val="0"/>
          <w:sz w:val="24"/>
          <w:szCs w:val="24"/>
        </w:rPr>
      </w:pPr>
      <w:r>
        <w:rPr>
          <w:rFonts w:hint="eastAsia" w:ascii="仿宋" w:hAnsi="仿宋" w:eastAsia="宋体"/>
          <w:kern w:val="0"/>
          <w:sz w:val="24"/>
          <w:szCs w:val="24"/>
        </w:rPr>
        <w:t>整个港区设置一个主</w:t>
      </w:r>
      <w:r>
        <w:rPr>
          <w:rFonts w:hint="eastAsia" w:ascii="仿宋" w:hAnsi="仿宋" w:eastAsia="宋体"/>
          <w:kern w:val="0"/>
          <w:sz w:val="24"/>
          <w:szCs w:val="24"/>
          <w:lang w:val="en-GB"/>
        </w:rPr>
        <w:t>控中心（消防队）、两个分控中心（综合楼、生活区），系统集中部署在主控中心，</w:t>
      </w:r>
      <w:r>
        <w:rPr>
          <w:rFonts w:hint="eastAsia" w:ascii="仿宋" w:hAnsi="仿宋" w:eastAsia="宋体"/>
          <w:kern w:val="0"/>
          <w:sz w:val="24"/>
          <w:szCs w:val="24"/>
        </w:rPr>
        <w:t>51套消防系统的监控数据通过消防专网采集汇总到主控中心，主控中心、分控中心用户通过消防专网访问部署在主控中心的监控平台，完成日常的消防安全监控管理。</w:t>
      </w:r>
    </w:p>
    <w:p>
      <w:pPr>
        <w:spacing w:line="360" w:lineRule="auto"/>
        <w:ind w:left="560" w:leftChars="200" w:firstLine="0" w:firstLineChars="0"/>
        <w:jc w:val="left"/>
        <w:rPr>
          <w:rFonts w:ascii="仿宋" w:hAnsi="仿宋" w:eastAsia="宋体"/>
          <w:color w:val="FF0000"/>
          <w:kern w:val="0"/>
          <w:sz w:val="24"/>
          <w:szCs w:val="24"/>
        </w:rPr>
      </w:pPr>
    </w:p>
    <w:p>
      <w:pPr>
        <w:pStyle w:val="4"/>
        <w:ind w:firstLine="482"/>
        <w:rPr>
          <w:rFonts w:ascii="黑体" w:hAnsi="黑体" w:eastAsia="黑体" w:cs="黑体"/>
          <w:sz w:val="24"/>
          <w:szCs w:val="24"/>
        </w:rPr>
      </w:pPr>
      <w:bookmarkStart w:id="79" w:name="_Toc11663"/>
      <w:bookmarkStart w:id="80" w:name="_Toc18966"/>
      <w:bookmarkStart w:id="81" w:name="_Toc12613"/>
      <w:r>
        <w:rPr>
          <w:rFonts w:hint="eastAsia" w:ascii="黑体" w:hAnsi="黑体" w:eastAsia="黑体" w:cs="黑体"/>
          <w:sz w:val="24"/>
          <w:szCs w:val="24"/>
        </w:rPr>
        <w:t>总体技术架构</w:t>
      </w:r>
      <w:bookmarkEnd w:id="79"/>
      <w:bookmarkEnd w:id="80"/>
      <w:bookmarkEnd w:id="81"/>
    </w:p>
    <w:p>
      <w:pPr>
        <w:spacing w:line="360" w:lineRule="auto"/>
        <w:ind w:firstLine="360" w:firstLineChars="150"/>
        <w:rPr>
          <w:rFonts w:ascii="仿宋" w:hAnsi="仿宋" w:eastAsia="宋体"/>
          <w:sz w:val="24"/>
          <w:szCs w:val="24"/>
        </w:rPr>
      </w:pPr>
      <w:r>
        <w:rPr>
          <w:rFonts w:hint="eastAsia" w:ascii="仿宋" w:hAnsi="仿宋" w:eastAsia="宋体"/>
          <w:sz w:val="24"/>
          <w:szCs w:val="24"/>
        </w:rPr>
        <w:t>系统软件采用模块化设计，可扩展性强。对新型安保消防设备的接入，通过开发新型安保消防设备驱动层软件模块和应用层软件模块，并加载到系统中即可实现其接入。</w:t>
      </w:r>
    </w:p>
    <w:p>
      <w:pPr>
        <w:spacing w:line="360" w:lineRule="auto"/>
        <w:ind w:firstLine="360" w:firstLineChars="150"/>
        <w:rPr>
          <w:rFonts w:ascii="仿宋" w:hAnsi="仿宋" w:eastAsia="宋体"/>
          <w:sz w:val="24"/>
          <w:szCs w:val="24"/>
        </w:rPr>
      </w:pPr>
      <w:r>
        <w:rPr>
          <w:rFonts w:hint="eastAsia" w:ascii="仿宋" w:hAnsi="仿宋" w:eastAsia="宋体"/>
          <w:sz w:val="24"/>
          <w:szCs w:val="24"/>
        </w:rPr>
        <w:t>对于已接入的安保消防设备扩容接入，除增加相应前端采集设备外，软件不需要做任何调整和修改，仅仅通过软件配置即可实现扩容接入。</w:t>
      </w:r>
    </w:p>
    <w:p>
      <w:pPr>
        <w:spacing w:line="360" w:lineRule="auto"/>
        <w:ind w:firstLine="480"/>
        <w:rPr>
          <w:rFonts w:ascii="仿宋" w:hAnsi="仿宋" w:eastAsia="宋体"/>
          <w:iCs/>
          <w:color w:val="000000"/>
          <w:sz w:val="24"/>
          <w:szCs w:val="24"/>
        </w:rPr>
      </w:pPr>
      <w:r>
        <w:rPr>
          <w:rFonts w:hint="eastAsia" w:ascii="仿宋" w:hAnsi="仿宋" w:eastAsia="宋体"/>
          <w:iCs/>
          <w:color w:val="000000"/>
          <w:sz w:val="24"/>
          <w:szCs w:val="24"/>
        </w:rPr>
        <w:t>系统整体技术架构分为设备层、传输层、数据接入层、资源层、支撑层、应用层及展现层。</w:t>
      </w:r>
    </w:p>
    <w:p>
      <w:pPr>
        <w:spacing w:line="360" w:lineRule="auto"/>
        <w:ind w:firstLine="480"/>
        <w:rPr>
          <w:rFonts w:ascii="仿宋" w:hAnsi="仿宋" w:eastAsia="宋体"/>
          <w:iCs/>
          <w:color w:val="000000" w:themeColor="text1"/>
          <w:sz w:val="24"/>
          <w:szCs w:val="24"/>
          <w14:textFill>
            <w14:solidFill>
              <w14:schemeClr w14:val="tx1"/>
            </w14:solidFill>
          </w14:textFill>
        </w:rPr>
      </w:pPr>
      <w:r>
        <w:rPr>
          <w:rFonts w:hint="eastAsia" w:ascii="仿宋" w:hAnsi="仿宋" w:eastAsia="宋体"/>
          <w:iCs/>
          <w:color w:val="000000" w:themeColor="text1"/>
          <w:sz w:val="24"/>
          <w:szCs w:val="24"/>
          <w14:textFill>
            <w14:solidFill>
              <w14:schemeClr w14:val="tx1"/>
            </w14:solidFill>
          </w14:textFill>
        </w:rPr>
        <w:t>其中设备层包括现场的消防探测器、视频摄像机、门禁控制器等。</w:t>
      </w:r>
    </w:p>
    <w:p>
      <w:pPr>
        <w:spacing w:line="360" w:lineRule="auto"/>
        <w:ind w:firstLine="480"/>
        <w:rPr>
          <w:rFonts w:ascii="仿宋" w:hAnsi="仿宋" w:eastAsia="宋体"/>
          <w:iCs/>
          <w:color w:val="000000" w:themeColor="text1"/>
          <w:sz w:val="24"/>
          <w:szCs w:val="24"/>
          <w14:textFill>
            <w14:solidFill>
              <w14:schemeClr w14:val="tx1"/>
            </w14:solidFill>
          </w14:textFill>
        </w:rPr>
      </w:pPr>
      <w:r>
        <w:rPr>
          <w:rFonts w:hint="eastAsia" w:ascii="仿宋" w:hAnsi="仿宋" w:eastAsia="宋体"/>
          <w:iCs/>
          <w:color w:val="000000" w:themeColor="text1"/>
          <w:sz w:val="24"/>
          <w:szCs w:val="24"/>
          <w14:textFill>
            <w14:solidFill>
              <w14:schemeClr w14:val="tx1"/>
            </w14:solidFill>
          </w14:textFill>
        </w:rPr>
        <w:t>传输层实现数据的采集传输，包括串口、RS485、TCP\IP等方式的传输。</w:t>
      </w:r>
    </w:p>
    <w:p>
      <w:pPr>
        <w:spacing w:line="360" w:lineRule="auto"/>
        <w:ind w:firstLine="480"/>
        <w:rPr>
          <w:rFonts w:ascii="仿宋" w:hAnsi="仿宋" w:eastAsia="宋体"/>
          <w:iCs/>
          <w:color w:val="000000" w:themeColor="text1"/>
          <w:sz w:val="24"/>
          <w:szCs w:val="24"/>
          <w14:textFill>
            <w14:solidFill>
              <w14:schemeClr w14:val="tx1"/>
            </w14:solidFill>
          </w14:textFill>
        </w:rPr>
      </w:pPr>
      <w:r>
        <w:rPr>
          <w:rFonts w:hint="eastAsia" w:ascii="仿宋" w:hAnsi="仿宋" w:eastAsia="宋体"/>
          <w:iCs/>
          <w:color w:val="000000" w:themeColor="text1"/>
          <w:sz w:val="24"/>
          <w:szCs w:val="24"/>
          <w14:textFill>
            <w14:solidFill>
              <w14:schemeClr w14:val="tx1"/>
            </w14:solidFill>
          </w14:textFill>
        </w:rPr>
        <w:t>数据接入层负责消防系统等专业子系统的数据接入。</w:t>
      </w:r>
    </w:p>
    <w:p>
      <w:pPr>
        <w:spacing w:line="360" w:lineRule="auto"/>
        <w:ind w:firstLine="480"/>
        <w:rPr>
          <w:rFonts w:ascii="仿宋" w:hAnsi="仿宋" w:eastAsia="宋体"/>
          <w:iCs/>
          <w:color w:val="000000" w:themeColor="text1"/>
          <w:sz w:val="24"/>
          <w:szCs w:val="24"/>
          <w14:textFill>
            <w14:solidFill>
              <w14:schemeClr w14:val="tx1"/>
            </w14:solidFill>
          </w14:textFill>
        </w:rPr>
      </w:pPr>
      <w:r>
        <w:rPr>
          <w:rFonts w:hint="eastAsia" w:ascii="仿宋" w:hAnsi="仿宋" w:eastAsia="宋体"/>
          <w:iCs/>
          <w:color w:val="000000" w:themeColor="text1"/>
          <w:sz w:val="24"/>
          <w:szCs w:val="24"/>
          <w14:textFill>
            <w14:solidFill>
              <w14:schemeClr w14:val="tx1"/>
            </w14:solidFill>
          </w14:textFill>
        </w:rPr>
        <w:t>资源层对将采集到数据进行存储，并对应用支持层提供数据服务。</w:t>
      </w:r>
    </w:p>
    <w:p>
      <w:pPr>
        <w:spacing w:line="360" w:lineRule="auto"/>
        <w:ind w:firstLine="480"/>
        <w:rPr>
          <w:rFonts w:ascii="仿宋" w:hAnsi="仿宋" w:eastAsia="宋体"/>
          <w:iCs/>
          <w:color w:val="000000" w:themeColor="text1"/>
          <w:sz w:val="24"/>
          <w:szCs w:val="24"/>
          <w14:textFill>
            <w14:solidFill>
              <w14:schemeClr w14:val="tx1"/>
            </w14:solidFill>
          </w14:textFill>
        </w:rPr>
      </w:pPr>
      <w:r>
        <w:rPr>
          <w:rFonts w:hint="eastAsia" w:ascii="仿宋" w:hAnsi="仿宋" w:eastAsia="宋体"/>
          <w:iCs/>
          <w:color w:val="000000" w:themeColor="text1"/>
          <w:sz w:val="24"/>
          <w:szCs w:val="24"/>
          <w14:textFill>
            <w14:solidFill>
              <w14:schemeClr w14:val="tx1"/>
            </w14:solidFill>
          </w14:textFill>
        </w:rPr>
        <w:t>支撑层，为系统业务应用提供支撑框架，包括地图服务、数据推送服务、统一身份认证等。</w:t>
      </w:r>
    </w:p>
    <w:p>
      <w:pPr>
        <w:spacing w:line="360" w:lineRule="auto"/>
        <w:ind w:firstLine="480"/>
        <w:rPr>
          <w:rFonts w:ascii="仿宋" w:hAnsi="仿宋" w:eastAsia="宋体"/>
          <w:iCs/>
          <w:color w:val="000000"/>
          <w:sz w:val="24"/>
          <w:szCs w:val="24"/>
        </w:rPr>
      </w:pPr>
      <w:r>
        <w:rPr>
          <w:rFonts w:hint="eastAsia" w:ascii="仿宋" w:hAnsi="仿宋" w:eastAsia="宋体"/>
          <w:iCs/>
          <w:color w:val="000000"/>
          <w:sz w:val="24"/>
          <w:szCs w:val="24"/>
        </w:rPr>
        <w:t>应用层，提供消防报警监控的业务应用，包括实时监控、报警联动、巡检管理、视频监控、门禁监控、报警分析、值班管理、公告管理等功能。</w:t>
      </w:r>
    </w:p>
    <w:p>
      <w:pPr>
        <w:spacing w:line="360" w:lineRule="auto"/>
        <w:ind w:firstLine="480"/>
        <w:rPr>
          <w:rFonts w:ascii="仿宋" w:hAnsi="仿宋" w:eastAsia="宋体"/>
          <w:color w:val="FF0000"/>
          <w:sz w:val="24"/>
          <w:szCs w:val="24"/>
        </w:rPr>
      </w:pPr>
      <w:r>
        <w:rPr>
          <w:rFonts w:hint="eastAsia" w:ascii="仿宋" w:hAnsi="仿宋" w:eastAsia="宋体"/>
          <w:iCs/>
          <w:color w:val="000000"/>
          <w:sz w:val="24"/>
          <w:szCs w:val="24"/>
        </w:rPr>
        <w:t>展现层，提供PC终端工作站、大屏的展示方式。</w:t>
      </w:r>
    </w:p>
    <w:p>
      <w:pPr>
        <w:pStyle w:val="4"/>
        <w:ind w:firstLine="482"/>
        <w:rPr>
          <w:rFonts w:ascii="黑体" w:hAnsi="黑体" w:eastAsia="黑体" w:cs="黑体"/>
          <w:sz w:val="24"/>
          <w:szCs w:val="24"/>
        </w:rPr>
      </w:pPr>
      <w:bookmarkStart w:id="82" w:name="_Toc22277"/>
      <w:bookmarkStart w:id="83" w:name="_Toc22792"/>
      <w:bookmarkStart w:id="84" w:name="_Toc23751"/>
      <w:r>
        <w:rPr>
          <w:rFonts w:hint="eastAsia" w:ascii="黑体" w:hAnsi="黑体" w:eastAsia="黑体" w:cs="黑体"/>
          <w:sz w:val="24"/>
          <w:szCs w:val="24"/>
        </w:rPr>
        <w:t>总体物理部署架构</w:t>
      </w:r>
      <w:bookmarkEnd w:id="82"/>
      <w:bookmarkEnd w:id="83"/>
      <w:bookmarkEnd w:id="84"/>
    </w:p>
    <w:p>
      <w:pPr>
        <w:spacing w:line="360" w:lineRule="auto"/>
        <w:ind w:firstLine="480"/>
        <w:rPr>
          <w:rFonts w:ascii="仿宋" w:hAnsi="仿宋" w:eastAsia="宋体"/>
          <w:color w:val="000000" w:themeColor="text1"/>
          <w:kern w:val="0"/>
          <w:sz w:val="24"/>
          <w:szCs w:val="24"/>
          <w14:textFill>
            <w14:solidFill>
              <w14:schemeClr w14:val="tx1"/>
            </w14:solidFill>
          </w14:textFill>
        </w:rPr>
      </w:pPr>
      <w:r>
        <w:rPr>
          <w:rFonts w:hint="eastAsia" w:ascii="仿宋" w:hAnsi="仿宋" w:eastAsia="宋体"/>
          <w:kern w:val="0"/>
          <w:sz w:val="24"/>
          <w:szCs w:val="24"/>
        </w:rPr>
        <w:t>整个港区设置一个主</w:t>
      </w:r>
      <w:r>
        <w:rPr>
          <w:rFonts w:hint="eastAsia" w:ascii="仿宋" w:hAnsi="仿宋" w:eastAsia="宋体"/>
          <w:kern w:val="0"/>
          <w:sz w:val="24"/>
          <w:szCs w:val="24"/>
          <w:lang w:val="en-GB"/>
        </w:rPr>
        <w:t>控中心（消防队）、两个分控中心（综合楼、生活区），其中主控中心</w:t>
      </w:r>
      <w:r>
        <w:rPr>
          <w:rFonts w:hint="eastAsia" w:ascii="仿宋" w:hAnsi="仿宋" w:eastAsia="宋体"/>
          <w:kern w:val="0"/>
          <w:sz w:val="24"/>
          <w:szCs w:val="24"/>
        </w:rPr>
        <w:t>负责集中监控，</w:t>
      </w:r>
      <w:r>
        <w:rPr>
          <w:rFonts w:hint="eastAsia" w:ascii="仿宋" w:hAnsi="仿宋" w:eastAsia="宋体"/>
          <w:kern w:val="0"/>
          <w:sz w:val="24"/>
          <w:szCs w:val="24"/>
          <w:lang w:val="en-GB"/>
        </w:rPr>
        <w:t>部署有数据库</w:t>
      </w:r>
      <w:r>
        <w:rPr>
          <w:rFonts w:hint="eastAsia" w:ascii="仿宋" w:hAnsi="仿宋" w:eastAsia="宋体"/>
          <w:kern w:val="0"/>
          <w:sz w:val="24"/>
          <w:szCs w:val="24"/>
        </w:rPr>
        <w:t>及</w:t>
      </w:r>
      <w:r>
        <w:rPr>
          <w:rFonts w:hint="eastAsia" w:ascii="仿宋" w:hAnsi="仿宋" w:eastAsia="宋体"/>
          <w:kern w:val="0"/>
          <w:sz w:val="24"/>
          <w:szCs w:val="24"/>
          <w:lang w:val="en-GB"/>
        </w:rPr>
        <w:t>应用服务器、大屏、工作台及监控终端，其中服务器</w:t>
      </w:r>
      <w:r>
        <w:rPr>
          <w:rFonts w:hint="eastAsia" w:ascii="仿宋" w:hAnsi="仿宋" w:eastAsia="宋体"/>
          <w:iCs/>
          <w:color w:val="000000" w:themeColor="text1"/>
          <w:sz w:val="24"/>
          <w:szCs w:val="24"/>
          <w14:textFill>
            <w14:solidFill>
              <w14:schemeClr w14:val="tx1"/>
            </w14:solidFill>
          </w14:textFill>
        </w:rPr>
        <w:t>采用黄骅港提供的虚拟机</w:t>
      </w:r>
      <w:r>
        <w:rPr>
          <w:rFonts w:hint="eastAsia" w:ascii="仿宋" w:hAnsi="仿宋" w:eastAsia="宋体"/>
          <w:kern w:val="0"/>
          <w:sz w:val="24"/>
          <w:szCs w:val="24"/>
        </w:rPr>
        <w:t>；分控中心作为后勤保障中心日常安全管理和紧急情况下备用，各配置一台监控终端。</w:t>
      </w:r>
      <w:r>
        <w:rPr>
          <w:rFonts w:hint="eastAsia" w:ascii="仿宋" w:hAnsi="仿宋" w:eastAsia="宋体"/>
          <w:color w:val="000000" w:themeColor="text1"/>
          <w:kern w:val="0"/>
          <w:sz w:val="24"/>
          <w:szCs w:val="24"/>
          <w14:textFill>
            <w14:solidFill>
              <w14:schemeClr w14:val="tx1"/>
            </w14:solidFill>
          </w14:textFill>
        </w:rPr>
        <w:t>主控中心、两个分控中心的监控终端通过消防专网访问应用服务器上监控系统，完成日常的消防监控工作。</w:t>
      </w:r>
    </w:p>
    <w:p>
      <w:pPr>
        <w:pStyle w:val="4"/>
        <w:ind w:firstLine="482"/>
        <w:rPr>
          <w:rFonts w:ascii="黑体" w:hAnsi="黑体" w:eastAsia="黑体" w:cs="黑体"/>
          <w:sz w:val="24"/>
          <w:szCs w:val="24"/>
        </w:rPr>
      </w:pPr>
      <w:bookmarkStart w:id="85" w:name="_Toc3071"/>
      <w:bookmarkStart w:id="86" w:name="_Toc15254"/>
      <w:bookmarkStart w:id="87" w:name="_Toc19343"/>
      <w:bookmarkStart w:id="88" w:name="_Toc4990"/>
      <w:bookmarkStart w:id="89" w:name="_Toc30171"/>
      <w:bookmarkStart w:id="90" w:name="_Toc21084"/>
      <w:bookmarkStart w:id="91" w:name="_Toc23973"/>
      <w:r>
        <w:rPr>
          <w:rFonts w:hint="eastAsia" w:ascii="黑体" w:hAnsi="黑体" w:eastAsia="黑体" w:cs="黑体"/>
          <w:sz w:val="24"/>
          <w:szCs w:val="24"/>
        </w:rPr>
        <w:t>项目工作内容</w:t>
      </w:r>
      <w:bookmarkEnd w:id="85"/>
      <w:bookmarkEnd w:id="86"/>
      <w:bookmarkEnd w:id="87"/>
    </w:p>
    <w:p>
      <w:pPr>
        <w:pStyle w:val="5"/>
      </w:pPr>
      <w:bookmarkStart w:id="92" w:name="_Toc16144"/>
      <w:bookmarkStart w:id="93" w:name="_Toc3151"/>
      <w:r>
        <w:rPr>
          <w:rFonts w:hint="eastAsia"/>
        </w:rPr>
        <w:t>部署消防集中监控平台</w:t>
      </w:r>
      <w:bookmarkEnd w:id="92"/>
      <w:bookmarkEnd w:id="93"/>
    </w:p>
    <w:p>
      <w:pPr>
        <w:spacing w:line="360" w:lineRule="auto"/>
        <w:ind w:left="360" w:firstLine="360" w:firstLineChars="150"/>
        <w:rPr>
          <w:rFonts w:ascii="仿宋" w:hAnsi="仿宋" w:eastAsia="宋体"/>
          <w:sz w:val="24"/>
          <w:szCs w:val="24"/>
        </w:rPr>
      </w:pPr>
      <w:r>
        <w:rPr>
          <w:rFonts w:hint="eastAsia" w:ascii="仿宋" w:hAnsi="仿宋" w:eastAsia="宋体"/>
          <w:sz w:val="24"/>
          <w:szCs w:val="24"/>
        </w:rPr>
        <w:t>建立一套集中监控的消防监控平台，将黄骅港51套分散、独立的消防系统进行组网后实现集中监控管理，满足一个主控中心、两个分控中心的日常监控需求。平台实时采集消防报警系统的报警信息及设备状态信息，发生</w:t>
      </w:r>
      <w:r>
        <w:rPr>
          <w:rFonts w:hint="eastAsia" w:ascii="仿宋" w:hAnsi="仿宋" w:eastAsia="宋体"/>
          <w:sz w:val="24"/>
          <w:szCs w:val="24"/>
          <w:lang w:val="en-GB"/>
        </w:rPr>
        <w:t>报警时在地图上自动定位报警位置，以图像、语音、文字信息等方式显示报警信息</w:t>
      </w:r>
      <w:r>
        <w:rPr>
          <w:rFonts w:hint="eastAsia" w:ascii="仿宋" w:hAnsi="仿宋" w:eastAsia="宋体"/>
          <w:sz w:val="24"/>
          <w:szCs w:val="24"/>
        </w:rPr>
        <w:t>，给出出警最佳路线、火灾现场消防设备分布情况；同时采用自动化手段提供对日常消防设施的巡检管理，保障消防设施的安全可靠运行。</w:t>
      </w:r>
    </w:p>
    <w:p>
      <w:pPr>
        <w:spacing w:line="360" w:lineRule="auto"/>
        <w:ind w:left="360" w:firstLine="360" w:firstLineChars="150"/>
        <w:rPr>
          <w:rFonts w:ascii="仿宋" w:hAnsi="仿宋" w:eastAsia="宋体"/>
          <w:sz w:val="24"/>
          <w:szCs w:val="24"/>
        </w:rPr>
      </w:pPr>
      <w:r>
        <w:rPr>
          <w:rFonts w:hint="eastAsia" w:ascii="仿宋" w:hAnsi="仿宋" w:eastAsia="宋体"/>
          <w:sz w:val="24"/>
          <w:szCs w:val="24"/>
        </w:rPr>
        <w:t>平台的主要功能包括：</w:t>
      </w:r>
    </w:p>
    <w:p>
      <w:pPr>
        <w:numPr>
          <w:ilvl w:val="0"/>
          <w:numId w:val="2"/>
        </w:numPr>
        <w:adjustRightInd w:val="0"/>
        <w:snapToGrid w:val="0"/>
        <w:spacing w:line="360" w:lineRule="auto"/>
        <w:ind w:left="0" w:leftChars="0" w:firstLine="420" w:firstLineChars="0"/>
        <w:rPr>
          <w:rFonts w:hint="eastAsia" w:ascii="仿宋" w:hAnsi="仿宋" w:eastAsia="宋体" w:cs="Times New Roman"/>
          <w:b/>
          <w:bCs/>
          <w:sz w:val="24"/>
          <w:szCs w:val="24"/>
        </w:rPr>
      </w:pPr>
      <w:bookmarkStart w:id="311" w:name="_GoBack"/>
      <w:bookmarkEnd w:id="311"/>
      <w:r>
        <w:rPr>
          <w:rFonts w:hint="eastAsia" w:ascii="仿宋" w:hAnsi="仿宋" w:eastAsia="宋体" w:cs="Times New Roman"/>
          <w:b/>
          <w:bCs/>
          <w:sz w:val="24"/>
          <w:szCs w:val="24"/>
        </w:rPr>
        <w:t>报警联动</w:t>
      </w:r>
    </w:p>
    <w:p>
      <w:pPr>
        <w:spacing w:line="360" w:lineRule="auto"/>
        <w:ind w:firstLineChars="0"/>
        <w:rPr>
          <w:rFonts w:ascii="仿宋" w:hAnsi="仿宋" w:eastAsia="宋体"/>
          <w:sz w:val="24"/>
          <w:szCs w:val="24"/>
          <w:lang w:val="zh-CN"/>
        </w:rPr>
      </w:pPr>
      <w:r>
        <w:rPr>
          <w:rFonts w:hint="eastAsia" w:ascii="仿宋" w:hAnsi="仿宋" w:eastAsia="宋体"/>
          <w:sz w:val="24"/>
          <w:szCs w:val="24"/>
          <w:lang w:val="zh-CN"/>
        </w:rPr>
        <w:t>系统一旦监测到火灾报警系统温感探测异常、烟感探测异常、可燃气体探测异常等情况发生时，立即在港区地图中自动定位并高亮显示报警点，以文字、语音、图形、视频等方式及时报告警情，监控界面能及时、准确、全方位的反映报警的情况，包括报警级别、报警位置、报警现场视频，现场值班人员电话及应急处理的流程指引等信息。</w:t>
      </w:r>
    </w:p>
    <w:p>
      <w:pPr>
        <w:numPr>
          <w:ilvl w:val="0"/>
          <w:numId w:val="3"/>
        </w:numPr>
        <w:spacing w:line="360" w:lineRule="auto"/>
        <w:ind w:left="1260" w:firstLine="480"/>
        <w:rPr>
          <w:rFonts w:ascii="仿宋" w:hAnsi="仿宋" w:eastAsia="宋体"/>
          <w:sz w:val="24"/>
          <w:szCs w:val="24"/>
        </w:rPr>
      </w:pPr>
      <w:r>
        <w:rPr>
          <w:rFonts w:hint="eastAsia" w:ascii="仿宋" w:hAnsi="仿宋" w:eastAsia="宋体"/>
          <w:sz w:val="24"/>
          <w:szCs w:val="24"/>
        </w:rPr>
        <w:t>平台可以通过列表报警和地图场景显示两种形式来实现报警的集中显示、定位和统一处理功能；可根据报警类型灵活的自主定义报警事件级别；</w:t>
      </w:r>
    </w:p>
    <w:p>
      <w:pPr>
        <w:numPr>
          <w:ilvl w:val="0"/>
          <w:numId w:val="3"/>
        </w:numPr>
        <w:spacing w:line="360" w:lineRule="auto"/>
        <w:ind w:left="1260" w:firstLine="480"/>
        <w:rPr>
          <w:rFonts w:ascii="仿宋" w:hAnsi="仿宋" w:eastAsia="宋体"/>
          <w:sz w:val="24"/>
          <w:szCs w:val="24"/>
        </w:rPr>
      </w:pPr>
      <w:r>
        <w:rPr>
          <w:rFonts w:hint="eastAsia" w:ascii="仿宋" w:hAnsi="仿宋" w:eastAsia="宋体"/>
          <w:sz w:val="24"/>
          <w:szCs w:val="24"/>
        </w:rPr>
        <w:t>值班人员通过监控界面提供的各种信息，可以及时了解报警现场的情况，从而快速准确的进行处理。当发生误报警情况后，现场处理人员填报误报信息并上传值班人员消除报警。</w:t>
      </w:r>
    </w:p>
    <w:p>
      <w:pPr>
        <w:numPr>
          <w:ilvl w:val="0"/>
          <w:numId w:val="3"/>
        </w:numPr>
        <w:spacing w:line="360" w:lineRule="auto"/>
        <w:ind w:left="1260" w:firstLine="480"/>
        <w:rPr>
          <w:rFonts w:ascii="仿宋" w:hAnsi="仿宋" w:eastAsia="宋体"/>
          <w:sz w:val="24"/>
          <w:szCs w:val="24"/>
        </w:rPr>
      </w:pPr>
      <w:r>
        <w:rPr>
          <w:rFonts w:hint="eastAsia" w:ascii="仿宋" w:hAnsi="仿宋" w:eastAsia="宋体"/>
          <w:sz w:val="24"/>
          <w:szCs w:val="24"/>
        </w:rPr>
        <w:t>平台能根据警情提供出警最佳路线、火灾现场消防设备分布情况，并可以自动联动电子门禁系统（选配功能）；</w:t>
      </w:r>
    </w:p>
    <w:p>
      <w:pPr>
        <w:numPr>
          <w:ilvl w:val="0"/>
          <w:numId w:val="3"/>
        </w:numPr>
        <w:spacing w:line="360" w:lineRule="auto"/>
        <w:ind w:left="1260" w:firstLine="480"/>
        <w:rPr>
          <w:rFonts w:ascii="仿宋" w:hAnsi="仿宋" w:eastAsia="宋体"/>
          <w:sz w:val="24"/>
          <w:szCs w:val="24"/>
        </w:rPr>
      </w:pPr>
      <w:r>
        <w:rPr>
          <w:rFonts w:hint="eastAsia" w:ascii="仿宋" w:hAnsi="仿宋" w:eastAsia="宋体"/>
          <w:sz w:val="24"/>
          <w:szCs w:val="24"/>
        </w:rPr>
        <w:t>实现报警信息推送。在收到各系统报警信号时，第一时间显示报警区域空间信息，经值班监控人员确认后，启动相应的消防/安防措施，并通过微信或电话方式将报警信息推送给相关主管领导和责任人，保证报警处理的及时性；</w:t>
      </w:r>
    </w:p>
    <w:p>
      <w:pPr>
        <w:numPr>
          <w:ilvl w:val="0"/>
          <w:numId w:val="2"/>
        </w:numPr>
        <w:adjustRightInd w:val="0"/>
        <w:snapToGrid w:val="0"/>
        <w:spacing w:line="360" w:lineRule="auto"/>
        <w:ind w:left="0" w:leftChars="0" w:firstLine="420" w:firstLineChars="0"/>
        <w:rPr>
          <w:rFonts w:hint="eastAsia" w:ascii="仿宋" w:hAnsi="仿宋" w:eastAsia="宋体" w:cs="Times New Roman"/>
          <w:b/>
          <w:bCs/>
          <w:sz w:val="24"/>
          <w:szCs w:val="24"/>
        </w:rPr>
      </w:pPr>
      <w:r>
        <w:rPr>
          <w:rFonts w:hint="eastAsia" w:ascii="仿宋" w:hAnsi="仿宋" w:eastAsia="宋体" w:cs="Times New Roman"/>
          <w:b/>
          <w:bCs/>
          <w:sz w:val="24"/>
          <w:szCs w:val="24"/>
        </w:rPr>
        <w:t>巡检管理</w:t>
      </w:r>
    </w:p>
    <w:p>
      <w:pPr>
        <w:spacing w:line="360" w:lineRule="auto"/>
        <w:ind w:firstLineChars="0"/>
        <w:rPr>
          <w:rFonts w:ascii="仿宋" w:hAnsi="仿宋" w:eastAsia="宋体"/>
          <w:sz w:val="24"/>
          <w:szCs w:val="24"/>
          <w:lang w:val="zh-CN"/>
        </w:rPr>
      </w:pPr>
      <w:r>
        <w:rPr>
          <w:rFonts w:hint="eastAsia" w:ascii="仿宋" w:hAnsi="仿宋" w:eastAsia="宋体"/>
          <w:sz w:val="24"/>
          <w:szCs w:val="24"/>
          <w:lang w:val="zh-CN"/>
        </w:rPr>
        <w:t>提供手持终端扫描自动识别进行巡检的方式，加强对消防主机设备的巡检管理。巡检管理主要功能包括：</w:t>
      </w:r>
    </w:p>
    <w:p>
      <w:pPr>
        <w:numPr>
          <w:ilvl w:val="0"/>
          <w:numId w:val="3"/>
        </w:numPr>
        <w:spacing w:line="360" w:lineRule="auto"/>
        <w:ind w:left="1260" w:firstLine="480"/>
        <w:rPr>
          <w:rFonts w:ascii="仿宋" w:hAnsi="仿宋" w:eastAsia="宋体"/>
          <w:sz w:val="24"/>
          <w:szCs w:val="24"/>
          <w:lang w:val="zh-CN"/>
        </w:rPr>
      </w:pPr>
      <w:r>
        <w:rPr>
          <w:rFonts w:hint="eastAsia" w:ascii="仿宋" w:hAnsi="仿宋" w:eastAsia="宋体"/>
          <w:sz w:val="24"/>
          <w:szCs w:val="24"/>
          <w:lang w:val="zh-CN"/>
        </w:rPr>
        <w:t>巡检任务配置：后勤管理人员在消防监控平台布置巡检任务，包括巡检任务的路线、设备、巡检周期、巡检人员安排等，并推送到巡检手持机。</w:t>
      </w:r>
    </w:p>
    <w:p>
      <w:pPr>
        <w:numPr>
          <w:ilvl w:val="0"/>
          <w:numId w:val="3"/>
        </w:numPr>
        <w:spacing w:line="360" w:lineRule="auto"/>
        <w:ind w:left="1260" w:firstLine="480"/>
        <w:rPr>
          <w:rFonts w:ascii="仿宋" w:hAnsi="仿宋" w:eastAsia="宋体"/>
          <w:sz w:val="24"/>
          <w:szCs w:val="24"/>
          <w:lang w:val="zh-CN"/>
        </w:rPr>
      </w:pPr>
      <w:r>
        <w:rPr>
          <w:rFonts w:hint="eastAsia" w:ascii="仿宋" w:hAnsi="仿宋" w:eastAsia="宋体"/>
          <w:sz w:val="24"/>
          <w:szCs w:val="24"/>
          <w:lang w:val="zh-CN"/>
        </w:rPr>
        <w:t>巡检任务执行：巡检人员通过用户名和密码登录巡检手持终端，接收下载巡检任务。通过手机移动端，用户可以查看点巡检标准、点巡检任务，并进行点巡检任务的执行，将点巡检结果录入移动App，发现缺陷故障时进行记录提交并在后续触发相应处理流程。支持手机拍照作为附件上传，支持离线点巡检，数据暂存在移动端本地，待有网络时上传数据。</w:t>
      </w:r>
    </w:p>
    <w:p>
      <w:pPr>
        <w:numPr>
          <w:ilvl w:val="0"/>
          <w:numId w:val="3"/>
        </w:numPr>
        <w:spacing w:line="360" w:lineRule="auto"/>
        <w:ind w:left="1260" w:firstLine="480"/>
        <w:rPr>
          <w:rFonts w:ascii="仿宋" w:hAnsi="仿宋" w:eastAsia="宋体"/>
          <w:sz w:val="24"/>
          <w:szCs w:val="24"/>
          <w:lang w:val="zh-CN"/>
        </w:rPr>
      </w:pPr>
      <w:r>
        <w:rPr>
          <w:rFonts w:hint="eastAsia" w:ascii="仿宋" w:hAnsi="仿宋" w:eastAsia="宋体"/>
          <w:sz w:val="24"/>
          <w:szCs w:val="24"/>
          <w:lang w:val="zh-CN"/>
        </w:rPr>
        <w:t>巡检提示：对每个需要巡视设备的巡检路线以及巡视点都进行详细的标注，巡检人员可以根据提示以最短的巡检路线完成巡检工作。巡检点状态可分为以下几种：当巡检点显示为黄色时，表明该巡检点未被巡检;当巡检点显示为绿色时，表明该巡检点已经巡检，并且该巡检点上所对应的设备工作状态 都正常；当巡检点显示为红色时，表明该巡检点已经巡检，但是该巡检点所对应的设备工作状态有。</w:t>
      </w:r>
    </w:p>
    <w:p>
      <w:pPr>
        <w:numPr>
          <w:ilvl w:val="0"/>
          <w:numId w:val="3"/>
        </w:numPr>
        <w:spacing w:line="360" w:lineRule="auto"/>
        <w:ind w:left="1260" w:firstLine="480"/>
        <w:rPr>
          <w:rFonts w:ascii="仿宋" w:hAnsi="仿宋" w:eastAsia="宋体"/>
          <w:sz w:val="24"/>
          <w:szCs w:val="24"/>
          <w:lang w:val="zh-CN"/>
        </w:rPr>
      </w:pPr>
      <w:r>
        <w:rPr>
          <w:rFonts w:hint="eastAsia" w:ascii="仿宋" w:hAnsi="仿宋" w:eastAsia="宋体"/>
          <w:sz w:val="24"/>
          <w:szCs w:val="24"/>
          <w:lang w:val="zh-CN"/>
        </w:rPr>
        <w:t>巡检结果查询：后勤管理人员可以随时了解当天的设备应巡检的信息和实际的巡检实时状态，包括当天有几个巡检任务，巡检任务的执行情况或者现场拍照图像。后勤管理人员点击某个设备能查看到该设备所有的相关巡检记录及设备运行情况，也可以查看具体巡检人员的任务执行情况。</w:t>
      </w:r>
    </w:p>
    <w:p>
      <w:pPr>
        <w:numPr>
          <w:ilvl w:val="0"/>
          <w:numId w:val="3"/>
        </w:numPr>
        <w:spacing w:line="360" w:lineRule="auto"/>
        <w:ind w:left="1260" w:firstLine="480"/>
        <w:rPr>
          <w:rFonts w:ascii="仿宋" w:hAnsi="仿宋" w:eastAsia="宋体"/>
          <w:sz w:val="24"/>
          <w:szCs w:val="24"/>
          <w:lang w:val="zh-CN"/>
        </w:rPr>
      </w:pPr>
      <w:r>
        <w:rPr>
          <w:rFonts w:hint="eastAsia" w:ascii="仿宋" w:hAnsi="仿宋" w:eastAsia="宋体"/>
          <w:sz w:val="24"/>
          <w:szCs w:val="24"/>
          <w:lang w:val="zh-CN"/>
        </w:rPr>
        <w:t>巡检情况统计：后勤管理人员可以统计指定时间段内各巡检任务的执行状况、设备巡检的运行状况以及巡检人员的任务完成状况。</w:t>
      </w:r>
    </w:p>
    <w:p>
      <w:pPr>
        <w:numPr>
          <w:ilvl w:val="0"/>
          <w:numId w:val="3"/>
        </w:numPr>
        <w:spacing w:line="360" w:lineRule="auto"/>
        <w:ind w:left="1260" w:firstLine="480"/>
        <w:rPr>
          <w:rFonts w:ascii="仿宋" w:hAnsi="仿宋" w:eastAsia="宋体"/>
          <w:sz w:val="24"/>
          <w:szCs w:val="24"/>
          <w:lang w:val="zh-CN"/>
        </w:rPr>
      </w:pPr>
      <w:r>
        <w:rPr>
          <w:rFonts w:hint="eastAsia" w:ascii="仿宋" w:hAnsi="仿宋" w:eastAsia="宋体"/>
          <w:sz w:val="24"/>
          <w:szCs w:val="24"/>
          <w:lang w:val="zh-CN"/>
        </w:rPr>
        <w:t>巡检报警提醒：如果巡检人员没有按照计划要求执行巡检，系统能自动报警，把报警信息发送给相应领导人。</w:t>
      </w:r>
    </w:p>
    <w:p>
      <w:pPr>
        <w:numPr>
          <w:ilvl w:val="0"/>
          <w:numId w:val="2"/>
        </w:numPr>
        <w:adjustRightInd w:val="0"/>
        <w:snapToGrid w:val="0"/>
        <w:spacing w:line="360" w:lineRule="auto"/>
        <w:ind w:left="0" w:leftChars="0" w:firstLine="420" w:firstLineChars="0"/>
        <w:rPr>
          <w:rFonts w:hint="eastAsia" w:ascii="仿宋" w:hAnsi="仿宋" w:eastAsia="宋体" w:cs="Times New Roman"/>
          <w:b/>
          <w:bCs/>
          <w:sz w:val="24"/>
          <w:szCs w:val="24"/>
        </w:rPr>
      </w:pPr>
      <w:r>
        <w:rPr>
          <w:rFonts w:hint="eastAsia" w:ascii="仿宋" w:hAnsi="仿宋" w:eastAsia="宋体" w:cs="Times New Roman"/>
          <w:b/>
          <w:bCs/>
          <w:sz w:val="24"/>
          <w:szCs w:val="24"/>
        </w:rPr>
        <w:t>报警管理</w:t>
      </w:r>
    </w:p>
    <w:p>
      <w:pPr>
        <w:spacing w:line="360" w:lineRule="auto"/>
        <w:ind w:firstLineChars="0"/>
        <w:rPr>
          <w:rFonts w:ascii="仿宋" w:hAnsi="仿宋" w:eastAsia="宋体"/>
          <w:sz w:val="24"/>
          <w:szCs w:val="24"/>
        </w:rPr>
      </w:pPr>
      <w:r>
        <w:rPr>
          <w:rFonts w:hint="eastAsia" w:ascii="仿宋" w:hAnsi="仿宋" w:eastAsia="宋体"/>
          <w:sz w:val="24"/>
          <w:szCs w:val="24"/>
        </w:rPr>
        <w:t xml:space="preserve"> 平台要支持灵活的报警联动配置及分级报警信息推送。</w:t>
      </w:r>
    </w:p>
    <w:p>
      <w:pPr>
        <w:numPr>
          <w:ilvl w:val="0"/>
          <w:numId w:val="3"/>
        </w:numPr>
        <w:spacing w:line="360" w:lineRule="auto"/>
        <w:ind w:left="1260" w:firstLine="480"/>
        <w:rPr>
          <w:rFonts w:ascii="仿宋" w:hAnsi="仿宋" w:eastAsia="宋体"/>
          <w:sz w:val="24"/>
          <w:szCs w:val="24"/>
          <w:lang w:val="en-GB"/>
        </w:rPr>
      </w:pPr>
      <w:r>
        <w:rPr>
          <w:rFonts w:hint="eastAsia" w:ascii="仿宋" w:hAnsi="仿宋" w:eastAsia="宋体"/>
          <w:sz w:val="24"/>
          <w:szCs w:val="24"/>
          <w:lang w:val="en-GB"/>
        </w:rPr>
        <w:t>报警联动配置：支持通过平台定制各子系统之间联动的相关性，当联动逻辑需要改变时，系统提供方便的联动逻辑定制工具，快速修改联动逻辑；可以查看在何时执行了哪个联动场景；当触发某一个联动场景时，平台会执行该联动场景下的所有联动策略；</w:t>
      </w:r>
    </w:p>
    <w:p>
      <w:pPr>
        <w:numPr>
          <w:ilvl w:val="0"/>
          <w:numId w:val="3"/>
        </w:numPr>
        <w:spacing w:line="360" w:lineRule="auto"/>
        <w:ind w:left="1260" w:firstLine="480"/>
        <w:rPr>
          <w:rFonts w:ascii="仿宋" w:hAnsi="仿宋" w:eastAsia="宋体"/>
          <w:sz w:val="24"/>
          <w:szCs w:val="24"/>
          <w:lang w:val="en-GB"/>
        </w:rPr>
      </w:pPr>
      <w:r>
        <w:rPr>
          <w:rFonts w:hint="eastAsia" w:ascii="仿宋" w:hAnsi="仿宋" w:eastAsia="宋体"/>
          <w:sz w:val="24"/>
          <w:szCs w:val="24"/>
          <w:lang w:val="en-GB"/>
        </w:rPr>
        <w:t>报警分级配置：根据不同报警策略定义不同的报警级别，并设置报警级别触发的微信或电话通知人员。</w:t>
      </w:r>
    </w:p>
    <w:p>
      <w:pPr>
        <w:numPr>
          <w:ilvl w:val="0"/>
          <w:numId w:val="2"/>
        </w:numPr>
        <w:adjustRightInd w:val="0"/>
        <w:snapToGrid w:val="0"/>
        <w:spacing w:line="360" w:lineRule="auto"/>
        <w:ind w:left="0" w:leftChars="0" w:firstLine="420" w:firstLineChars="0"/>
        <w:rPr>
          <w:rFonts w:hint="eastAsia" w:ascii="仿宋" w:hAnsi="仿宋" w:eastAsia="宋体" w:cs="Times New Roman"/>
          <w:b/>
          <w:bCs/>
          <w:sz w:val="24"/>
          <w:szCs w:val="24"/>
          <w:lang w:val="en-GB"/>
        </w:rPr>
      </w:pPr>
      <w:r>
        <w:rPr>
          <w:rFonts w:hint="eastAsia" w:ascii="仿宋" w:hAnsi="仿宋" w:eastAsia="宋体" w:cs="Times New Roman"/>
          <w:b/>
          <w:bCs/>
          <w:sz w:val="24"/>
          <w:szCs w:val="24"/>
          <w:lang w:val="en-GB"/>
        </w:rPr>
        <w:t>报警分析</w:t>
      </w:r>
    </w:p>
    <w:p>
      <w:pPr>
        <w:numPr>
          <w:ilvl w:val="0"/>
          <w:numId w:val="3"/>
        </w:numPr>
        <w:spacing w:line="360" w:lineRule="auto"/>
        <w:ind w:left="1260" w:firstLine="480"/>
        <w:rPr>
          <w:rFonts w:ascii="仿宋" w:hAnsi="仿宋" w:eastAsia="宋体"/>
          <w:sz w:val="24"/>
          <w:szCs w:val="24"/>
          <w:lang w:val="en-GB"/>
        </w:rPr>
      </w:pPr>
      <w:r>
        <w:rPr>
          <w:rFonts w:hint="eastAsia" w:ascii="仿宋" w:hAnsi="仿宋" w:eastAsia="宋体"/>
          <w:sz w:val="24"/>
          <w:szCs w:val="24"/>
          <w:lang w:val="en-GB"/>
        </w:rPr>
        <w:t>可按报警类别统计历史报警发生情况，对比分析火灾报警、门禁报警、周界报警、智能分析报警等在某段时间内的实报次数、误报次数及误报率；</w:t>
      </w:r>
    </w:p>
    <w:p>
      <w:pPr>
        <w:numPr>
          <w:ilvl w:val="0"/>
          <w:numId w:val="3"/>
        </w:numPr>
        <w:spacing w:line="360" w:lineRule="auto"/>
        <w:ind w:left="1260" w:firstLine="480"/>
        <w:rPr>
          <w:rFonts w:ascii="仿宋" w:hAnsi="仿宋" w:eastAsia="宋体"/>
          <w:sz w:val="24"/>
          <w:szCs w:val="24"/>
          <w:lang w:val="en-GB"/>
        </w:rPr>
      </w:pPr>
      <w:r>
        <w:rPr>
          <w:rFonts w:hint="eastAsia" w:ascii="仿宋" w:hAnsi="仿宋" w:eastAsia="宋体"/>
          <w:sz w:val="24"/>
          <w:szCs w:val="24"/>
          <w:lang w:val="en-GB"/>
        </w:rPr>
        <w:t>提供各种报警的明细、统计报表，并能输出柱状图、饼图等直观的图形，方便用户分析报警情况。</w:t>
      </w:r>
    </w:p>
    <w:p>
      <w:pPr>
        <w:numPr>
          <w:ilvl w:val="0"/>
          <w:numId w:val="2"/>
        </w:numPr>
        <w:adjustRightInd w:val="0"/>
        <w:snapToGrid w:val="0"/>
        <w:spacing w:line="360" w:lineRule="auto"/>
        <w:ind w:left="0" w:leftChars="0" w:firstLine="420" w:firstLineChars="0"/>
        <w:rPr>
          <w:rFonts w:hint="eastAsia" w:ascii="仿宋" w:hAnsi="仿宋" w:eastAsia="宋体" w:cs="Times New Roman"/>
          <w:b/>
          <w:bCs/>
          <w:sz w:val="24"/>
          <w:szCs w:val="24"/>
          <w:lang w:val="en-GB"/>
        </w:rPr>
      </w:pPr>
      <w:r>
        <w:rPr>
          <w:rFonts w:hint="eastAsia" w:ascii="仿宋" w:hAnsi="仿宋" w:eastAsia="宋体" w:cs="Times New Roman"/>
          <w:b/>
          <w:bCs/>
          <w:sz w:val="24"/>
          <w:szCs w:val="24"/>
          <w:lang w:val="en-GB"/>
        </w:rPr>
        <w:t>值班管理</w:t>
      </w:r>
    </w:p>
    <w:p>
      <w:pPr>
        <w:spacing w:line="360" w:lineRule="auto"/>
        <w:ind w:firstLineChars="0"/>
        <w:rPr>
          <w:rFonts w:ascii="仿宋" w:hAnsi="仿宋" w:eastAsia="宋体"/>
          <w:sz w:val="24"/>
          <w:szCs w:val="24"/>
          <w:lang w:val="en-GB"/>
        </w:rPr>
      </w:pPr>
      <w:r>
        <w:rPr>
          <w:rFonts w:hint="eastAsia" w:ascii="仿宋" w:hAnsi="仿宋" w:eastAsia="宋体"/>
          <w:sz w:val="24"/>
          <w:szCs w:val="24"/>
        </w:rPr>
        <w:t>提供填写和查询值班日志、值班电话的功能。</w:t>
      </w:r>
    </w:p>
    <w:p>
      <w:pPr>
        <w:numPr>
          <w:ilvl w:val="0"/>
          <w:numId w:val="2"/>
        </w:numPr>
        <w:adjustRightInd w:val="0"/>
        <w:snapToGrid w:val="0"/>
        <w:spacing w:line="360" w:lineRule="auto"/>
        <w:ind w:left="0" w:leftChars="0" w:firstLine="420" w:firstLineChars="0"/>
        <w:rPr>
          <w:rFonts w:hint="eastAsia" w:ascii="仿宋" w:hAnsi="仿宋" w:eastAsia="宋体" w:cs="Times New Roman"/>
          <w:b/>
          <w:bCs/>
          <w:sz w:val="24"/>
          <w:szCs w:val="24"/>
          <w:lang w:val="en-GB"/>
        </w:rPr>
      </w:pPr>
      <w:r>
        <w:rPr>
          <w:rFonts w:hint="eastAsia" w:ascii="仿宋" w:hAnsi="仿宋" w:eastAsia="宋体" w:cs="Times New Roman"/>
          <w:b/>
          <w:bCs/>
          <w:sz w:val="24"/>
          <w:szCs w:val="24"/>
          <w:lang w:val="en-GB"/>
        </w:rPr>
        <w:t>公告管理</w:t>
      </w:r>
    </w:p>
    <w:p>
      <w:pPr>
        <w:spacing w:line="360" w:lineRule="auto"/>
        <w:ind w:firstLineChars="0"/>
        <w:rPr>
          <w:rFonts w:ascii="仿宋" w:hAnsi="仿宋" w:eastAsia="宋体"/>
          <w:sz w:val="24"/>
          <w:szCs w:val="24"/>
        </w:rPr>
      </w:pPr>
      <w:r>
        <w:rPr>
          <w:rFonts w:hint="eastAsia" w:ascii="仿宋" w:hAnsi="仿宋" w:eastAsia="宋体"/>
          <w:sz w:val="24"/>
          <w:szCs w:val="24"/>
        </w:rPr>
        <w:t>管理公告信息，用户在监控界面可以查询预先填写的公告，使用户能及时知道系统或者消防主机等相关信息。</w:t>
      </w:r>
    </w:p>
    <w:p>
      <w:pPr>
        <w:numPr>
          <w:ilvl w:val="0"/>
          <w:numId w:val="2"/>
        </w:numPr>
        <w:adjustRightInd w:val="0"/>
        <w:snapToGrid w:val="0"/>
        <w:spacing w:line="360" w:lineRule="auto"/>
        <w:ind w:left="0" w:leftChars="0" w:firstLine="420" w:firstLineChars="0"/>
        <w:rPr>
          <w:rFonts w:hint="eastAsia" w:ascii="仿宋" w:hAnsi="仿宋" w:eastAsia="宋体" w:cs="Times New Roman"/>
          <w:b/>
          <w:bCs/>
          <w:sz w:val="24"/>
          <w:szCs w:val="24"/>
          <w:lang w:val="en-GB"/>
        </w:rPr>
      </w:pPr>
      <w:r>
        <w:rPr>
          <w:rFonts w:hint="eastAsia" w:ascii="仿宋" w:hAnsi="仿宋" w:eastAsia="宋体" w:cs="Times New Roman"/>
          <w:b/>
          <w:bCs/>
          <w:sz w:val="24"/>
          <w:szCs w:val="24"/>
          <w:lang w:val="en-GB"/>
        </w:rPr>
        <w:t>信息查询</w:t>
      </w:r>
    </w:p>
    <w:p>
      <w:pPr>
        <w:numPr>
          <w:ilvl w:val="0"/>
          <w:numId w:val="3"/>
        </w:numPr>
        <w:spacing w:line="360" w:lineRule="auto"/>
        <w:ind w:left="1260" w:firstLine="480"/>
        <w:rPr>
          <w:rFonts w:ascii="仿宋" w:hAnsi="仿宋" w:eastAsia="宋体"/>
          <w:sz w:val="24"/>
          <w:szCs w:val="24"/>
        </w:rPr>
      </w:pPr>
      <w:r>
        <w:rPr>
          <w:rFonts w:hint="eastAsia" w:ascii="仿宋" w:hAnsi="仿宋" w:eastAsia="宋体"/>
          <w:sz w:val="24"/>
          <w:szCs w:val="24"/>
        </w:rPr>
        <w:t>能查询历史报警信息，了解报警发生及处理情况，包括报警时间、报警点、报警类型、报警级别、报警原因、处理时间、处理人、核实情况、处理说明等；</w:t>
      </w:r>
    </w:p>
    <w:p>
      <w:pPr>
        <w:numPr>
          <w:ilvl w:val="0"/>
          <w:numId w:val="3"/>
        </w:numPr>
        <w:spacing w:line="360" w:lineRule="auto"/>
        <w:ind w:left="1260" w:firstLine="480"/>
        <w:rPr>
          <w:rFonts w:ascii="仿宋" w:hAnsi="仿宋" w:eastAsia="宋体"/>
          <w:sz w:val="24"/>
          <w:szCs w:val="24"/>
        </w:rPr>
      </w:pPr>
      <w:r>
        <w:rPr>
          <w:rFonts w:hint="eastAsia" w:ascii="仿宋" w:hAnsi="仿宋" w:eastAsia="宋体"/>
          <w:sz w:val="24"/>
          <w:szCs w:val="24"/>
        </w:rPr>
        <w:t>能查询系统的操作日志信息、值班日志信息等各种信息。系统的所有报表都能输出到Excel，方便用户保存和作进一步处理。</w:t>
      </w:r>
    </w:p>
    <w:p>
      <w:pPr>
        <w:numPr>
          <w:ilvl w:val="0"/>
          <w:numId w:val="2"/>
        </w:numPr>
        <w:adjustRightInd w:val="0"/>
        <w:snapToGrid w:val="0"/>
        <w:spacing w:line="360" w:lineRule="auto"/>
        <w:ind w:left="0" w:leftChars="0" w:firstLine="420" w:firstLineChars="0"/>
        <w:rPr>
          <w:rFonts w:hint="eastAsia" w:ascii="仿宋" w:hAnsi="仿宋" w:eastAsia="宋体" w:cs="Times New Roman"/>
          <w:b/>
          <w:bCs/>
          <w:sz w:val="24"/>
          <w:szCs w:val="24"/>
          <w:lang w:val="en-GB"/>
        </w:rPr>
      </w:pPr>
      <w:r>
        <w:rPr>
          <w:rFonts w:hint="eastAsia" w:ascii="仿宋" w:hAnsi="仿宋" w:eastAsia="宋体" w:cs="Times New Roman"/>
          <w:b/>
          <w:bCs/>
          <w:sz w:val="24"/>
          <w:szCs w:val="24"/>
          <w:lang w:val="en-GB"/>
        </w:rPr>
        <w:t>用户及权限管理</w:t>
      </w:r>
    </w:p>
    <w:p>
      <w:pPr>
        <w:spacing w:line="360" w:lineRule="auto"/>
        <w:ind w:firstLineChars="0"/>
        <w:rPr>
          <w:rFonts w:ascii="仿宋" w:hAnsi="仿宋" w:eastAsia="宋体"/>
          <w:sz w:val="24"/>
          <w:szCs w:val="24"/>
        </w:rPr>
      </w:pPr>
      <w:r>
        <w:rPr>
          <w:rFonts w:hint="eastAsia" w:ascii="仿宋" w:hAnsi="仿宋" w:eastAsia="宋体"/>
          <w:sz w:val="24"/>
          <w:szCs w:val="24"/>
        </w:rPr>
        <w:t>具有完善的用户管理功能，能够设置不同权限的用户组，可对不同的组设置不同的管理权限，组内的用户自动继承组的权限，未经过授权的用户将不能使用平台，对无权限查看和管理的相关内容能够进行自动隐藏。</w:t>
      </w:r>
    </w:p>
    <w:p>
      <w:pPr>
        <w:numPr>
          <w:ilvl w:val="0"/>
          <w:numId w:val="2"/>
        </w:numPr>
        <w:adjustRightInd w:val="0"/>
        <w:snapToGrid w:val="0"/>
        <w:spacing w:line="360" w:lineRule="auto"/>
        <w:ind w:left="0" w:leftChars="0" w:firstLine="420" w:firstLineChars="0"/>
        <w:rPr>
          <w:rFonts w:hint="eastAsia" w:ascii="仿宋" w:hAnsi="仿宋" w:eastAsia="宋体" w:cs="Times New Roman"/>
          <w:b/>
          <w:bCs/>
          <w:sz w:val="24"/>
          <w:szCs w:val="24"/>
        </w:rPr>
      </w:pPr>
      <w:r>
        <w:rPr>
          <w:rFonts w:hint="eastAsia" w:ascii="仿宋" w:hAnsi="仿宋" w:eastAsia="宋体" w:cs="Times New Roman"/>
          <w:b/>
          <w:bCs/>
          <w:sz w:val="24"/>
          <w:szCs w:val="24"/>
        </w:rPr>
        <w:t>工程配置</w:t>
      </w:r>
    </w:p>
    <w:p>
      <w:pPr>
        <w:spacing w:line="360" w:lineRule="auto"/>
        <w:ind w:firstLineChars="0"/>
        <w:rPr>
          <w:rFonts w:ascii="仿宋" w:hAnsi="仿宋" w:eastAsia="宋体"/>
          <w:sz w:val="24"/>
          <w:szCs w:val="24"/>
        </w:rPr>
      </w:pPr>
      <w:r>
        <w:rPr>
          <w:rFonts w:hint="eastAsia" w:ascii="仿宋" w:hAnsi="仿宋" w:eastAsia="宋体"/>
          <w:sz w:val="24"/>
          <w:szCs w:val="24"/>
        </w:rPr>
        <w:t>平台要提供用户配置功能，当增加同类型的报警点位后，用户能通过界面操作实现新设备的标绘。</w:t>
      </w:r>
    </w:p>
    <w:p>
      <w:pPr>
        <w:numPr>
          <w:ilvl w:val="0"/>
          <w:numId w:val="3"/>
        </w:numPr>
        <w:spacing w:line="360" w:lineRule="auto"/>
        <w:ind w:left="1260" w:firstLine="480"/>
        <w:rPr>
          <w:rFonts w:ascii="仿宋" w:hAnsi="仿宋" w:eastAsia="宋体"/>
          <w:sz w:val="24"/>
          <w:szCs w:val="24"/>
          <w:lang w:val="en-GB"/>
        </w:rPr>
      </w:pPr>
      <w:r>
        <w:rPr>
          <w:rFonts w:hint="eastAsia" w:ascii="仿宋" w:hAnsi="仿宋" w:eastAsia="宋体"/>
          <w:sz w:val="24"/>
          <w:szCs w:val="24"/>
          <w:lang w:val="en-GB"/>
        </w:rPr>
        <w:t>区域配置：区域是系统对火灾点位、视频点位、门禁点位进行统一管理的基础，对港区进行整体区域划分，便于监控设备的统一管理，也便于厂内人员分布的跟踪。</w:t>
      </w:r>
    </w:p>
    <w:p>
      <w:pPr>
        <w:numPr>
          <w:ilvl w:val="0"/>
          <w:numId w:val="3"/>
        </w:numPr>
        <w:spacing w:line="360" w:lineRule="auto"/>
        <w:ind w:left="1260" w:firstLine="480"/>
        <w:rPr>
          <w:rFonts w:ascii="仿宋" w:hAnsi="仿宋" w:eastAsia="宋体"/>
          <w:sz w:val="24"/>
          <w:szCs w:val="24"/>
          <w:lang w:val="en-GB"/>
        </w:rPr>
      </w:pPr>
      <w:r>
        <w:rPr>
          <w:rFonts w:hint="eastAsia" w:ascii="仿宋" w:hAnsi="仿宋" w:eastAsia="宋体"/>
          <w:sz w:val="24"/>
          <w:szCs w:val="24"/>
          <w:lang w:val="en-GB"/>
        </w:rPr>
        <w:t>设备管理：按区域划分，对火灾报警点、消防设施、视频设备、门禁设备等行统一管理。在地图场景中可添加设备信息，标绘设备位置,通过相应的匹配操作，实现远程监控及报警联动响应。</w:t>
      </w:r>
    </w:p>
    <w:p>
      <w:pPr>
        <w:numPr>
          <w:ilvl w:val="0"/>
          <w:numId w:val="2"/>
        </w:numPr>
        <w:adjustRightInd w:val="0"/>
        <w:snapToGrid w:val="0"/>
        <w:spacing w:line="360" w:lineRule="auto"/>
        <w:ind w:left="0" w:leftChars="0" w:firstLine="420" w:firstLineChars="0"/>
        <w:rPr>
          <w:rFonts w:hint="eastAsia" w:ascii="仿宋" w:hAnsi="仿宋" w:eastAsia="宋体" w:cs="Times New Roman"/>
          <w:b/>
          <w:bCs/>
          <w:sz w:val="24"/>
          <w:szCs w:val="24"/>
        </w:rPr>
      </w:pPr>
      <w:r>
        <w:rPr>
          <w:rFonts w:hint="eastAsia" w:ascii="仿宋" w:hAnsi="仿宋" w:eastAsia="宋体" w:cs="Times New Roman"/>
          <w:b/>
          <w:bCs/>
          <w:sz w:val="24"/>
          <w:szCs w:val="24"/>
        </w:rPr>
        <w:t>数据维护</w:t>
      </w:r>
    </w:p>
    <w:p>
      <w:pPr>
        <w:spacing w:line="360" w:lineRule="auto"/>
        <w:ind w:firstLineChars="0"/>
        <w:rPr>
          <w:rFonts w:ascii="仿宋" w:hAnsi="仿宋" w:eastAsia="宋体"/>
          <w:sz w:val="24"/>
          <w:szCs w:val="24"/>
        </w:rPr>
      </w:pPr>
      <w:r>
        <w:rPr>
          <w:rFonts w:hint="eastAsia" w:ascii="仿宋" w:hAnsi="仿宋" w:eastAsia="宋体"/>
          <w:sz w:val="24"/>
          <w:szCs w:val="24"/>
        </w:rPr>
        <w:t>提供对数据进行备份恢复的功能。</w:t>
      </w:r>
    </w:p>
    <w:p>
      <w:pPr>
        <w:spacing w:line="360" w:lineRule="auto"/>
        <w:ind w:firstLineChars="0"/>
        <w:rPr>
          <w:rFonts w:ascii="仿宋" w:hAnsi="仿宋" w:eastAsia="宋体"/>
          <w:sz w:val="24"/>
          <w:szCs w:val="24"/>
        </w:rPr>
      </w:pPr>
    </w:p>
    <w:p>
      <w:pPr>
        <w:pStyle w:val="5"/>
      </w:pPr>
      <w:bookmarkStart w:id="94" w:name="_Toc23430"/>
      <w:bookmarkStart w:id="95" w:name="_Toc8673"/>
      <w:r>
        <w:rPr>
          <w:rFonts w:hint="eastAsia"/>
        </w:rPr>
        <w:t>搭建消防监控专网</w:t>
      </w:r>
      <w:bookmarkEnd w:id="94"/>
      <w:bookmarkEnd w:id="95"/>
    </w:p>
    <w:p>
      <w:pPr>
        <w:spacing w:line="360" w:lineRule="auto"/>
        <w:ind w:left="360" w:firstLine="360" w:firstLineChars="150"/>
        <w:rPr>
          <w:rFonts w:ascii="仿宋" w:hAnsi="仿宋" w:eastAsia="宋体"/>
          <w:sz w:val="24"/>
          <w:szCs w:val="24"/>
        </w:rPr>
      </w:pPr>
      <w:r>
        <w:rPr>
          <w:rFonts w:hint="eastAsia" w:ascii="仿宋" w:hAnsi="仿宋" w:eastAsia="宋体"/>
          <w:sz w:val="24"/>
          <w:szCs w:val="24"/>
        </w:rPr>
        <w:t>黄骅港目前51套消防系统是分散、独立部署的，各系统间无法实现信息共享。为保证消防系统安全、可靠、稳定运行，需要建立与生产控制网、企业内网、视频系统网、门禁系统网相对独立的消防专网。</w:t>
      </w:r>
    </w:p>
    <w:p>
      <w:pPr>
        <w:spacing w:line="360" w:lineRule="auto"/>
        <w:ind w:left="360" w:firstLine="360" w:firstLineChars="150"/>
        <w:rPr>
          <w:rFonts w:ascii="仿宋" w:hAnsi="仿宋" w:eastAsia="宋体"/>
          <w:sz w:val="24"/>
          <w:szCs w:val="24"/>
        </w:rPr>
      </w:pPr>
      <w:r>
        <w:rPr>
          <w:rFonts w:hint="eastAsia" w:ascii="仿宋" w:hAnsi="仿宋" w:eastAsia="宋体"/>
          <w:sz w:val="24"/>
          <w:szCs w:val="24"/>
        </w:rPr>
        <w:t>依据降本提效、资源最大化共享原则，需要根据现场实际情况，进行网络结构综合优化，采取就近接入汇聚点的方式，将51套消防系统组成一个可联通的网络，数据最终能汇聚到主控中心实现集中监控，满足一个主控中心、两个分控中心的日常监控需求。同时在发生警情时，消防监控系统能迅速与视频系统、门禁系统进行联动响应。</w:t>
      </w:r>
    </w:p>
    <w:p>
      <w:pPr>
        <w:spacing w:line="360" w:lineRule="auto"/>
        <w:ind w:left="360" w:firstLine="360" w:firstLineChars="150"/>
        <w:rPr>
          <w:rFonts w:ascii="仿宋" w:hAnsi="仿宋" w:eastAsia="宋体"/>
          <w:sz w:val="24"/>
          <w:szCs w:val="24"/>
        </w:rPr>
      </w:pPr>
    </w:p>
    <w:p>
      <w:pPr>
        <w:pStyle w:val="5"/>
      </w:pPr>
      <w:bookmarkStart w:id="96" w:name="_Toc2774"/>
      <w:bookmarkStart w:id="97" w:name="_Toc27187"/>
      <w:r>
        <w:rPr>
          <w:rFonts w:hint="eastAsia"/>
        </w:rPr>
        <w:t>建设消防集控大厅</w:t>
      </w:r>
      <w:bookmarkEnd w:id="96"/>
      <w:bookmarkEnd w:id="97"/>
    </w:p>
    <w:p>
      <w:pPr>
        <w:spacing w:line="360" w:lineRule="auto"/>
        <w:ind w:left="360" w:firstLine="360" w:firstLineChars="150"/>
        <w:rPr>
          <w:rFonts w:ascii="仿宋" w:hAnsi="仿宋" w:eastAsia="宋体"/>
          <w:sz w:val="24"/>
          <w:szCs w:val="24"/>
        </w:rPr>
      </w:pPr>
      <w:r>
        <w:rPr>
          <w:rFonts w:hint="eastAsia" w:ascii="仿宋" w:hAnsi="仿宋" w:eastAsia="宋体"/>
          <w:sz w:val="24"/>
          <w:szCs w:val="24"/>
        </w:rPr>
        <w:t>黄骅港新建消防站，主控中心在消防站。在消防站建设</w:t>
      </w:r>
      <w:r>
        <w:rPr>
          <w:rFonts w:hint="eastAsia" w:ascii="仿宋" w:hAnsi="仿宋" w:eastAsia="宋体"/>
          <w:sz w:val="24"/>
          <w:szCs w:val="24"/>
          <w:lang w:val="en-US" w:eastAsia="zh-CN"/>
        </w:rPr>
        <w:t>显示系统（设备利旧）</w:t>
      </w:r>
      <w:r>
        <w:rPr>
          <w:rFonts w:hint="eastAsia" w:ascii="仿宋" w:hAnsi="仿宋" w:eastAsia="宋体"/>
          <w:sz w:val="24"/>
          <w:szCs w:val="24"/>
        </w:rPr>
        <w:t>，满足值班人员的日常消防监控需，配置满足4个工位的操作台。在大厅集中办理动火票，有火警第一时间拉警报后消防人员能立即出警。</w:t>
      </w:r>
    </w:p>
    <w:bookmarkEnd w:id="88"/>
    <w:bookmarkEnd w:id="89"/>
    <w:bookmarkEnd w:id="90"/>
    <w:bookmarkEnd w:id="91"/>
    <w:p>
      <w:pPr>
        <w:spacing w:line="240" w:lineRule="auto"/>
        <w:ind w:firstLine="0" w:firstLineChars="0"/>
        <w:rPr>
          <w:rFonts w:ascii="仿宋" w:hAnsi="仿宋" w:eastAsia="宋体" w:cs="Times New Roman"/>
          <w:color w:val="000000"/>
          <w:sz w:val="24"/>
          <w:szCs w:val="24"/>
        </w:rPr>
      </w:pPr>
    </w:p>
    <w:p>
      <w:pPr>
        <w:pStyle w:val="2"/>
      </w:pPr>
      <w:bookmarkStart w:id="98" w:name="_Toc10155"/>
      <w:bookmarkStart w:id="99" w:name="_Toc20925"/>
      <w:bookmarkStart w:id="100" w:name="_Toc10693"/>
      <w:bookmarkStart w:id="101" w:name="_Toc6719"/>
      <w:bookmarkStart w:id="102" w:name="_Toc3509"/>
      <w:bookmarkStart w:id="103" w:name="_Toc18479"/>
      <w:bookmarkStart w:id="104" w:name="_Toc12506"/>
      <w:bookmarkStart w:id="105" w:name="_Toc4152"/>
      <w:r>
        <w:rPr>
          <w:rFonts w:hint="eastAsia"/>
        </w:rPr>
        <w:t>技术</w:t>
      </w:r>
      <w:bookmarkEnd w:id="98"/>
      <w:bookmarkEnd w:id="99"/>
      <w:bookmarkEnd w:id="100"/>
      <w:bookmarkEnd w:id="101"/>
      <w:bookmarkEnd w:id="102"/>
      <w:r>
        <w:rPr>
          <w:rFonts w:hint="eastAsia"/>
        </w:rPr>
        <w:t>要求</w:t>
      </w:r>
      <w:bookmarkEnd w:id="103"/>
      <w:bookmarkEnd w:id="104"/>
      <w:bookmarkEnd w:id="105"/>
    </w:p>
    <w:p>
      <w:pPr>
        <w:pStyle w:val="3"/>
      </w:pPr>
      <w:bookmarkStart w:id="106" w:name="_Toc17227"/>
      <w:bookmarkStart w:id="107" w:name="_Toc15827"/>
      <w:bookmarkStart w:id="108" w:name="_Toc5905"/>
      <w:bookmarkStart w:id="109" w:name="_Toc22496"/>
      <w:bookmarkStart w:id="110" w:name="_Toc17279"/>
      <w:bookmarkStart w:id="111" w:name="_Toc13368"/>
      <w:bookmarkStart w:id="112" w:name="_Toc1270"/>
      <w:bookmarkStart w:id="113" w:name="_Toc24066"/>
      <w:r>
        <w:rPr>
          <w:rFonts w:hint="eastAsia"/>
        </w:rPr>
        <w:t>消防联网集中监控平台</w:t>
      </w:r>
      <w:bookmarkEnd w:id="106"/>
      <w:bookmarkEnd w:id="107"/>
      <w:bookmarkEnd w:id="108"/>
      <w:bookmarkEnd w:id="109"/>
      <w:r>
        <w:rPr>
          <w:rFonts w:hint="eastAsia"/>
        </w:rPr>
        <w:t>整体设计</w:t>
      </w:r>
      <w:bookmarkEnd w:id="110"/>
      <w:bookmarkEnd w:id="111"/>
      <w:bookmarkEnd w:id="112"/>
      <w:bookmarkEnd w:id="113"/>
    </w:p>
    <w:p>
      <w:pPr>
        <w:pStyle w:val="4"/>
        <w:ind w:firstLine="482"/>
        <w:rPr>
          <w:rFonts w:ascii="黑体" w:hAnsi="黑体" w:eastAsia="黑体" w:cs="黑体"/>
          <w:sz w:val="24"/>
          <w:szCs w:val="24"/>
          <w:lang w:val="en-GB"/>
        </w:rPr>
      </w:pPr>
      <w:bookmarkStart w:id="114" w:name="_Toc13638"/>
      <w:bookmarkStart w:id="115" w:name="_Toc22912"/>
      <w:bookmarkStart w:id="116" w:name="_Toc9754"/>
      <w:bookmarkStart w:id="117" w:name="_Toc17745"/>
      <w:r>
        <w:rPr>
          <w:rFonts w:hint="eastAsia" w:ascii="黑体" w:hAnsi="黑体" w:eastAsia="黑体" w:cs="黑体"/>
          <w:sz w:val="24"/>
          <w:szCs w:val="24"/>
          <w:lang w:val="en-GB"/>
        </w:rPr>
        <w:t>监控平台管理软件功能</w:t>
      </w:r>
      <w:bookmarkEnd w:id="114"/>
      <w:bookmarkEnd w:id="115"/>
      <w:bookmarkEnd w:id="116"/>
    </w:p>
    <w:p>
      <w:pPr>
        <w:pStyle w:val="5"/>
      </w:pPr>
      <w:bookmarkStart w:id="118" w:name="_Toc1312"/>
      <w:bookmarkStart w:id="119" w:name="_Toc19328"/>
      <w:r>
        <w:rPr>
          <w:rFonts w:hint="eastAsia"/>
        </w:rPr>
        <w:t>报警监控</w:t>
      </w:r>
      <w:bookmarkEnd w:id="118"/>
      <w:bookmarkEnd w:id="119"/>
    </w:p>
    <w:p>
      <w:pPr>
        <w:ind w:firstLine="480"/>
        <w:rPr>
          <w:rFonts w:ascii="仿宋" w:hAnsi="仿宋" w:eastAsia="宋体" w:cs="仿宋"/>
          <w:sz w:val="24"/>
          <w:szCs w:val="24"/>
        </w:rPr>
      </w:pPr>
      <w:r>
        <w:rPr>
          <w:rFonts w:hint="eastAsia" w:ascii="仿宋" w:hAnsi="仿宋" w:eastAsia="宋体" w:cs="仿宋"/>
          <w:sz w:val="24"/>
          <w:szCs w:val="24"/>
        </w:rPr>
        <w:t>1.</w:t>
      </w:r>
      <w:r>
        <w:rPr>
          <w:rFonts w:hint="eastAsia" w:ascii="仿宋" w:hAnsi="仿宋" w:eastAsia="宋体" w:cs="仿宋"/>
          <w:sz w:val="24"/>
          <w:szCs w:val="24"/>
        </w:rPr>
        <w:tab/>
      </w:r>
      <w:r>
        <w:rPr>
          <w:rFonts w:hint="eastAsia" w:ascii="仿宋" w:hAnsi="仿宋" w:eastAsia="宋体" w:cs="仿宋"/>
          <w:sz w:val="24"/>
          <w:szCs w:val="24"/>
        </w:rPr>
        <w:t>报警实时监控</w:t>
      </w:r>
    </w:p>
    <w:p>
      <w:pPr>
        <w:ind w:firstLine="480"/>
        <w:rPr>
          <w:rFonts w:ascii="仿宋" w:hAnsi="仿宋" w:eastAsia="宋体" w:cs="仿宋"/>
          <w:sz w:val="24"/>
          <w:szCs w:val="24"/>
        </w:rPr>
      </w:pPr>
      <w:r>
        <w:rPr>
          <w:rFonts w:hint="eastAsia" w:ascii="仿宋" w:hAnsi="仿宋" w:eastAsia="宋体" w:cs="仿宋"/>
          <w:sz w:val="24"/>
          <w:szCs w:val="24"/>
        </w:rPr>
        <w:t>本模块功能主要是实现对接收到的报警详细信息进行实时显示，显示当前用户所管辖区域24小时内未处理报警信息列表，报警信息数据库每3秒同步更新一次。当收到报警信息后，服务器会及时把报警的详细信息通知相关值勤人员及上级主管，使其在第一时间内了解火灾发生的实际情况，而后根据用户提供的火警反馈信息进行相关处理并在系统中进行同步记录等。</w:t>
      </w:r>
    </w:p>
    <w:p>
      <w:pPr>
        <w:ind w:firstLine="480"/>
        <w:rPr>
          <w:rFonts w:ascii="仿宋" w:hAnsi="仿宋" w:eastAsia="宋体" w:cs="仿宋"/>
          <w:sz w:val="24"/>
          <w:szCs w:val="24"/>
        </w:rPr>
      </w:pPr>
      <w:r>
        <w:rPr>
          <w:rFonts w:hint="eastAsia" w:ascii="仿宋" w:hAnsi="仿宋" w:eastAsia="宋体" w:cs="仿宋"/>
          <w:sz w:val="24"/>
          <w:szCs w:val="24"/>
        </w:rPr>
        <w:t xml:space="preserve"> </w:t>
      </w:r>
    </w:p>
    <w:p>
      <w:pPr>
        <w:ind w:firstLine="480"/>
        <w:rPr>
          <w:rFonts w:ascii="仿宋" w:hAnsi="仿宋" w:eastAsia="宋体" w:cs="仿宋"/>
          <w:sz w:val="24"/>
          <w:szCs w:val="24"/>
        </w:rPr>
      </w:pPr>
      <w:r>
        <w:rPr>
          <w:rFonts w:hint="eastAsia" w:ascii="仿宋" w:hAnsi="仿宋" w:eastAsia="宋体" w:cs="仿宋"/>
          <w:sz w:val="24"/>
          <w:szCs w:val="24"/>
        </w:rPr>
        <w:t>2.</w:t>
      </w:r>
      <w:r>
        <w:rPr>
          <w:rFonts w:hint="eastAsia" w:ascii="仿宋" w:hAnsi="仿宋" w:eastAsia="宋体" w:cs="仿宋"/>
          <w:sz w:val="24"/>
          <w:szCs w:val="24"/>
        </w:rPr>
        <w:tab/>
      </w:r>
      <w:r>
        <w:rPr>
          <w:rFonts w:hint="eastAsia" w:ascii="仿宋" w:hAnsi="仿宋" w:eastAsia="宋体" w:cs="仿宋"/>
          <w:sz w:val="24"/>
          <w:szCs w:val="24"/>
        </w:rPr>
        <w:t>报警信息列表</w:t>
      </w:r>
    </w:p>
    <w:p>
      <w:pPr>
        <w:ind w:firstLine="480"/>
        <w:rPr>
          <w:rFonts w:ascii="仿宋" w:hAnsi="仿宋" w:eastAsia="宋体" w:cs="仿宋"/>
          <w:sz w:val="24"/>
          <w:szCs w:val="24"/>
        </w:rPr>
      </w:pPr>
      <w:r>
        <w:rPr>
          <w:rFonts w:hint="eastAsia" w:ascii="仿宋" w:hAnsi="仿宋" w:eastAsia="宋体" w:cs="仿宋"/>
          <w:sz w:val="24"/>
          <w:szCs w:val="24"/>
        </w:rPr>
        <w:t>该模块的功能主要是针对火警信息的管理和历史数据的查找与维护。具备对报警信息列表的管理、查看及修改</w:t>
      </w:r>
    </w:p>
    <w:p>
      <w:pPr>
        <w:ind w:firstLine="480"/>
        <w:rPr>
          <w:rFonts w:ascii="仿宋" w:hAnsi="仿宋" w:eastAsia="宋体" w:cs="仿宋"/>
          <w:sz w:val="24"/>
          <w:szCs w:val="24"/>
        </w:rPr>
      </w:pPr>
      <w:r>
        <w:rPr>
          <w:rFonts w:hint="eastAsia" w:ascii="仿宋" w:hAnsi="仿宋" w:eastAsia="宋体" w:cs="仿宋"/>
          <w:sz w:val="24"/>
          <w:szCs w:val="24"/>
        </w:rPr>
        <w:t xml:space="preserve"> </w:t>
      </w:r>
    </w:p>
    <w:p>
      <w:pPr>
        <w:ind w:firstLine="480"/>
        <w:rPr>
          <w:rFonts w:ascii="仿宋" w:hAnsi="仿宋" w:eastAsia="宋体" w:cs="仿宋"/>
          <w:sz w:val="24"/>
          <w:szCs w:val="24"/>
        </w:rPr>
      </w:pPr>
      <w:r>
        <w:rPr>
          <w:rFonts w:hint="eastAsia" w:ascii="仿宋" w:hAnsi="仿宋" w:eastAsia="宋体" w:cs="仿宋"/>
          <w:sz w:val="24"/>
          <w:szCs w:val="24"/>
        </w:rPr>
        <w:t>3.</w:t>
      </w:r>
      <w:r>
        <w:rPr>
          <w:rFonts w:hint="eastAsia" w:ascii="仿宋" w:hAnsi="仿宋" w:eastAsia="宋体" w:cs="仿宋"/>
          <w:sz w:val="24"/>
          <w:szCs w:val="24"/>
        </w:rPr>
        <w:tab/>
      </w:r>
      <w:r>
        <w:rPr>
          <w:rFonts w:hint="eastAsia" w:ascii="仿宋" w:hAnsi="仿宋" w:eastAsia="宋体" w:cs="仿宋"/>
          <w:sz w:val="24"/>
          <w:szCs w:val="24"/>
        </w:rPr>
        <w:t>报警成灾汇总</w:t>
      </w:r>
    </w:p>
    <w:p>
      <w:pPr>
        <w:ind w:firstLine="480"/>
        <w:rPr>
          <w:rFonts w:ascii="仿宋" w:hAnsi="仿宋" w:eastAsia="宋体" w:cs="仿宋"/>
          <w:sz w:val="24"/>
          <w:szCs w:val="24"/>
        </w:rPr>
      </w:pPr>
      <w:r>
        <w:rPr>
          <w:rFonts w:hint="eastAsia" w:ascii="仿宋" w:hAnsi="仿宋" w:eastAsia="宋体" w:cs="仿宋"/>
          <w:sz w:val="24"/>
          <w:szCs w:val="24"/>
        </w:rPr>
        <w:t>该模块的功能主要是实现火灾管理，即实现将全部火灾上报的报警信息关联在一起进行统计分析，同时还具备对火灾其它信息（如伤亡人数、经济损失等数据）进行记录与统计，分析出详细的火灾发生情况，为相关政策的制订提供参考依据。</w:t>
      </w:r>
    </w:p>
    <w:p>
      <w:pPr>
        <w:ind w:firstLine="480"/>
        <w:rPr>
          <w:rFonts w:ascii="仿宋" w:hAnsi="仿宋" w:eastAsia="宋体" w:cs="仿宋"/>
          <w:sz w:val="24"/>
          <w:szCs w:val="24"/>
        </w:rPr>
      </w:pPr>
      <w:r>
        <w:rPr>
          <w:rFonts w:hint="eastAsia" w:ascii="仿宋" w:hAnsi="仿宋" w:eastAsia="宋体" w:cs="仿宋"/>
          <w:sz w:val="24"/>
          <w:szCs w:val="24"/>
        </w:rPr>
        <w:t>4.</w:t>
      </w:r>
      <w:r>
        <w:rPr>
          <w:rFonts w:hint="eastAsia" w:ascii="仿宋" w:hAnsi="仿宋" w:eastAsia="宋体" w:cs="仿宋"/>
          <w:sz w:val="24"/>
          <w:szCs w:val="24"/>
        </w:rPr>
        <w:tab/>
      </w:r>
      <w:r>
        <w:rPr>
          <w:rFonts w:hint="eastAsia" w:ascii="仿宋" w:hAnsi="仿宋" w:eastAsia="宋体" w:cs="仿宋"/>
          <w:sz w:val="24"/>
          <w:szCs w:val="24"/>
        </w:rPr>
        <w:t>报警图表统计</w:t>
      </w:r>
    </w:p>
    <w:p>
      <w:pPr>
        <w:ind w:firstLine="480"/>
        <w:rPr>
          <w:rFonts w:ascii="仿宋" w:hAnsi="仿宋" w:eastAsia="宋体" w:cs="仿宋"/>
          <w:sz w:val="24"/>
          <w:szCs w:val="24"/>
        </w:rPr>
      </w:pPr>
      <w:r>
        <w:rPr>
          <w:rFonts w:hint="eastAsia" w:ascii="仿宋" w:hAnsi="仿宋" w:eastAsia="宋体" w:cs="仿宋"/>
          <w:sz w:val="24"/>
          <w:szCs w:val="24"/>
        </w:rPr>
        <w:t>火灾报警记录将提供以下图表形式，并每5分钟更新一次</w:t>
      </w:r>
    </w:p>
    <w:p>
      <w:pPr>
        <w:ind w:firstLine="480"/>
        <w:rPr>
          <w:rFonts w:ascii="仿宋" w:hAnsi="仿宋" w:eastAsia="宋体" w:cs="仿宋"/>
          <w:sz w:val="24"/>
          <w:szCs w:val="24"/>
        </w:rPr>
      </w:pPr>
      <w:r>
        <w:rPr>
          <w:rFonts w:hint="eastAsia" w:ascii="仿宋" w:hAnsi="仿宋" w:eastAsia="宋体" w:cs="仿宋"/>
          <w:sz w:val="24"/>
          <w:szCs w:val="24"/>
        </w:rPr>
        <w:t></w:t>
      </w:r>
      <w:r>
        <w:rPr>
          <w:rFonts w:hint="eastAsia" w:ascii="仿宋" w:hAnsi="仿宋" w:eastAsia="宋体" w:cs="仿宋"/>
          <w:sz w:val="24"/>
          <w:szCs w:val="24"/>
        </w:rPr>
        <w:tab/>
      </w:r>
      <w:r>
        <w:rPr>
          <w:rFonts w:hint="eastAsia" w:ascii="仿宋" w:hAnsi="仿宋" w:eastAsia="宋体" w:cs="仿宋"/>
          <w:sz w:val="24"/>
          <w:szCs w:val="24"/>
        </w:rPr>
        <w:t>柱状图：提供当前月每天的报警统计</w:t>
      </w:r>
    </w:p>
    <w:p>
      <w:pPr>
        <w:ind w:firstLine="480"/>
        <w:rPr>
          <w:rFonts w:ascii="仿宋" w:hAnsi="仿宋" w:eastAsia="宋体" w:cs="仿宋"/>
          <w:sz w:val="24"/>
          <w:szCs w:val="24"/>
        </w:rPr>
      </w:pPr>
      <w:r>
        <w:rPr>
          <w:rFonts w:hint="eastAsia" w:ascii="仿宋" w:hAnsi="仿宋" w:eastAsia="宋体" w:cs="仿宋"/>
          <w:sz w:val="24"/>
          <w:szCs w:val="24"/>
        </w:rPr>
        <w:t></w:t>
      </w:r>
      <w:r>
        <w:rPr>
          <w:rFonts w:hint="eastAsia" w:ascii="仿宋" w:hAnsi="仿宋" w:eastAsia="宋体" w:cs="仿宋"/>
          <w:sz w:val="24"/>
          <w:szCs w:val="24"/>
        </w:rPr>
        <w:tab/>
      </w:r>
      <w:r>
        <w:rPr>
          <w:rFonts w:hint="eastAsia" w:ascii="仿宋" w:hAnsi="仿宋" w:eastAsia="宋体" w:cs="仿宋"/>
          <w:sz w:val="24"/>
          <w:szCs w:val="24"/>
        </w:rPr>
        <w:t>饼状图1：提供当前月报警类型的统计</w:t>
      </w:r>
    </w:p>
    <w:p>
      <w:pPr>
        <w:ind w:firstLine="480"/>
        <w:rPr>
          <w:rFonts w:ascii="仿宋" w:hAnsi="仿宋" w:eastAsia="宋体" w:cs="仿宋"/>
          <w:sz w:val="24"/>
          <w:szCs w:val="24"/>
        </w:rPr>
      </w:pPr>
      <w:r>
        <w:rPr>
          <w:rFonts w:hint="eastAsia" w:ascii="仿宋" w:hAnsi="仿宋" w:eastAsia="宋体" w:cs="仿宋"/>
          <w:sz w:val="24"/>
          <w:szCs w:val="24"/>
        </w:rPr>
        <w:t></w:t>
      </w:r>
      <w:r>
        <w:rPr>
          <w:rFonts w:hint="eastAsia" w:ascii="仿宋" w:hAnsi="仿宋" w:eastAsia="宋体" w:cs="仿宋"/>
          <w:sz w:val="24"/>
          <w:szCs w:val="24"/>
        </w:rPr>
        <w:tab/>
      </w:r>
      <w:r>
        <w:rPr>
          <w:rFonts w:hint="eastAsia" w:ascii="仿宋" w:hAnsi="仿宋" w:eastAsia="宋体" w:cs="仿宋"/>
          <w:sz w:val="24"/>
          <w:szCs w:val="24"/>
        </w:rPr>
        <w:t xml:space="preserve">饼状图2：提供当前月火警处理信息，分误报、测试、火警、设备报警、未处理五种； </w:t>
      </w:r>
    </w:p>
    <w:p>
      <w:pPr>
        <w:ind w:firstLine="560"/>
        <w:rPr>
          <w:rFonts w:eastAsia="宋体"/>
        </w:rPr>
      </w:pPr>
      <w:r>
        <w:rPr>
          <w:rFonts w:eastAsia="宋体"/>
        </w:rPr>
        <w:t xml:space="preserve"> </w:t>
      </w:r>
    </w:p>
    <w:p>
      <w:pPr>
        <w:pStyle w:val="5"/>
      </w:pPr>
      <w:bookmarkStart w:id="120" w:name="_Toc7992"/>
      <w:bookmarkStart w:id="121" w:name="_Toc32434"/>
      <w:r>
        <w:rPr>
          <w:rFonts w:hint="eastAsia"/>
        </w:rPr>
        <w:t>建筑信息</w:t>
      </w:r>
      <w:bookmarkEnd w:id="120"/>
      <w:bookmarkEnd w:id="121"/>
    </w:p>
    <w:p>
      <w:pPr>
        <w:ind w:firstLine="480"/>
        <w:rPr>
          <w:rFonts w:ascii="仿宋" w:hAnsi="仿宋" w:eastAsia="宋体" w:cs="仿宋"/>
          <w:sz w:val="24"/>
          <w:szCs w:val="24"/>
        </w:rPr>
      </w:pPr>
      <w:r>
        <w:rPr>
          <w:rFonts w:hint="eastAsia" w:ascii="仿宋" w:hAnsi="仿宋" w:eastAsia="宋体" w:cs="仿宋"/>
          <w:sz w:val="24"/>
          <w:szCs w:val="24"/>
        </w:rPr>
        <w:t>1.</w:t>
      </w:r>
      <w:r>
        <w:rPr>
          <w:rFonts w:hint="eastAsia" w:ascii="仿宋" w:hAnsi="仿宋" w:eastAsia="宋体" w:cs="仿宋"/>
          <w:sz w:val="24"/>
          <w:szCs w:val="24"/>
        </w:rPr>
        <w:tab/>
      </w:r>
      <w:r>
        <w:rPr>
          <w:rFonts w:hint="eastAsia" w:ascii="仿宋" w:hAnsi="仿宋" w:eastAsia="宋体" w:cs="仿宋"/>
          <w:sz w:val="24"/>
          <w:szCs w:val="24"/>
        </w:rPr>
        <w:t>单位信息</w:t>
      </w:r>
    </w:p>
    <w:p>
      <w:pPr>
        <w:ind w:firstLine="480"/>
        <w:rPr>
          <w:rFonts w:ascii="仿宋" w:hAnsi="仿宋" w:eastAsia="宋体" w:cs="仿宋"/>
          <w:sz w:val="24"/>
          <w:szCs w:val="24"/>
        </w:rPr>
      </w:pPr>
      <w:r>
        <w:rPr>
          <w:rFonts w:hint="eastAsia" w:ascii="仿宋" w:hAnsi="仿宋" w:eastAsia="宋体" w:cs="仿宋"/>
          <w:sz w:val="24"/>
          <w:szCs w:val="24"/>
        </w:rPr>
        <w:t xml:space="preserve">本模块设有对所有联网单位的详细信息进行记录的功能，便于消防监督部门对入网单位进行背景信息调查；界面每10秒切换至下一个联网单位，便于参观领导、管理人员了解现有联网单位的基本信息及监控状态。 </w:t>
      </w:r>
    </w:p>
    <w:p>
      <w:pPr>
        <w:ind w:firstLine="480"/>
        <w:rPr>
          <w:rFonts w:ascii="仿宋" w:hAnsi="仿宋" w:eastAsia="宋体" w:cs="仿宋"/>
          <w:sz w:val="24"/>
          <w:szCs w:val="24"/>
        </w:rPr>
      </w:pPr>
      <w:r>
        <w:rPr>
          <w:rFonts w:hint="eastAsia" w:ascii="仿宋" w:hAnsi="仿宋" w:eastAsia="宋体" w:cs="仿宋"/>
          <w:sz w:val="24"/>
          <w:szCs w:val="24"/>
        </w:rPr>
        <w:t xml:space="preserve"> </w:t>
      </w:r>
    </w:p>
    <w:p>
      <w:pPr>
        <w:ind w:firstLine="480"/>
        <w:rPr>
          <w:rFonts w:ascii="仿宋" w:hAnsi="仿宋" w:eastAsia="宋体" w:cs="仿宋"/>
          <w:sz w:val="24"/>
          <w:szCs w:val="24"/>
        </w:rPr>
      </w:pPr>
      <w:r>
        <w:rPr>
          <w:rFonts w:hint="eastAsia" w:ascii="仿宋" w:hAnsi="仿宋" w:eastAsia="宋体" w:cs="仿宋"/>
          <w:sz w:val="24"/>
          <w:szCs w:val="24"/>
        </w:rPr>
        <w:t>2.</w:t>
      </w:r>
      <w:r>
        <w:rPr>
          <w:rFonts w:hint="eastAsia" w:ascii="仿宋" w:hAnsi="仿宋" w:eastAsia="宋体" w:cs="仿宋"/>
          <w:sz w:val="24"/>
          <w:szCs w:val="24"/>
        </w:rPr>
        <w:tab/>
      </w:r>
      <w:r>
        <w:rPr>
          <w:rFonts w:hint="eastAsia" w:ascii="仿宋" w:hAnsi="仿宋" w:eastAsia="宋体" w:cs="仿宋"/>
          <w:sz w:val="24"/>
          <w:szCs w:val="24"/>
        </w:rPr>
        <w:t>电子沙盘</w:t>
      </w:r>
    </w:p>
    <w:p>
      <w:pPr>
        <w:ind w:firstLine="480"/>
        <w:rPr>
          <w:rFonts w:ascii="仿宋" w:hAnsi="仿宋" w:eastAsia="宋体" w:cs="仿宋"/>
          <w:sz w:val="24"/>
          <w:szCs w:val="24"/>
        </w:rPr>
      </w:pPr>
      <w:r>
        <w:rPr>
          <w:rFonts w:hint="eastAsia" w:ascii="仿宋" w:hAnsi="仿宋" w:eastAsia="宋体" w:cs="仿宋"/>
          <w:sz w:val="24"/>
          <w:szCs w:val="24"/>
        </w:rPr>
        <w:t>本模块设有显示所有管辖区域内的建筑位置，并用不同颜色图标显示联网单位的监测状态。电子沙盘上的图标每10秒钟与数据库同步更新一次，当收到报警时，地图自动定位到对应的建筑，弹出建筑基本信息框。</w:t>
      </w:r>
    </w:p>
    <w:p>
      <w:pPr>
        <w:ind w:firstLine="480"/>
        <w:rPr>
          <w:rFonts w:ascii="仿宋" w:hAnsi="仿宋" w:eastAsia="宋体" w:cs="仿宋"/>
          <w:sz w:val="24"/>
          <w:szCs w:val="24"/>
        </w:rPr>
      </w:pPr>
      <w:r>
        <w:rPr>
          <w:rFonts w:hint="eastAsia" w:ascii="仿宋" w:hAnsi="仿宋" w:eastAsia="宋体" w:cs="仿宋"/>
          <w:sz w:val="24"/>
          <w:szCs w:val="24"/>
        </w:rPr>
        <w:t xml:space="preserve"> </w:t>
      </w:r>
    </w:p>
    <w:p>
      <w:pPr>
        <w:pStyle w:val="5"/>
      </w:pPr>
      <w:bookmarkStart w:id="122" w:name="_Toc17200"/>
      <w:bookmarkStart w:id="123" w:name="_Toc23331"/>
      <w:r>
        <w:rPr>
          <w:rFonts w:hint="eastAsia"/>
        </w:rPr>
        <w:t>现场设备信息</w:t>
      </w:r>
      <w:bookmarkEnd w:id="122"/>
      <w:bookmarkEnd w:id="123"/>
    </w:p>
    <w:p>
      <w:pPr>
        <w:ind w:firstLine="480"/>
        <w:rPr>
          <w:rFonts w:ascii="仿宋" w:hAnsi="仿宋" w:eastAsia="宋体" w:cs="仿宋"/>
          <w:sz w:val="24"/>
          <w:szCs w:val="24"/>
        </w:rPr>
      </w:pPr>
      <w:r>
        <w:rPr>
          <w:rFonts w:hint="eastAsia" w:ascii="仿宋" w:hAnsi="仿宋" w:eastAsia="宋体" w:cs="仿宋"/>
          <w:sz w:val="24"/>
          <w:szCs w:val="24"/>
        </w:rPr>
        <w:t>1．</w:t>
      </w:r>
      <w:r>
        <w:rPr>
          <w:rFonts w:hint="eastAsia" w:ascii="仿宋" w:hAnsi="仿宋" w:eastAsia="宋体" w:cs="仿宋"/>
          <w:sz w:val="24"/>
          <w:szCs w:val="24"/>
        </w:rPr>
        <w:tab/>
      </w:r>
      <w:r>
        <w:rPr>
          <w:rFonts w:hint="eastAsia" w:ascii="仿宋" w:hAnsi="仿宋" w:eastAsia="宋体" w:cs="仿宋"/>
          <w:sz w:val="24"/>
          <w:szCs w:val="24"/>
        </w:rPr>
        <w:t>建筑平面图</w:t>
      </w:r>
    </w:p>
    <w:p>
      <w:pPr>
        <w:ind w:firstLine="480"/>
        <w:rPr>
          <w:rFonts w:ascii="仿宋" w:hAnsi="仿宋" w:eastAsia="宋体" w:cs="仿宋"/>
          <w:sz w:val="24"/>
          <w:szCs w:val="24"/>
        </w:rPr>
      </w:pPr>
      <w:r>
        <w:rPr>
          <w:rFonts w:hint="eastAsia" w:ascii="仿宋" w:hAnsi="仿宋" w:eastAsia="宋体" w:cs="仿宋"/>
          <w:sz w:val="24"/>
          <w:szCs w:val="24"/>
        </w:rPr>
        <w:t>便于管理员依据火警发生的地理图像，迅速判断火灾发生的准确地点，并将现场情况及时反映给入网单位上级主管部门或火警119，节省救援时间，降低人员及财产的危险系数。</w:t>
      </w:r>
    </w:p>
    <w:p>
      <w:pPr>
        <w:ind w:firstLine="480"/>
        <w:rPr>
          <w:rFonts w:ascii="仿宋" w:hAnsi="仿宋" w:eastAsia="宋体" w:cs="仿宋"/>
          <w:sz w:val="24"/>
          <w:szCs w:val="24"/>
        </w:rPr>
      </w:pPr>
      <w:r>
        <w:rPr>
          <w:rFonts w:hint="eastAsia" w:ascii="仿宋" w:hAnsi="仿宋" w:eastAsia="宋体" w:cs="仿宋"/>
          <w:sz w:val="24"/>
          <w:szCs w:val="24"/>
        </w:rPr>
        <w:t xml:space="preserve"> 2．</w:t>
      </w:r>
      <w:r>
        <w:rPr>
          <w:rFonts w:hint="eastAsia" w:ascii="仿宋" w:hAnsi="仿宋" w:eastAsia="宋体" w:cs="仿宋"/>
          <w:sz w:val="24"/>
          <w:szCs w:val="24"/>
        </w:rPr>
        <w:tab/>
      </w:r>
      <w:r>
        <w:rPr>
          <w:rFonts w:hint="eastAsia" w:ascii="仿宋" w:hAnsi="仿宋" w:eastAsia="宋体" w:cs="仿宋"/>
          <w:sz w:val="24"/>
          <w:szCs w:val="24"/>
        </w:rPr>
        <w:t>现场消防部件</w:t>
      </w:r>
    </w:p>
    <w:p>
      <w:pPr>
        <w:ind w:firstLine="480"/>
        <w:rPr>
          <w:rFonts w:ascii="仿宋" w:hAnsi="仿宋" w:eastAsia="宋体" w:cs="仿宋"/>
          <w:sz w:val="24"/>
          <w:szCs w:val="24"/>
        </w:rPr>
      </w:pPr>
      <w:r>
        <w:rPr>
          <w:rFonts w:hint="eastAsia" w:ascii="仿宋" w:hAnsi="仿宋" w:eastAsia="宋体" w:cs="仿宋"/>
          <w:sz w:val="24"/>
          <w:szCs w:val="24"/>
        </w:rPr>
        <w:t>便于管理员依据报警设备的安装位置，迅速判断火灾发生的准确地点，并将现场情况及时反映给入网单位上级主管部门或火警119，节省救援时间，降低人员及财产的危险系数。</w:t>
      </w:r>
    </w:p>
    <w:p>
      <w:pPr>
        <w:ind w:firstLine="480"/>
        <w:rPr>
          <w:rFonts w:ascii="仿宋" w:hAnsi="仿宋" w:eastAsia="宋体" w:cs="仿宋"/>
          <w:sz w:val="24"/>
          <w:szCs w:val="24"/>
        </w:rPr>
      </w:pPr>
      <w:r>
        <w:rPr>
          <w:rFonts w:hint="eastAsia" w:ascii="仿宋" w:hAnsi="仿宋" w:eastAsia="宋体" w:cs="仿宋"/>
          <w:sz w:val="24"/>
          <w:szCs w:val="24"/>
        </w:rPr>
        <w:t>注：消防部件以感烟探测器、感温探测器及手动报警按钮为主。</w:t>
      </w:r>
    </w:p>
    <w:p>
      <w:pPr>
        <w:ind w:firstLine="480"/>
        <w:rPr>
          <w:rFonts w:ascii="仿宋" w:hAnsi="仿宋" w:eastAsia="宋体" w:cs="仿宋"/>
          <w:sz w:val="24"/>
          <w:szCs w:val="24"/>
        </w:rPr>
      </w:pPr>
      <w:r>
        <w:rPr>
          <w:rFonts w:hint="eastAsia" w:ascii="仿宋" w:hAnsi="仿宋" w:eastAsia="宋体" w:cs="仿宋"/>
          <w:sz w:val="24"/>
          <w:szCs w:val="24"/>
        </w:rPr>
        <w:t>3．</w:t>
      </w:r>
      <w:r>
        <w:rPr>
          <w:rFonts w:hint="eastAsia" w:ascii="仿宋" w:hAnsi="仿宋" w:eastAsia="宋体" w:cs="仿宋"/>
          <w:sz w:val="24"/>
          <w:szCs w:val="24"/>
        </w:rPr>
        <w:tab/>
      </w:r>
      <w:r>
        <w:rPr>
          <w:rFonts w:hint="eastAsia" w:ascii="仿宋" w:hAnsi="仿宋" w:eastAsia="宋体" w:cs="仿宋"/>
          <w:sz w:val="24"/>
          <w:szCs w:val="24"/>
        </w:rPr>
        <w:t>故障信息管理</w:t>
      </w:r>
    </w:p>
    <w:p>
      <w:pPr>
        <w:ind w:firstLine="480"/>
        <w:rPr>
          <w:rFonts w:ascii="仿宋" w:hAnsi="仿宋" w:eastAsia="宋体" w:cs="仿宋"/>
          <w:sz w:val="24"/>
          <w:szCs w:val="24"/>
        </w:rPr>
      </w:pPr>
      <w:r>
        <w:rPr>
          <w:rFonts w:hint="eastAsia" w:ascii="仿宋" w:hAnsi="仿宋" w:eastAsia="宋体" w:cs="仿宋"/>
          <w:sz w:val="24"/>
          <w:szCs w:val="24"/>
        </w:rPr>
        <w:t>便于管理员依据故障设备的安装位置，迅速判断事故发生的准确地点或通过重点信息进行模糊查询，将现场情况及时反映给入网单位上级主管部门进行故障排除。故障信息是通过传输设备定时将巡检数据向服务器上传至服务器并每5分钟更新一次数据，定期以柱状图的形式显示数量统计分析。</w:t>
      </w:r>
    </w:p>
    <w:p>
      <w:pPr>
        <w:ind w:firstLine="480"/>
        <w:rPr>
          <w:rFonts w:ascii="仿宋" w:hAnsi="仿宋" w:eastAsia="宋体" w:cs="仿宋"/>
          <w:sz w:val="24"/>
          <w:szCs w:val="24"/>
        </w:rPr>
      </w:pPr>
      <w:r>
        <w:rPr>
          <w:rFonts w:hint="eastAsia" w:ascii="仿宋" w:hAnsi="仿宋" w:eastAsia="宋体" w:cs="仿宋"/>
          <w:sz w:val="24"/>
          <w:szCs w:val="24"/>
        </w:rPr>
        <w:t xml:space="preserve">  </w:t>
      </w:r>
    </w:p>
    <w:p>
      <w:pPr>
        <w:pStyle w:val="5"/>
      </w:pPr>
      <w:bookmarkStart w:id="124" w:name="_Toc16200"/>
      <w:bookmarkStart w:id="125" w:name="_Toc13430"/>
      <w:r>
        <w:rPr>
          <w:rFonts w:hint="eastAsia"/>
        </w:rPr>
        <w:t>传输设备信息</w:t>
      </w:r>
      <w:bookmarkEnd w:id="124"/>
      <w:bookmarkEnd w:id="125"/>
    </w:p>
    <w:p>
      <w:pPr>
        <w:ind w:firstLine="480"/>
        <w:rPr>
          <w:rFonts w:eastAsia="宋体"/>
          <w:sz w:val="24"/>
          <w:szCs w:val="24"/>
        </w:rPr>
      </w:pPr>
      <w:r>
        <w:rPr>
          <w:rFonts w:hint="eastAsia" w:eastAsia="宋体"/>
          <w:sz w:val="24"/>
          <w:szCs w:val="24"/>
        </w:rPr>
        <w:t>每个传输设备都有一个独立的编号，在进行报警信息、故障信息的发送时会同时发送本编号信息，便于迅速查询信息来源，同时对传输设备进行监控和管理。</w:t>
      </w:r>
    </w:p>
    <w:p>
      <w:pPr>
        <w:pStyle w:val="5"/>
      </w:pPr>
      <w:bookmarkStart w:id="126" w:name="_Toc1304"/>
      <w:bookmarkStart w:id="127" w:name="_Toc23378"/>
      <w:r>
        <w:rPr>
          <w:rFonts w:hint="eastAsia"/>
        </w:rPr>
        <w:t>在岗查询</w:t>
      </w:r>
      <w:bookmarkEnd w:id="126"/>
      <w:bookmarkEnd w:id="127"/>
    </w:p>
    <w:p>
      <w:pPr>
        <w:ind w:firstLine="480"/>
        <w:rPr>
          <w:rFonts w:ascii="仿宋" w:hAnsi="仿宋" w:eastAsia="宋体" w:cs="仿宋"/>
          <w:sz w:val="24"/>
          <w:szCs w:val="24"/>
        </w:rPr>
      </w:pPr>
      <w:r>
        <w:rPr>
          <w:rFonts w:hint="eastAsia" w:ascii="仿宋" w:hAnsi="仿宋" w:eastAsia="宋体" w:cs="仿宋"/>
          <w:sz w:val="24"/>
          <w:szCs w:val="24"/>
        </w:rPr>
        <w:t>1.</w:t>
      </w:r>
      <w:r>
        <w:rPr>
          <w:rFonts w:hint="eastAsia" w:ascii="仿宋" w:hAnsi="仿宋" w:eastAsia="宋体" w:cs="仿宋"/>
          <w:sz w:val="24"/>
          <w:szCs w:val="24"/>
        </w:rPr>
        <w:tab/>
      </w:r>
      <w:r>
        <w:rPr>
          <w:rFonts w:hint="eastAsia" w:ascii="仿宋" w:hAnsi="仿宋" w:eastAsia="宋体" w:cs="仿宋"/>
          <w:sz w:val="24"/>
          <w:szCs w:val="24"/>
        </w:rPr>
        <w:t>考勤功能</w:t>
      </w:r>
    </w:p>
    <w:p>
      <w:pPr>
        <w:ind w:firstLine="480"/>
        <w:rPr>
          <w:rFonts w:ascii="仿宋" w:hAnsi="仿宋" w:eastAsia="宋体" w:cs="仿宋"/>
          <w:sz w:val="24"/>
          <w:szCs w:val="24"/>
        </w:rPr>
      </w:pPr>
      <w:r>
        <w:rPr>
          <w:rFonts w:hint="eastAsia" w:ascii="仿宋" w:hAnsi="仿宋" w:eastAsia="宋体" w:cs="仿宋"/>
          <w:sz w:val="24"/>
          <w:szCs w:val="24"/>
        </w:rPr>
        <w:t>该模块主要实现对值班人员的考勤管理，值班人员可以通过传输设备的考勤系统向控制中心发送上下岗信息，并生成考勤报表，供入网单位管理人员参考。</w:t>
      </w:r>
    </w:p>
    <w:p>
      <w:pPr>
        <w:ind w:firstLine="480"/>
        <w:rPr>
          <w:rFonts w:ascii="仿宋" w:hAnsi="仿宋" w:eastAsia="宋体" w:cs="仿宋"/>
          <w:sz w:val="24"/>
          <w:szCs w:val="24"/>
        </w:rPr>
      </w:pPr>
      <w:r>
        <w:rPr>
          <w:rFonts w:hint="eastAsia" w:ascii="仿宋" w:hAnsi="仿宋" w:eastAsia="宋体" w:cs="仿宋"/>
          <w:sz w:val="24"/>
          <w:szCs w:val="24"/>
        </w:rPr>
        <w:t xml:space="preserve"> 2.</w:t>
      </w:r>
      <w:r>
        <w:rPr>
          <w:rFonts w:hint="eastAsia" w:ascii="仿宋" w:hAnsi="仿宋" w:eastAsia="宋体" w:cs="仿宋"/>
          <w:sz w:val="24"/>
          <w:szCs w:val="24"/>
        </w:rPr>
        <w:tab/>
      </w:r>
      <w:r>
        <w:rPr>
          <w:rFonts w:hint="eastAsia" w:ascii="仿宋" w:hAnsi="仿宋" w:eastAsia="宋体" w:cs="仿宋"/>
          <w:sz w:val="24"/>
          <w:szCs w:val="24"/>
        </w:rPr>
        <w:t>巡检功能</w:t>
      </w:r>
    </w:p>
    <w:p>
      <w:pPr>
        <w:ind w:firstLine="480"/>
        <w:rPr>
          <w:rFonts w:ascii="仿宋" w:hAnsi="仿宋" w:eastAsia="宋体" w:cs="仿宋"/>
          <w:sz w:val="24"/>
          <w:szCs w:val="24"/>
        </w:rPr>
      </w:pPr>
      <w:r>
        <w:rPr>
          <w:rFonts w:hint="eastAsia" w:ascii="仿宋" w:hAnsi="仿宋" w:eastAsia="宋体" w:cs="仿宋"/>
          <w:sz w:val="24"/>
          <w:szCs w:val="24"/>
        </w:rPr>
        <w:t>针对后续对火警处理效果进行查询，特设有模块巡检功能，能够选择巡检单位并设定相应时间，当火警发生后巡检系统能够巡检出特定时间工作人员的在岗工作情况。</w:t>
      </w:r>
    </w:p>
    <w:p>
      <w:pPr>
        <w:pStyle w:val="5"/>
      </w:pPr>
      <w:bookmarkStart w:id="128" w:name="_Toc28445"/>
      <w:bookmarkStart w:id="129" w:name="_Toc4584"/>
      <w:r>
        <w:rPr>
          <w:rFonts w:hint="eastAsia"/>
        </w:rPr>
        <w:t>报表统计</w:t>
      </w:r>
      <w:bookmarkEnd w:id="128"/>
      <w:bookmarkEnd w:id="129"/>
    </w:p>
    <w:p>
      <w:pPr>
        <w:ind w:firstLine="480"/>
        <w:rPr>
          <w:rFonts w:ascii="仿宋" w:hAnsi="仿宋" w:eastAsia="宋体" w:cs="仿宋"/>
          <w:sz w:val="24"/>
          <w:szCs w:val="24"/>
        </w:rPr>
      </w:pPr>
      <w:r>
        <w:rPr>
          <w:rFonts w:hint="eastAsia" w:ascii="仿宋" w:hAnsi="仿宋" w:eastAsia="宋体" w:cs="仿宋"/>
          <w:sz w:val="24"/>
          <w:szCs w:val="24"/>
        </w:rPr>
        <w:t>本功能可以根据使用者的需要查看不同的报表信息，并通过导出成Excel表格或邮件短信模式发与相关责任人，方便管理人员对报表进行再处理和引用。</w:t>
      </w:r>
    </w:p>
    <w:p>
      <w:pPr>
        <w:pStyle w:val="5"/>
      </w:pPr>
      <w:bookmarkStart w:id="130" w:name="_Toc11601"/>
      <w:bookmarkStart w:id="131" w:name="_Toc23422"/>
      <w:r>
        <w:rPr>
          <w:rFonts w:hint="eastAsia"/>
        </w:rPr>
        <w:t>设施维护管理功能</w:t>
      </w:r>
      <w:bookmarkEnd w:id="130"/>
      <w:bookmarkEnd w:id="131"/>
    </w:p>
    <w:p>
      <w:pPr>
        <w:ind w:firstLine="480"/>
        <w:rPr>
          <w:rFonts w:ascii="仿宋" w:hAnsi="仿宋" w:eastAsia="宋体" w:cs="仿宋"/>
          <w:sz w:val="24"/>
          <w:szCs w:val="24"/>
        </w:rPr>
      </w:pPr>
      <w:r>
        <w:rPr>
          <w:rFonts w:hint="eastAsia" w:ascii="仿宋" w:hAnsi="仿宋" w:eastAsia="宋体" w:cs="仿宋"/>
          <w:sz w:val="24"/>
          <w:szCs w:val="24"/>
        </w:rPr>
        <w:t>本功能涉及对消防设施的巡查信息、检测信息、维修信息、保养信息进行在线添加、修改及查询，定期进行分类统计、生成汇总报表并上报到平台及相关消防主管单位。</w:t>
      </w:r>
    </w:p>
    <w:p>
      <w:pPr>
        <w:pStyle w:val="5"/>
      </w:pPr>
      <w:bookmarkStart w:id="132" w:name="_Toc3888"/>
      <w:bookmarkStart w:id="133" w:name="_Toc23311"/>
      <w:r>
        <w:rPr>
          <w:rFonts w:hint="eastAsia"/>
        </w:rPr>
        <w:t>远程操作</w:t>
      </w:r>
      <w:bookmarkEnd w:id="132"/>
      <w:bookmarkEnd w:id="133"/>
    </w:p>
    <w:p>
      <w:pPr>
        <w:ind w:firstLine="480"/>
        <w:rPr>
          <w:rFonts w:eastAsia="宋体"/>
          <w:sz w:val="24"/>
          <w:szCs w:val="24"/>
        </w:rPr>
      </w:pPr>
      <w:r>
        <w:rPr>
          <w:rFonts w:hint="eastAsia" w:eastAsia="宋体"/>
          <w:sz w:val="24"/>
          <w:szCs w:val="24"/>
        </w:rPr>
        <w:t>本功能适用于非监控中心的领导在其办公区，通过远程终端设备实现对重要信息的接收和查询工作，主要抱括火警信息查询、火警信息处理、通信状态受理和历史记录受理。各功能与之前所描述的性能完全相同。</w:t>
      </w:r>
    </w:p>
    <w:p>
      <w:pPr>
        <w:pStyle w:val="5"/>
      </w:pPr>
      <w:bookmarkStart w:id="134" w:name="_Toc12464"/>
      <w:bookmarkStart w:id="135" w:name="_Toc31295"/>
      <w:r>
        <w:rPr>
          <w:rFonts w:hint="eastAsia"/>
        </w:rPr>
        <w:t>系统管理</w:t>
      </w:r>
      <w:bookmarkEnd w:id="134"/>
      <w:bookmarkEnd w:id="135"/>
    </w:p>
    <w:p>
      <w:pPr>
        <w:ind w:firstLine="480"/>
        <w:rPr>
          <w:rFonts w:ascii="仿宋" w:hAnsi="仿宋" w:eastAsia="宋体" w:cs="仿宋"/>
          <w:sz w:val="24"/>
          <w:szCs w:val="24"/>
        </w:rPr>
      </w:pPr>
      <w:r>
        <w:rPr>
          <w:rFonts w:hint="eastAsia" w:ascii="仿宋" w:hAnsi="仿宋" w:eastAsia="宋体" w:cs="仿宋"/>
          <w:sz w:val="24"/>
          <w:szCs w:val="24"/>
        </w:rPr>
        <w:t>针对用户属性不同，管理权限可划分为用户管理、角色管理和区域管理：</w:t>
      </w:r>
    </w:p>
    <w:p>
      <w:pPr>
        <w:ind w:firstLine="480"/>
        <w:rPr>
          <w:rFonts w:ascii="仿宋" w:hAnsi="仿宋" w:eastAsia="宋体" w:cs="仿宋"/>
          <w:sz w:val="24"/>
          <w:szCs w:val="24"/>
        </w:rPr>
      </w:pPr>
      <w:r>
        <w:rPr>
          <w:rFonts w:hint="eastAsia" w:ascii="仿宋" w:hAnsi="仿宋" w:eastAsia="宋体" w:cs="仿宋"/>
          <w:sz w:val="24"/>
          <w:szCs w:val="24"/>
        </w:rPr>
        <w:t>1、用户管理</w:t>
      </w:r>
    </w:p>
    <w:p>
      <w:pPr>
        <w:ind w:firstLine="480"/>
        <w:rPr>
          <w:rFonts w:ascii="仿宋" w:hAnsi="仿宋" w:eastAsia="宋体" w:cs="仿宋"/>
          <w:sz w:val="24"/>
          <w:szCs w:val="24"/>
        </w:rPr>
      </w:pPr>
      <w:r>
        <w:rPr>
          <w:rFonts w:hint="eastAsia" w:ascii="仿宋" w:hAnsi="仿宋" w:eastAsia="宋体" w:cs="仿宋"/>
          <w:sz w:val="24"/>
          <w:szCs w:val="24"/>
        </w:rPr>
        <w:t>可以创建并管理系统中所有用户，并设置用户权限，例如：只能看一个入网单位信息、可以看某个区所有入网单位信息、只能浏览报警信息、可以处理报警信息等，通过对用户权限进行组合，可以完全满足消防监管部门、入网单位等各种角色的使用需要。</w:t>
      </w:r>
    </w:p>
    <w:p>
      <w:pPr>
        <w:ind w:firstLine="480"/>
        <w:rPr>
          <w:rFonts w:ascii="仿宋" w:hAnsi="仿宋" w:eastAsia="宋体" w:cs="仿宋"/>
          <w:sz w:val="24"/>
          <w:szCs w:val="24"/>
        </w:rPr>
      </w:pPr>
      <w:r>
        <w:rPr>
          <w:rFonts w:hint="eastAsia" w:ascii="仿宋" w:hAnsi="仿宋" w:eastAsia="宋体" w:cs="仿宋"/>
          <w:sz w:val="24"/>
          <w:szCs w:val="24"/>
        </w:rPr>
        <w:t xml:space="preserve"> 2、角色管理</w:t>
      </w:r>
    </w:p>
    <w:p>
      <w:pPr>
        <w:ind w:firstLine="480"/>
        <w:rPr>
          <w:rFonts w:ascii="仿宋" w:hAnsi="仿宋" w:eastAsia="宋体" w:cs="仿宋"/>
          <w:sz w:val="24"/>
          <w:szCs w:val="24"/>
        </w:rPr>
      </w:pPr>
      <w:r>
        <w:rPr>
          <w:rFonts w:hint="eastAsia" w:ascii="仿宋" w:hAnsi="仿宋" w:eastAsia="宋体" w:cs="仿宋"/>
          <w:sz w:val="24"/>
          <w:szCs w:val="24"/>
        </w:rPr>
        <w:t>可以创建并管理系统中所有角色，为角色分配相应的系统资源，从而实现不同角色有不同的权限。</w:t>
      </w:r>
    </w:p>
    <w:p>
      <w:pPr>
        <w:ind w:firstLine="480"/>
        <w:rPr>
          <w:rFonts w:ascii="仿宋" w:hAnsi="仿宋" w:eastAsia="宋体" w:cs="仿宋"/>
          <w:sz w:val="24"/>
          <w:szCs w:val="24"/>
        </w:rPr>
      </w:pPr>
      <w:r>
        <w:rPr>
          <w:rFonts w:hint="eastAsia" w:ascii="仿宋" w:hAnsi="仿宋" w:eastAsia="宋体" w:cs="仿宋"/>
          <w:sz w:val="24"/>
          <w:szCs w:val="24"/>
        </w:rPr>
        <w:t>3.</w:t>
      </w:r>
      <w:r>
        <w:rPr>
          <w:rFonts w:hint="eastAsia" w:ascii="仿宋" w:hAnsi="仿宋" w:eastAsia="宋体" w:cs="仿宋"/>
          <w:sz w:val="24"/>
          <w:szCs w:val="24"/>
        </w:rPr>
        <w:tab/>
      </w:r>
      <w:r>
        <w:rPr>
          <w:rFonts w:hint="eastAsia" w:ascii="仿宋" w:hAnsi="仿宋" w:eastAsia="宋体" w:cs="仿宋"/>
          <w:sz w:val="24"/>
          <w:szCs w:val="24"/>
        </w:rPr>
        <w:t>区域管理</w:t>
      </w:r>
    </w:p>
    <w:p>
      <w:pPr>
        <w:ind w:firstLine="480"/>
        <w:rPr>
          <w:rFonts w:ascii="仿宋" w:hAnsi="仿宋" w:eastAsia="宋体" w:cs="仿宋"/>
          <w:sz w:val="24"/>
          <w:szCs w:val="24"/>
        </w:rPr>
      </w:pPr>
      <w:r>
        <w:rPr>
          <w:rFonts w:hint="eastAsia" w:ascii="仿宋" w:hAnsi="仿宋" w:eastAsia="宋体" w:cs="仿宋"/>
          <w:sz w:val="24"/>
          <w:szCs w:val="24"/>
        </w:rPr>
        <w:t>可以创建并管理系统中所有区域，具备很强的灵活性。例如：区域可以根据现实情况的需要创建为园区、厂房、建筑等，从而更加灵活的进行控制。</w:t>
      </w:r>
    </w:p>
    <w:p>
      <w:pPr>
        <w:pStyle w:val="4"/>
        <w:ind w:firstLine="482"/>
        <w:rPr>
          <w:rFonts w:ascii="黑体" w:hAnsi="黑体" w:eastAsia="黑体" w:cs="黑体"/>
          <w:sz w:val="24"/>
          <w:szCs w:val="24"/>
          <w:lang w:val="en-GB"/>
        </w:rPr>
      </w:pPr>
      <w:bookmarkStart w:id="136" w:name="_Toc8353"/>
      <w:bookmarkStart w:id="137" w:name="_Toc1901"/>
      <w:r>
        <w:rPr>
          <w:rFonts w:hint="eastAsia" w:ascii="黑体" w:hAnsi="黑体" w:eastAsia="黑体" w:cs="黑体"/>
          <w:sz w:val="24"/>
          <w:szCs w:val="24"/>
          <w:lang w:val="en-GB"/>
        </w:rPr>
        <w:t>中心基础设施系统</w:t>
      </w:r>
      <w:bookmarkEnd w:id="117"/>
      <w:bookmarkEnd w:id="136"/>
      <w:bookmarkEnd w:id="137"/>
    </w:p>
    <w:p>
      <w:pPr>
        <w:ind w:firstLine="480"/>
        <w:rPr>
          <w:rFonts w:ascii="仿宋" w:hAnsi="仿宋" w:eastAsia="宋体"/>
          <w:sz w:val="24"/>
          <w:szCs w:val="24"/>
        </w:rPr>
      </w:pPr>
      <w:r>
        <w:rPr>
          <w:rFonts w:hint="eastAsia" w:ascii="仿宋" w:hAnsi="仿宋" w:eastAsia="宋体"/>
          <w:sz w:val="24"/>
          <w:szCs w:val="24"/>
        </w:rPr>
        <w:t>中心基础设施系统可根据项目实际情况进行建设，主要包括：</w:t>
      </w:r>
    </w:p>
    <w:p>
      <w:pPr>
        <w:ind w:firstLine="480"/>
        <w:rPr>
          <w:rFonts w:ascii="仿宋" w:hAnsi="仿宋" w:eastAsia="宋体"/>
          <w:sz w:val="24"/>
          <w:szCs w:val="24"/>
        </w:rPr>
      </w:pPr>
      <w:r>
        <w:rPr>
          <w:rFonts w:hint="eastAsia" w:ascii="仿宋" w:hAnsi="仿宋" w:eastAsia="宋体"/>
          <w:sz w:val="24"/>
          <w:szCs w:val="24"/>
        </w:rPr>
        <w:t>（1）系统运行服务器</w:t>
      </w:r>
    </w:p>
    <w:p>
      <w:pPr>
        <w:ind w:firstLine="480"/>
        <w:rPr>
          <w:rFonts w:ascii="仿宋" w:hAnsi="仿宋" w:eastAsia="宋体"/>
          <w:sz w:val="24"/>
          <w:szCs w:val="24"/>
        </w:rPr>
      </w:pPr>
      <w:r>
        <w:rPr>
          <w:rFonts w:hint="eastAsia" w:ascii="仿宋" w:hAnsi="仿宋" w:eastAsia="宋体"/>
          <w:sz w:val="24"/>
          <w:szCs w:val="24"/>
        </w:rPr>
        <w:t>（2）系统管理工作站</w:t>
      </w:r>
    </w:p>
    <w:p>
      <w:pPr>
        <w:ind w:firstLine="480"/>
        <w:rPr>
          <w:rFonts w:ascii="仿宋" w:hAnsi="仿宋" w:eastAsia="宋体"/>
          <w:sz w:val="24"/>
          <w:szCs w:val="24"/>
        </w:rPr>
      </w:pPr>
      <w:r>
        <w:rPr>
          <w:rFonts w:hint="eastAsia" w:ascii="仿宋" w:hAnsi="仿宋" w:eastAsia="宋体"/>
          <w:sz w:val="24"/>
          <w:szCs w:val="24"/>
        </w:rPr>
        <w:t>（3）网络平台设备（详见后续章节）</w:t>
      </w:r>
    </w:p>
    <w:p>
      <w:pPr>
        <w:ind w:firstLine="480"/>
        <w:rPr>
          <w:rFonts w:ascii="仿宋" w:hAnsi="仿宋" w:eastAsia="宋体"/>
          <w:sz w:val="24"/>
          <w:szCs w:val="24"/>
        </w:rPr>
      </w:pPr>
      <w:r>
        <w:rPr>
          <w:rFonts w:hint="eastAsia" w:ascii="仿宋" w:hAnsi="仿宋" w:eastAsia="宋体"/>
          <w:sz w:val="24"/>
          <w:szCs w:val="24"/>
        </w:rPr>
        <w:t>（</w:t>
      </w:r>
      <w:r>
        <w:rPr>
          <w:rFonts w:hint="eastAsia" w:ascii="仿宋" w:hAnsi="仿宋" w:eastAsia="宋体"/>
          <w:sz w:val="24"/>
          <w:szCs w:val="24"/>
          <w:lang w:val="en-US" w:eastAsia="zh-CN"/>
        </w:rPr>
        <w:t>4</w:t>
      </w:r>
      <w:r>
        <w:rPr>
          <w:rFonts w:hint="eastAsia" w:ascii="仿宋" w:hAnsi="仿宋" w:eastAsia="宋体"/>
          <w:sz w:val="24"/>
          <w:szCs w:val="24"/>
        </w:rPr>
        <w:t>）其他辅助设备</w:t>
      </w:r>
    </w:p>
    <w:p>
      <w:pPr>
        <w:pStyle w:val="4"/>
        <w:ind w:firstLine="562"/>
        <w:rPr>
          <w:rFonts w:ascii="黑体" w:hAnsi="黑体" w:eastAsia="黑体" w:cs="黑体"/>
          <w:sz w:val="24"/>
          <w:szCs w:val="24"/>
          <w:lang w:val="en-GB"/>
        </w:rPr>
      </w:pPr>
      <w:bookmarkStart w:id="138" w:name="_Toc12285"/>
      <w:bookmarkStart w:id="139" w:name="_Toc31351"/>
      <w:bookmarkStart w:id="140" w:name="_Toc27744"/>
      <w:r>
        <w:rPr>
          <w:rFonts w:hint="eastAsia" w:ascii="黑体" w:hAnsi="黑体" w:eastAsia="黑体" w:cs="黑体"/>
          <w:sz w:val="24"/>
          <w:szCs w:val="24"/>
          <w:lang w:val="en-GB"/>
        </w:rPr>
        <w:t>消防数据采集</w:t>
      </w:r>
      <w:bookmarkEnd w:id="138"/>
      <w:bookmarkEnd w:id="139"/>
      <w:bookmarkEnd w:id="140"/>
    </w:p>
    <w:p>
      <w:pPr>
        <w:spacing w:line="360" w:lineRule="auto"/>
        <w:ind w:firstLine="480"/>
        <w:rPr>
          <w:rFonts w:ascii="仿宋" w:hAnsi="仿宋" w:eastAsia="宋体"/>
          <w:sz w:val="24"/>
          <w:szCs w:val="24"/>
        </w:rPr>
      </w:pPr>
      <w:r>
        <w:rPr>
          <w:rFonts w:hint="eastAsia" w:ascii="仿宋" w:hAnsi="仿宋" w:eastAsia="宋体"/>
          <w:sz w:val="24"/>
          <w:szCs w:val="24"/>
        </w:rPr>
        <w:t>给现场每套消防主机配置一套采集传输设备，采集板卡通过串口或RS485总线与消防主机连接，通过串口将数据传送给传输设备，传输设备通过网口接入就近的消防网络汇聚点，通过消防专网将数据上传到主控中心。消防汇总通信服务器将汇总的51套消防主机的报警、故障及动作信息实时传送给实时通信服务器，实时通信服务器同时还与视频服务器、门禁服务器进行实时通信，获取视频及门禁的报警信息，报警、故障及动作信息实时入库并在监控工作站及时给出醒目提醒。</w:t>
      </w:r>
    </w:p>
    <w:p>
      <w:pPr>
        <w:pStyle w:val="4"/>
        <w:ind w:firstLine="482"/>
        <w:rPr>
          <w:rFonts w:ascii="黑体" w:hAnsi="黑体" w:eastAsia="黑体" w:cs="黑体"/>
          <w:sz w:val="24"/>
          <w:szCs w:val="24"/>
        </w:rPr>
      </w:pPr>
      <w:bookmarkStart w:id="141" w:name="_Toc21858"/>
      <w:bookmarkStart w:id="142" w:name="_Toc1810"/>
      <w:bookmarkStart w:id="143" w:name="_Toc31156"/>
      <w:r>
        <w:rPr>
          <w:rFonts w:hint="eastAsia" w:ascii="黑体" w:hAnsi="黑体" w:eastAsia="黑体" w:cs="黑体"/>
          <w:sz w:val="24"/>
          <w:szCs w:val="24"/>
        </w:rPr>
        <w:t>报警监控处理流程</w:t>
      </w:r>
      <w:bookmarkEnd w:id="141"/>
      <w:bookmarkEnd w:id="142"/>
      <w:bookmarkEnd w:id="143"/>
    </w:p>
    <w:p>
      <w:pPr>
        <w:spacing w:line="360" w:lineRule="auto"/>
        <w:ind w:firstLine="480"/>
        <w:rPr>
          <w:rFonts w:ascii="仿宋" w:hAnsi="仿宋" w:eastAsia="宋体"/>
          <w:sz w:val="24"/>
          <w:szCs w:val="24"/>
        </w:rPr>
      </w:pPr>
      <w:bookmarkStart w:id="144" w:name="OLE_LINK8"/>
      <w:r>
        <w:rPr>
          <w:rFonts w:hint="eastAsia" w:ascii="仿宋" w:hAnsi="仿宋" w:eastAsia="宋体"/>
          <w:sz w:val="24"/>
          <w:szCs w:val="24"/>
        </w:rPr>
        <w:t>系统实时监控现场火灾控制器、门禁控制器、电子围栏、视频系统的工作状态，一旦有警情发生，消息服务器快速将报警信息推送给监控中心的消防监控平台，消防监控平台快速在港区平面分布图上定位出报警点并高亮显示，同时自动打开关联的视频画面。</w:t>
      </w:r>
    </w:p>
    <w:p>
      <w:pPr>
        <w:spacing w:line="360" w:lineRule="auto"/>
        <w:ind w:firstLine="480"/>
        <w:rPr>
          <w:rFonts w:ascii="仿宋" w:hAnsi="仿宋" w:eastAsia="宋体"/>
          <w:sz w:val="24"/>
          <w:szCs w:val="24"/>
        </w:rPr>
      </w:pPr>
      <w:r>
        <w:rPr>
          <w:rFonts w:hint="eastAsia" w:ascii="仿宋" w:hAnsi="仿宋" w:eastAsia="宋体"/>
          <w:sz w:val="24"/>
          <w:szCs w:val="24"/>
        </w:rPr>
        <w:t>值班人员监控到报警情况后，需要对警情进行核实，并派人到实地确认当前告警的真实情况，是误报、探头故障、主机故障，还是真实火警。如果当地消防值守人员没有在单位时间内进行处理，系统会向上一级管理员发送告警信息，直到有人去处理，并将现场拍摄的照片上传到消防平台备案，在系统中形成记录，从而形成一个闭环管理。对于有效的报警信息，要根据不同的报警级别，分别将报警情况通过微信或电话方式通知到相关负责人。</w:t>
      </w:r>
    </w:p>
    <w:p>
      <w:pPr>
        <w:spacing w:line="360" w:lineRule="auto"/>
        <w:jc w:val="both"/>
        <w:rPr>
          <w:rFonts w:ascii="仿宋" w:hAnsi="仿宋" w:eastAsia="宋体"/>
          <w:sz w:val="21"/>
          <w:szCs w:val="21"/>
        </w:rPr>
      </w:pPr>
    </w:p>
    <w:bookmarkEnd w:id="144"/>
    <w:p>
      <w:pPr>
        <w:pStyle w:val="3"/>
      </w:pPr>
      <w:bookmarkStart w:id="145" w:name="_Toc21498"/>
      <w:bookmarkStart w:id="146" w:name="_Toc12533"/>
      <w:bookmarkStart w:id="147" w:name="_Toc2257"/>
      <w:bookmarkStart w:id="148" w:name="_Toc31194"/>
      <w:r>
        <w:rPr>
          <w:rFonts w:hint="eastAsia"/>
        </w:rPr>
        <w:t>消防监控网络设计方案</w:t>
      </w:r>
      <w:bookmarkEnd w:id="145"/>
      <w:bookmarkEnd w:id="146"/>
      <w:bookmarkEnd w:id="147"/>
      <w:bookmarkEnd w:id="148"/>
    </w:p>
    <w:p>
      <w:pPr>
        <w:pStyle w:val="4"/>
        <w:ind w:firstLine="482"/>
        <w:rPr>
          <w:rFonts w:ascii="黑体" w:hAnsi="黑体" w:eastAsia="黑体" w:cs="黑体"/>
          <w:sz w:val="24"/>
          <w:szCs w:val="24"/>
          <w:lang w:val="en-GB"/>
        </w:rPr>
      </w:pPr>
      <w:bookmarkStart w:id="149" w:name="_Toc31221"/>
      <w:bookmarkStart w:id="150" w:name="_Toc5311"/>
      <w:bookmarkStart w:id="151" w:name="_Toc17622"/>
      <w:bookmarkStart w:id="152" w:name="_Toc32612"/>
      <w:bookmarkStart w:id="153" w:name="_Toc500098419"/>
      <w:r>
        <w:rPr>
          <w:rFonts w:hint="eastAsia" w:ascii="黑体" w:hAnsi="黑体" w:eastAsia="黑体" w:cs="黑体"/>
          <w:sz w:val="24"/>
          <w:szCs w:val="24"/>
          <w:lang w:val="en-GB"/>
        </w:rPr>
        <w:t>整体网络架构</w:t>
      </w:r>
      <w:bookmarkEnd w:id="149"/>
      <w:bookmarkEnd w:id="150"/>
      <w:bookmarkEnd w:id="151"/>
    </w:p>
    <w:p>
      <w:pPr>
        <w:spacing w:line="360" w:lineRule="auto"/>
        <w:ind w:firstLine="480"/>
        <w:rPr>
          <w:rFonts w:ascii="仿宋" w:hAnsi="仿宋" w:eastAsia="宋体"/>
          <w:sz w:val="24"/>
          <w:szCs w:val="24"/>
        </w:rPr>
      </w:pPr>
      <w:r>
        <w:rPr>
          <w:rFonts w:hint="eastAsia" w:ascii="仿宋" w:hAnsi="仿宋" w:eastAsia="宋体"/>
          <w:sz w:val="24"/>
          <w:szCs w:val="24"/>
        </w:rPr>
        <w:t>因消防系统特殊性，对系统安全性较高，因此各个监控点数据上传时对网络可靠性要求很高，因此尽量减少数据上传的网络节点是保证传输安全的有效方法：</w:t>
      </w:r>
    </w:p>
    <w:p>
      <w:pPr>
        <w:spacing w:line="360" w:lineRule="auto"/>
        <w:ind w:firstLine="480"/>
        <w:rPr>
          <w:rFonts w:ascii="仿宋" w:hAnsi="仿宋" w:eastAsia="宋体"/>
          <w:sz w:val="24"/>
          <w:szCs w:val="24"/>
        </w:rPr>
      </w:pPr>
      <w:r>
        <w:rPr>
          <w:rFonts w:hint="eastAsia" w:ascii="仿宋" w:hAnsi="仿宋" w:eastAsia="宋体"/>
          <w:sz w:val="24"/>
          <w:szCs w:val="24"/>
        </w:rPr>
        <w:t>1、对于距离较远的不便于重新敷设光缆的采集点如生活区采用汇聚交换机接入；</w:t>
      </w:r>
    </w:p>
    <w:p>
      <w:pPr>
        <w:spacing w:line="360" w:lineRule="auto"/>
        <w:ind w:firstLine="480"/>
        <w:rPr>
          <w:rFonts w:ascii="仿宋" w:hAnsi="仿宋" w:eastAsia="宋体"/>
          <w:sz w:val="24"/>
          <w:szCs w:val="24"/>
        </w:rPr>
      </w:pPr>
      <w:r>
        <w:rPr>
          <w:rFonts w:hint="eastAsia" w:ascii="仿宋" w:hAnsi="仿宋" w:eastAsia="宋体"/>
          <w:sz w:val="24"/>
          <w:szCs w:val="24"/>
        </w:rPr>
        <w:t>2、对于汇聚点距离管控楼较近的，可以采用增加光缆的方式，采集点经汇聚点跳接至管控楼；</w:t>
      </w:r>
    </w:p>
    <w:p>
      <w:pPr>
        <w:spacing w:line="360" w:lineRule="auto"/>
        <w:ind w:firstLine="480"/>
        <w:rPr>
          <w:rFonts w:ascii="仿宋" w:hAnsi="仿宋" w:eastAsia="宋体"/>
          <w:sz w:val="24"/>
          <w:szCs w:val="24"/>
        </w:rPr>
      </w:pPr>
      <w:r>
        <w:rPr>
          <w:rFonts w:hint="eastAsia" w:ascii="仿宋" w:hAnsi="仿宋" w:eastAsia="宋体"/>
          <w:sz w:val="24"/>
          <w:szCs w:val="24"/>
        </w:rPr>
        <w:t>3、对于距离管控楼较近的采集点采用直接接入管控楼的方式。</w:t>
      </w:r>
    </w:p>
    <w:p>
      <w:pPr>
        <w:spacing w:line="360" w:lineRule="auto"/>
        <w:ind w:firstLine="2800" w:firstLineChars="1400"/>
        <w:rPr>
          <w:rFonts w:ascii="仿宋" w:hAnsi="仿宋" w:eastAsia="宋体"/>
          <w:sz w:val="20"/>
          <w:szCs w:val="20"/>
        </w:rPr>
      </w:pPr>
      <w:r>
        <w:rPr>
          <w:rFonts w:hint="eastAsia" w:eastAsia="宋体"/>
          <w:sz w:val="20"/>
          <w:szCs w:val="20"/>
        </w:rPr>
        <w:t>消防网络整体架构图</w:t>
      </w:r>
    </w:p>
    <w:p>
      <w:pPr>
        <w:pStyle w:val="4"/>
        <w:ind w:firstLine="482"/>
        <w:rPr>
          <w:rFonts w:ascii="黑体" w:hAnsi="黑体" w:eastAsia="黑体" w:cs="黑体"/>
          <w:sz w:val="24"/>
          <w:szCs w:val="24"/>
          <w:lang w:val="en-GB"/>
        </w:rPr>
      </w:pPr>
      <w:bookmarkStart w:id="154" w:name="_Toc22369"/>
      <w:bookmarkStart w:id="155" w:name="_Toc2215"/>
      <w:bookmarkStart w:id="156" w:name="_Toc9406"/>
      <w:r>
        <w:rPr>
          <w:rFonts w:hint="eastAsia" w:ascii="黑体" w:hAnsi="黑体" w:eastAsia="黑体" w:cs="黑体"/>
          <w:sz w:val="24"/>
          <w:szCs w:val="24"/>
          <w:lang w:val="en-GB"/>
        </w:rPr>
        <w:t>网络节点统计</w:t>
      </w:r>
      <w:bookmarkEnd w:id="152"/>
      <w:bookmarkEnd w:id="153"/>
      <w:bookmarkEnd w:id="154"/>
      <w:bookmarkEnd w:id="155"/>
      <w:bookmarkEnd w:id="156"/>
    </w:p>
    <w:p>
      <w:pPr>
        <w:spacing w:line="360" w:lineRule="auto"/>
        <w:ind w:firstLine="480"/>
        <w:rPr>
          <w:rFonts w:ascii="仿宋" w:hAnsi="仿宋" w:eastAsia="宋体"/>
          <w:sz w:val="24"/>
          <w:szCs w:val="24"/>
        </w:rPr>
      </w:pPr>
      <w:r>
        <w:rPr>
          <w:rFonts w:hint="eastAsia" w:ascii="仿宋" w:hAnsi="仿宋" w:eastAsia="宋体"/>
          <w:sz w:val="24"/>
          <w:szCs w:val="24"/>
        </w:rPr>
        <w:t>在要集中监控的51套消防主机旁，布设网络接入口，满足消防监控平台能通过局域网采集到这51套消防主机的报警信息，并将信息传送到主控中心。51套消防主机的网络接入口要就近接入对应的网络汇聚点。</w:t>
      </w:r>
    </w:p>
    <w:p>
      <w:pPr>
        <w:ind w:firstLine="480"/>
        <w:rPr>
          <w:rFonts w:hint="eastAsia" w:ascii="仿宋" w:hAnsi="仿宋" w:eastAsia="宋体"/>
          <w:sz w:val="24"/>
          <w:szCs w:val="24"/>
          <w:lang w:eastAsia="zh-CN"/>
        </w:rPr>
      </w:pPr>
      <w:r>
        <w:rPr>
          <w:rFonts w:hint="eastAsia" w:ascii="仿宋" w:hAnsi="仿宋" w:eastAsia="宋体"/>
          <w:sz w:val="24"/>
          <w:szCs w:val="24"/>
        </w:rPr>
        <w:t>根据表格统计需要汇聚交换机7台，中心交换机1台</w:t>
      </w:r>
      <w:r>
        <w:rPr>
          <w:rFonts w:hint="eastAsia" w:ascii="仿宋" w:hAnsi="仿宋" w:eastAsia="宋体"/>
          <w:sz w:val="24"/>
          <w:szCs w:val="24"/>
          <w:lang w:eastAsia="zh-CN"/>
        </w:rPr>
        <w:t>。</w:t>
      </w:r>
    </w:p>
    <w:p>
      <w:pPr>
        <w:pStyle w:val="4"/>
        <w:ind w:firstLine="482"/>
        <w:rPr>
          <w:rFonts w:ascii="黑体" w:hAnsi="黑体" w:eastAsia="黑体" w:cs="黑体"/>
          <w:sz w:val="24"/>
          <w:szCs w:val="24"/>
          <w:lang w:val="en-GB"/>
        </w:rPr>
      </w:pPr>
      <w:bookmarkStart w:id="157" w:name="_Toc2054"/>
      <w:bookmarkStart w:id="158" w:name="_Toc2007"/>
      <w:bookmarkStart w:id="159" w:name="_Toc8385"/>
      <w:bookmarkStart w:id="160" w:name="_Toc500098421"/>
      <w:r>
        <w:rPr>
          <w:rFonts w:hint="eastAsia" w:ascii="黑体" w:hAnsi="黑体" w:eastAsia="黑体" w:cs="黑体"/>
          <w:sz w:val="24"/>
          <w:szCs w:val="24"/>
          <w:lang w:val="en-GB"/>
        </w:rPr>
        <w:t>网络互通方式</w:t>
      </w:r>
      <w:bookmarkEnd w:id="157"/>
      <w:bookmarkEnd w:id="158"/>
      <w:bookmarkEnd w:id="159"/>
      <w:bookmarkEnd w:id="160"/>
    </w:p>
    <w:p>
      <w:pPr>
        <w:spacing w:line="360" w:lineRule="auto"/>
        <w:ind w:firstLine="480"/>
        <w:rPr>
          <w:rFonts w:ascii="仿宋" w:hAnsi="仿宋" w:eastAsia="宋体"/>
          <w:sz w:val="24"/>
          <w:szCs w:val="24"/>
        </w:rPr>
      </w:pPr>
      <w:r>
        <w:rPr>
          <w:rFonts w:hint="eastAsia" w:ascii="仿宋" w:hAnsi="仿宋" w:eastAsia="宋体"/>
          <w:sz w:val="24"/>
          <w:szCs w:val="24"/>
        </w:rPr>
        <w:t>消防网络根据其安全性考虑，需要单独成网，并具有私有IP地址段。</w:t>
      </w:r>
    </w:p>
    <w:p>
      <w:pPr>
        <w:spacing w:line="360" w:lineRule="auto"/>
        <w:ind w:firstLine="480"/>
        <w:rPr>
          <w:rFonts w:ascii="仿宋" w:hAnsi="仿宋" w:eastAsia="宋体"/>
          <w:sz w:val="24"/>
          <w:szCs w:val="24"/>
        </w:rPr>
      </w:pPr>
      <w:r>
        <w:rPr>
          <w:rFonts w:hint="eastAsia" w:ascii="仿宋" w:hAnsi="仿宋" w:eastAsia="宋体"/>
          <w:sz w:val="24"/>
          <w:szCs w:val="24"/>
        </w:rPr>
        <w:t>因视频系统与门禁系统均分别存在于不同网络之中，并且也具备各自的地址段，而新建消防监控系统又需要与这两个网络进行通讯。</w:t>
      </w:r>
    </w:p>
    <w:p>
      <w:pPr>
        <w:spacing w:line="360" w:lineRule="auto"/>
        <w:ind w:firstLine="480"/>
        <w:rPr>
          <w:rFonts w:ascii="仿宋" w:hAnsi="仿宋" w:eastAsia="宋体"/>
          <w:sz w:val="24"/>
          <w:szCs w:val="24"/>
        </w:rPr>
      </w:pPr>
      <w:r>
        <w:rPr>
          <w:rFonts w:hint="eastAsia" w:ascii="仿宋" w:hAnsi="仿宋" w:eastAsia="宋体"/>
          <w:sz w:val="24"/>
          <w:szCs w:val="24"/>
        </w:rPr>
        <w:t xml:space="preserve">根据上述情况，考虑在三个不同的网络之间利用地址转换设备进行地址映射NAT，既能保证正常业务的通信，又隔离了三个网络之间的其他网络通信，保证网络安全。 </w:t>
      </w:r>
    </w:p>
    <w:p>
      <w:pPr>
        <w:spacing w:line="360" w:lineRule="auto"/>
        <w:ind w:firstLine="480"/>
        <w:rPr>
          <w:rFonts w:ascii="仿宋" w:hAnsi="仿宋" w:eastAsia="宋体"/>
          <w:sz w:val="24"/>
          <w:szCs w:val="24"/>
        </w:rPr>
      </w:pPr>
      <w:r>
        <w:rPr>
          <w:rFonts w:hint="eastAsia" w:ascii="仿宋" w:hAnsi="仿宋" w:eastAsia="宋体"/>
          <w:sz w:val="24"/>
          <w:szCs w:val="24"/>
        </w:rPr>
        <w:t>在业务上消防专网需要与办公网、视频网和门禁网互同，由于办公网有接入互联网，来之公网的攻击和病毒会通过网络互联传播到消防网。为了保障网络安全在消防网与办公网、视频网和门禁网互联之间部署一台防火墙，在防火墙上部署安全策略，开放必要地址和端口，保障消防网的高安全性。</w:t>
      </w:r>
    </w:p>
    <w:p>
      <w:pPr>
        <w:spacing w:line="360" w:lineRule="auto"/>
        <w:ind w:firstLine="480"/>
        <w:rPr>
          <w:rFonts w:ascii="仿宋" w:hAnsi="仿宋" w:eastAsia="宋体"/>
          <w:sz w:val="24"/>
          <w:szCs w:val="24"/>
        </w:rPr>
      </w:pPr>
      <w:r>
        <w:rPr>
          <w:rFonts w:hint="eastAsia" w:ascii="仿宋" w:hAnsi="仿宋" w:eastAsia="宋体"/>
          <w:sz w:val="24"/>
          <w:szCs w:val="24"/>
        </w:rPr>
        <w:t>消防专网的服务器，在防火墙上做安全隔离，保证业务高度安全。</w:t>
      </w:r>
    </w:p>
    <w:p>
      <w:pPr>
        <w:spacing w:line="360" w:lineRule="auto"/>
        <w:rPr>
          <w:rFonts w:ascii="仿宋" w:hAnsi="仿宋" w:eastAsia="宋体"/>
          <w:sz w:val="24"/>
          <w:szCs w:val="24"/>
        </w:rPr>
      </w:pPr>
    </w:p>
    <w:p>
      <w:pPr>
        <w:pStyle w:val="3"/>
      </w:pPr>
      <w:bookmarkStart w:id="161" w:name="_Toc9644"/>
      <w:bookmarkStart w:id="162" w:name="_Toc8500"/>
      <w:bookmarkStart w:id="163" w:name="_Toc9699"/>
      <w:bookmarkStart w:id="164" w:name="_Toc17814"/>
      <w:r>
        <w:rPr>
          <w:rFonts w:hint="eastAsia"/>
        </w:rPr>
        <w:t>消防集控大厅设计方案</w:t>
      </w:r>
      <w:bookmarkEnd w:id="161"/>
      <w:bookmarkEnd w:id="162"/>
      <w:bookmarkEnd w:id="163"/>
      <w:bookmarkEnd w:id="164"/>
    </w:p>
    <w:p>
      <w:pPr>
        <w:spacing w:line="360" w:lineRule="auto"/>
        <w:ind w:firstLine="480"/>
        <w:rPr>
          <w:rFonts w:ascii="仿宋" w:hAnsi="仿宋" w:eastAsia="宋体"/>
          <w:sz w:val="24"/>
          <w:szCs w:val="24"/>
          <w:lang w:val="en-GB"/>
        </w:rPr>
      </w:pPr>
      <w:r>
        <w:rPr>
          <w:rFonts w:hint="eastAsia" w:ascii="仿宋" w:hAnsi="仿宋" w:eastAsia="宋体"/>
          <w:sz w:val="24"/>
          <w:szCs w:val="24"/>
          <w:lang w:val="en-GB"/>
        </w:rPr>
        <w:t>调度指挥大屏及配套设备：在办公大楼</w:t>
      </w:r>
      <w:r>
        <w:rPr>
          <w:rFonts w:hint="eastAsia" w:ascii="仿宋" w:hAnsi="仿宋" w:eastAsia="宋体"/>
          <w:sz w:val="24"/>
          <w:szCs w:val="24"/>
          <w:lang w:val="en-US" w:eastAsia="zh-CN"/>
        </w:rPr>
        <w:t>通过显示系统</w:t>
      </w:r>
      <w:r>
        <w:rPr>
          <w:rFonts w:hint="eastAsia" w:ascii="仿宋" w:hAnsi="仿宋" w:eastAsia="宋体"/>
          <w:sz w:val="24"/>
          <w:szCs w:val="24"/>
          <w:lang w:val="en-GB"/>
        </w:rPr>
        <w:t>，实时展示在线监测系统以及相对应的视频等信息。</w:t>
      </w:r>
    </w:p>
    <w:p>
      <w:pPr>
        <w:spacing w:line="360" w:lineRule="auto"/>
        <w:ind w:firstLine="480"/>
        <w:rPr>
          <w:rFonts w:ascii="仿宋" w:hAnsi="仿宋" w:eastAsia="宋体"/>
          <w:sz w:val="24"/>
          <w:szCs w:val="24"/>
          <w:lang w:val="en-GB"/>
        </w:rPr>
      </w:pPr>
      <w:r>
        <w:rPr>
          <w:rFonts w:hint="eastAsia" w:ascii="仿宋" w:hAnsi="仿宋" w:eastAsia="宋体"/>
          <w:sz w:val="24"/>
          <w:szCs w:val="24"/>
          <w:lang w:val="en-GB"/>
        </w:rPr>
        <w:t>为值班人员配置</w:t>
      </w:r>
      <w:r>
        <w:rPr>
          <w:rFonts w:hint="eastAsia" w:ascii="仿宋" w:hAnsi="仿宋" w:eastAsia="宋体"/>
          <w:sz w:val="24"/>
          <w:szCs w:val="24"/>
        </w:rPr>
        <w:t>4工位</w:t>
      </w:r>
      <w:r>
        <w:rPr>
          <w:rFonts w:hint="eastAsia" w:ascii="仿宋" w:hAnsi="仿宋" w:eastAsia="宋体"/>
          <w:sz w:val="24"/>
          <w:szCs w:val="24"/>
          <w:lang w:val="en-GB"/>
        </w:rPr>
        <w:t>操作台，操作台上放置常用系统显示设备。操作台下布置系统终端电脑，操作台距离电视墙</w:t>
      </w:r>
      <w:r>
        <w:rPr>
          <w:rFonts w:hint="eastAsia" w:ascii="仿宋" w:hAnsi="仿宋" w:eastAsia="宋体"/>
          <w:sz w:val="24"/>
          <w:szCs w:val="24"/>
        </w:rPr>
        <w:t>4.8米</w:t>
      </w:r>
    </w:p>
    <w:p>
      <w:pPr>
        <w:spacing w:line="360" w:lineRule="auto"/>
        <w:ind w:firstLine="480"/>
        <w:rPr>
          <w:rFonts w:ascii="仿宋" w:hAnsi="仿宋" w:eastAsia="宋体"/>
          <w:sz w:val="24"/>
          <w:szCs w:val="24"/>
          <w:lang w:val="en-GB"/>
        </w:rPr>
      </w:pPr>
      <w:r>
        <w:rPr>
          <w:rFonts w:hint="eastAsia" w:ascii="仿宋" w:hAnsi="仿宋"/>
          <w:sz w:val="24"/>
          <w:szCs w:val="24"/>
        </w:rPr>
        <w:drawing>
          <wp:anchor distT="0" distB="0" distL="114300" distR="114300" simplePos="0" relativeHeight="294942720" behindDoc="0" locked="0" layoutInCell="1" allowOverlap="1">
            <wp:simplePos x="0" y="0"/>
            <wp:positionH relativeFrom="column">
              <wp:posOffset>762000</wp:posOffset>
            </wp:positionH>
            <wp:positionV relativeFrom="paragraph">
              <wp:posOffset>259080</wp:posOffset>
            </wp:positionV>
            <wp:extent cx="3517900" cy="4490720"/>
            <wp:effectExtent l="0" t="0" r="6350" b="5080"/>
            <wp:wrapTopAndBottom/>
            <wp:docPr id="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3517900" cy="4490720"/>
                    </a:xfrm>
                    <a:prstGeom prst="rect">
                      <a:avLst/>
                    </a:prstGeom>
                    <a:noFill/>
                    <a:ln>
                      <a:noFill/>
                    </a:ln>
                    <a:effectLst/>
                  </pic:spPr>
                </pic:pic>
              </a:graphicData>
            </a:graphic>
          </wp:anchor>
        </w:drawing>
      </w:r>
    </w:p>
    <w:p>
      <w:pPr>
        <w:spacing w:line="360" w:lineRule="auto"/>
        <w:ind w:firstLine="480"/>
        <w:rPr>
          <w:rFonts w:ascii="仿宋" w:hAnsi="仿宋" w:eastAsia="宋体"/>
          <w:sz w:val="24"/>
          <w:szCs w:val="24"/>
          <w:lang w:val="en-GB"/>
        </w:rPr>
      </w:pPr>
    </w:p>
    <w:p>
      <w:pPr>
        <w:ind w:firstLine="560"/>
        <w:rPr>
          <w:rFonts w:eastAsia="宋体"/>
        </w:rPr>
      </w:pPr>
      <w:bookmarkStart w:id="165" w:name="OLE_LINK11"/>
    </w:p>
    <w:p>
      <w:pPr>
        <w:pStyle w:val="3"/>
      </w:pPr>
      <w:bookmarkStart w:id="166" w:name="_Toc11383"/>
      <w:bookmarkStart w:id="167" w:name="_Toc27435"/>
      <w:bookmarkStart w:id="168" w:name="_Toc276"/>
      <w:bookmarkStart w:id="169" w:name="_Toc21182"/>
      <w:r>
        <w:rPr>
          <w:rFonts w:hint="eastAsia"/>
        </w:rPr>
        <w:t>预期达到的技术指标</w:t>
      </w:r>
      <w:bookmarkEnd w:id="165"/>
      <w:bookmarkEnd w:id="166"/>
      <w:bookmarkEnd w:id="167"/>
      <w:bookmarkEnd w:id="168"/>
      <w:bookmarkEnd w:id="169"/>
    </w:p>
    <w:p>
      <w:pPr>
        <w:spacing w:line="360" w:lineRule="auto"/>
        <w:ind w:firstLine="480"/>
        <w:rPr>
          <w:rFonts w:eastAsia="宋体"/>
          <w:color w:val="000000" w:themeColor="text1"/>
          <w14:textFill>
            <w14:solidFill>
              <w14:schemeClr w14:val="tx1"/>
            </w14:solidFill>
          </w14:textFill>
        </w:rPr>
      </w:pPr>
      <w:r>
        <w:rPr>
          <w:rFonts w:hint="eastAsia" w:ascii="仿宋" w:hAnsi="仿宋" w:eastAsia="宋体"/>
          <w:iCs/>
          <w:color w:val="000000" w:themeColor="text1"/>
          <w:sz w:val="24"/>
          <w:szCs w:val="24"/>
          <w14:textFill>
            <w14:solidFill>
              <w14:schemeClr w14:val="tx1"/>
            </w14:solidFill>
          </w14:textFill>
        </w:rPr>
        <w:t>项目采用先进、成熟的技术，保证系统的安全、可靠、稳定运行，具有高可用性和高响应速度，并易于维护，开发部署灵活，预期技术指标如下：</w:t>
      </w:r>
    </w:p>
    <w:p>
      <w:pPr>
        <w:spacing w:line="360" w:lineRule="auto"/>
        <w:ind w:firstLine="480"/>
        <w:rPr>
          <w:rFonts w:ascii="仿宋" w:hAnsi="仿宋" w:eastAsia="宋体"/>
          <w:iCs/>
          <w:color w:val="000000" w:themeColor="text1"/>
          <w:sz w:val="24"/>
          <w:szCs w:val="24"/>
          <w14:textFill>
            <w14:solidFill>
              <w14:schemeClr w14:val="tx1"/>
            </w14:solidFill>
          </w14:textFill>
        </w:rPr>
      </w:pPr>
      <w:r>
        <w:rPr>
          <w:rFonts w:hint="eastAsia" w:ascii="仿宋" w:hAnsi="仿宋" w:eastAsia="宋体"/>
          <w:iCs/>
          <w:color w:val="000000" w:themeColor="text1"/>
          <w:sz w:val="24"/>
          <w:szCs w:val="24"/>
          <w14:textFill>
            <w14:solidFill>
              <w14:schemeClr w14:val="tx1"/>
            </w14:solidFill>
          </w14:textFill>
        </w:rPr>
        <w:t>1、系统访问量</w:t>
      </w:r>
    </w:p>
    <w:p>
      <w:pPr>
        <w:numPr>
          <w:ilvl w:val="0"/>
          <w:numId w:val="4"/>
        </w:numPr>
        <w:spacing w:line="360" w:lineRule="auto"/>
        <w:ind w:left="840" w:firstLine="480"/>
        <w:rPr>
          <w:rFonts w:ascii="仿宋" w:hAnsi="仿宋" w:eastAsia="宋体"/>
          <w:iCs/>
          <w:color w:val="000000" w:themeColor="text1"/>
          <w:sz w:val="24"/>
          <w:szCs w:val="24"/>
          <w14:textFill>
            <w14:solidFill>
              <w14:schemeClr w14:val="tx1"/>
            </w14:solidFill>
          </w14:textFill>
        </w:rPr>
      </w:pPr>
      <w:r>
        <w:rPr>
          <w:rFonts w:hint="eastAsia" w:ascii="仿宋" w:hAnsi="仿宋" w:eastAsia="宋体"/>
          <w:iCs/>
          <w:color w:val="000000" w:themeColor="text1"/>
          <w:sz w:val="24"/>
          <w:szCs w:val="24"/>
          <w14:textFill>
            <w14:solidFill>
              <w14:schemeClr w14:val="tx1"/>
            </w14:solidFill>
          </w14:textFill>
        </w:rPr>
        <w:t>最大在线用户数：100；</w:t>
      </w:r>
    </w:p>
    <w:p>
      <w:pPr>
        <w:numPr>
          <w:ilvl w:val="0"/>
          <w:numId w:val="4"/>
        </w:numPr>
        <w:spacing w:line="360" w:lineRule="auto"/>
        <w:ind w:left="840" w:firstLine="480"/>
        <w:rPr>
          <w:rFonts w:ascii="仿宋" w:hAnsi="仿宋" w:eastAsia="宋体"/>
          <w:iCs/>
          <w:color w:val="000000" w:themeColor="text1"/>
          <w:sz w:val="24"/>
          <w:szCs w:val="24"/>
          <w14:textFill>
            <w14:solidFill>
              <w14:schemeClr w14:val="tx1"/>
            </w14:solidFill>
          </w14:textFill>
        </w:rPr>
      </w:pPr>
      <w:r>
        <w:rPr>
          <w:rFonts w:hint="eastAsia" w:ascii="仿宋" w:hAnsi="仿宋" w:eastAsia="宋体"/>
          <w:iCs/>
          <w:color w:val="000000" w:themeColor="text1"/>
          <w:sz w:val="24"/>
          <w:szCs w:val="24"/>
          <w14:textFill>
            <w14:solidFill>
              <w14:schemeClr w14:val="tx1"/>
            </w14:solidFill>
          </w14:textFill>
        </w:rPr>
        <w:t>最大并发用户数：10。</w:t>
      </w:r>
    </w:p>
    <w:p>
      <w:pPr>
        <w:spacing w:line="360" w:lineRule="auto"/>
        <w:ind w:firstLine="480"/>
        <w:rPr>
          <w:rFonts w:ascii="仿宋" w:hAnsi="仿宋" w:eastAsia="宋体"/>
          <w:iCs/>
          <w:color w:val="000000" w:themeColor="text1"/>
          <w:sz w:val="24"/>
          <w:szCs w:val="24"/>
          <w14:textFill>
            <w14:solidFill>
              <w14:schemeClr w14:val="tx1"/>
            </w14:solidFill>
          </w14:textFill>
        </w:rPr>
      </w:pPr>
      <w:r>
        <w:rPr>
          <w:rFonts w:hint="eastAsia" w:ascii="仿宋" w:hAnsi="仿宋" w:eastAsia="宋体"/>
          <w:iCs/>
          <w:color w:val="000000" w:themeColor="text1"/>
          <w:sz w:val="24"/>
          <w:szCs w:val="24"/>
          <w14:textFill>
            <w14:solidFill>
              <w14:schemeClr w14:val="tx1"/>
            </w14:solidFill>
          </w14:textFill>
        </w:rPr>
        <w:t>2、数据响应时间</w:t>
      </w:r>
    </w:p>
    <w:p>
      <w:pPr>
        <w:numPr>
          <w:ilvl w:val="0"/>
          <w:numId w:val="4"/>
        </w:numPr>
        <w:spacing w:line="360" w:lineRule="auto"/>
        <w:ind w:left="840" w:firstLine="480"/>
        <w:rPr>
          <w:rFonts w:ascii="仿宋" w:hAnsi="仿宋" w:eastAsia="宋体"/>
          <w:iCs/>
          <w:color w:val="000000" w:themeColor="text1"/>
          <w:sz w:val="24"/>
          <w:szCs w:val="24"/>
          <w14:textFill>
            <w14:solidFill>
              <w14:schemeClr w14:val="tx1"/>
            </w14:solidFill>
          </w14:textFill>
        </w:rPr>
      </w:pPr>
      <w:r>
        <w:rPr>
          <w:rFonts w:hint="eastAsia" w:ascii="仿宋" w:hAnsi="仿宋" w:eastAsia="宋体"/>
          <w:iCs/>
          <w:color w:val="000000" w:themeColor="text1"/>
          <w:sz w:val="24"/>
          <w:szCs w:val="24"/>
          <w14:textFill>
            <w14:solidFill>
              <w14:schemeClr w14:val="tx1"/>
            </w14:solidFill>
          </w14:textFill>
        </w:rPr>
        <w:t>查询类操作响应时间</w:t>
      </w:r>
    </w:p>
    <w:p>
      <w:pPr>
        <w:numPr>
          <w:ilvl w:val="2"/>
          <w:numId w:val="4"/>
        </w:numPr>
        <w:spacing w:line="360" w:lineRule="auto"/>
        <w:ind w:firstLine="480"/>
        <w:rPr>
          <w:rFonts w:ascii="仿宋" w:hAnsi="仿宋" w:eastAsia="宋体"/>
          <w:iCs/>
          <w:color w:val="000000" w:themeColor="text1"/>
          <w:sz w:val="24"/>
          <w:szCs w:val="24"/>
          <w14:textFill>
            <w14:solidFill>
              <w14:schemeClr w14:val="tx1"/>
            </w14:solidFill>
          </w14:textFill>
        </w:rPr>
      </w:pPr>
      <w:r>
        <w:rPr>
          <w:rFonts w:hint="eastAsia" w:ascii="仿宋" w:hAnsi="仿宋" w:eastAsia="宋体"/>
          <w:iCs/>
          <w:color w:val="000000" w:themeColor="text1"/>
          <w:sz w:val="24"/>
          <w:szCs w:val="24"/>
          <w14:textFill>
            <w14:solidFill>
              <w14:schemeClr w14:val="tx1"/>
            </w14:solidFill>
          </w14:textFill>
        </w:rPr>
        <w:t>复杂事务查询的平均响应时间&lt;=2分钟；</w:t>
      </w:r>
    </w:p>
    <w:p>
      <w:pPr>
        <w:numPr>
          <w:ilvl w:val="2"/>
          <w:numId w:val="4"/>
        </w:numPr>
        <w:spacing w:line="360" w:lineRule="auto"/>
        <w:ind w:firstLine="480"/>
        <w:rPr>
          <w:rFonts w:ascii="仿宋" w:hAnsi="仿宋" w:eastAsia="宋体"/>
          <w:iCs/>
          <w:color w:val="000000" w:themeColor="text1"/>
          <w:sz w:val="24"/>
          <w:szCs w:val="24"/>
          <w14:textFill>
            <w14:solidFill>
              <w14:schemeClr w14:val="tx1"/>
            </w14:solidFill>
          </w14:textFill>
        </w:rPr>
      </w:pPr>
      <w:r>
        <w:rPr>
          <w:rFonts w:hint="eastAsia" w:ascii="仿宋" w:hAnsi="仿宋" w:eastAsia="宋体"/>
          <w:iCs/>
          <w:color w:val="000000" w:themeColor="text1"/>
          <w:sz w:val="24"/>
          <w:szCs w:val="24"/>
          <w14:textFill>
            <w14:solidFill>
              <w14:schemeClr w14:val="tx1"/>
            </w14:solidFill>
          </w14:textFill>
        </w:rPr>
        <w:t>简单事务查询的平均响应时间&lt;=5秒。</w:t>
      </w:r>
    </w:p>
    <w:p>
      <w:pPr>
        <w:numPr>
          <w:ilvl w:val="0"/>
          <w:numId w:val="4"/>
        </w:numPr>
        <w:spacing w:line="360" w:lineRule="auto"/>
        <w:ind w:left="840" w:firstLine="480"/>
        <w:rPr>
          <w:rFonts w:ascii="仿宋" w:hAnsi="仿宋" w:eastAsia="宋体"/>
          <w:iCs/>
          <w:color w:val="000000" w:themeColor="text1"/>
          <w:sz w:val="24"/>
          <w:szCs w:val="24"/>
          <w14:textFill>
            <w14:solidFill>
              <w14:schemeClr w14:val="tx1"/>
            </w14:solidFill>
          </w14:textFill>
        </w:rPr>
      </w:pPr>
      <w:r>
        <w:rPr>
          <w:rFonts w:hint="eastAsia" w:ascii="仿宋" w:hAnsi="仿宋" w:eastAsia="宋体"/>
          <w:iCs/>
          <w:color w:val="000000" w:themeColor="text1"/>
          <w:sz w:val="24"/>
          <w:szCs w:val="24"/>
          <w14:textFill>
            <w14:solidFill>
              <w14:schemeClr w14:val="tx1"/>
            </w14:solidFill>
          </w14:textFill>
        </w:rPr>
        <w:t>非查询类操作响应时间</w:t>
      </w:r>
    </w:p>
    <w:p>
      <w:pPr>
        <w:numPr>
          <w:ilvl w:val="2"/>
          <w:numId w:val="4"/>
        </w:numPr>
        <w:spacing w:line="360" w:lineRule="auto"/>
        <w:ind w:firstLine="480"/>
        <w:rPr>
          <w:rFonts w:ascii="仿宋" w:hAnsi="仿宋" w:eastAsia="宋体"/>
          <w:iCs/>
          <w:color w:val="000000" w:themeColor="text1"/>
          <w:sz w:val="24"/>
          <w:szCs w:val="24"/>
          <w14:textFill>
            <w14:solidFill>
              <w14:schemeClr w14:val="tx1"/>
            </w14:solidFill>
          </w14:textFill>
        </w:rPr>
      </w:pPr>
      <w:r>
        <w:rPr>
          <w:rFonts w:hint="eastAsia" w:ascii="仿宋" w:hAnsi="仿宋" w:eastAsia="宋体"/>
          <w:iCs/>
          <w:color w:val="000000" w:themeColor="text1"/>
          <w:sz w:val="24"/>
          <w:szCs w:val="24"/>
          <w14:textFill>
            <w14:solidFill>
              <w14:schemeClr w14:val="tx1"/>
            </w14:solidFill>
          </w14:textFill>
        </w:rPr>
        <w:t>非查询类应用界面（增加、删除、修改类操作）平均响应时间&lt;=3秒；</w:t>
      </w:r>
    </w:p>
    <w:p>
      <w:pPr>
        <w:numPr>
          <w:ilvl w:val="2"/>
          <w:numId w:val="4"/>
        </w:numPr>
        <w:spacing w:line="360" w:lineRule="auto"/>
        <w:ind w:firstLine="480"/>
        <w:rPr>
          <w:rFonts w:ascii="仿宋" w:hAnsi="仿宋" w:eastAsia="宋体"/>
          <w:iCs/>
          <w:color w:val="000000" w:themeColor="text1"/>
          <w:sz w:val="24"/>
          <w:szCs w:val="24"/>
          <w14:textFill>
            <w14:solidFill>
              <w14:schemeClr w14:val="tx1"/>
            </w14:solidFill>
          </w14:textFill>
        </w:rPr>
      </w:pPr>
      <w:r>
        <w:rPr>
          <w:rFonts w:hint="eastAsia" w:ascii="仿宋" w:hAnsi="仿宋" w:eastAsia="宋体"/>
          <w:iCs/>
          <w:color w:val="000000" w:themeColor="text1"/>
          <w:sz w:val="24"/>
          <w:szCs w:val="24"/>
          <w14:textFill>
            <w14:solidFill>
              <w14:schemeClr w14:val="tx1"/>
            </w14:solidFill>
          </w14:textFill>
        </w:rPr>
        <w:t>复杂业务逻辑应用界面的平均响应时间&lt;=15秒。</w:t>
      </w:r>
    </w:p>
    <w:p>
      <w:pPr>
        <w:spacing w:line="360" w:lineRule="auto"/>
        <w:ind w:firstLine="480"/>
        <w:rPr>
          <w:rFonts w:ascii="仿宋" w:hAnsi="仿宋" w:eastAsia="宋体"/>
          <w:iCs/>
          <w:color w:val="FF0000"/>
          <w:sz w:val="24"/>
          <w:szCs w:val="24"/>
        </w:rPr>
      </w:pPr>
      <w:r>
        <w:rPr>
          <w:rFonts w:ascii="仿宋" w:hAnsi="仿宋" w:eastAsia="宋体"/>
          <w:iCs/>
          <w:color w:val="FF0000"/>
          <w:sz w:val="24"/>
          <w:szCs w:val="24"/>
        </w:rPr>
        <w:br w:type="page"/>
      </w:r>
    </w:p>
    <w:p>
      <w:pPr>
        <w:pStyle w:val="2"/>
        <w:rPr>
          <w:rFonts w:hint="eastAsia"/>
        </w:rPr>
      </w:pPr>
      <w:bookmarkStart w:id="170" w:name="_Toc17747"/>
      <w:bookmarkStart w:id="171" w:name="_Toc500098435"/>
      <w:bookmarkStart w:id="172" w:name="_Toc14258"/>
      <w:bookmarkStart w:id="173" w:name="_Toc19330"/>
      <w:bookmarkStart w:id="174" w:name="_Toc8317"/>
      <w:r>
        <w:rPr>
          <w:rFonts w:hint="eastAsia"/>
        </w:rPr>
        <w:t>软硬件</w:t>
      </w:r>
      <w:bookmarkEnd w:id="170"/>
      <w:bookmarkEnd w:id="171"/>
      <w:r>
        <w:rPr>
          <w:rFonts w:hint="eastAsia"/>
        </w:rPr>
        <w:t>技术规格</w:t>
      </w:r>
      <w:bookmarkEnd w:id="172"/>
      <w:bookmarkEnd w:id="173"/>
      <w:bookmarkEnd w:id="174"/>
    </w:p>
    <w:p>
      <w:pPr>
        <w:pStyle w:val="3"/>
      </w:pPr>
      <w:bookmarkStart w:id="175" w:name="_Toc28145"/>
      <w:r>
        <w:rPr>
          <w:rFonts w:hint="eastAsia"/>
        </w:rPr>
        <w:t>消防远程监控管理系统</w:t>
      </w:r>
      <w:bookmarkEnd w:id="175"/>
    </w:p>
    <w:tbl>
      <w:tblPr>
        <w:tblStyle w:val="33"/>
        <w:tblW w:w="8912" w:type="dxa"/>
        <w:jc w:val="center"/>
        <w:tblInd w:w="-3139" w:type="dxa"/>
        <w:tblLayout w:type="fixed"/>
        <w:tblCellMar>
          <w:top w:w="15" w:type="dxa"/>
          <w:left w:w="15" w:type="dxa"/>
          <w:bottom w:w="15" w:type="dxa"/>
          <w:right w:w="15" w:type="dxa"/>
        </w:tblCellMar>
      </w:tblPr>
      <w:tblGrid>
        <w:gridCol w:w="1080"/>
        <w:gridCol w:w="3255"/>
        <w:gridCol w:w="2882"/>
        <w:gridCol w:w="870"/>
        <w:gridCol w:w="825"/>
      </w:tblGrid>
      <w:tr>
        <w:tblPrEx>
          <w:tblLayout w:type="fixed"/>
          <w:tblCellMar>
            <w:top w:w="15" w:type="dxa"/>
            <w:left w:w="15" w:type="dxa"/>
            <w:bottom w:w="15" w:type="dxa"/>
            <w:right w:w="15" w:type="dxa"/>
          </w:tblCellMar>
        </w:tblPrEx>
        <w:trPr>
          <w:trHeight w:val="285"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eastAsia="宋体" w:cs="宋体"/>
                <w:b/>
                <w:color w:val="000000"/>
                <w:sz w:val="21"/>
                <w:szCs w:val="21"/>
              </w:rPr>
            </w:pPr>
            <w:bookmarkStart w:id="176" w:name="_Hlk517857854"/>
            <w:r>
              <w:rPr>
                <w:rFonts w:hint="eastAsia" w:ascii="宋体" w:hAnsi="宋体" w:eastAsia="宋体" w:cs="宋体"/>
                <w:b/>
                <w:color w:val="000000"/>
                <w:kern w:val="0"/>
                <w:sz w:val="21"/>
                <w:szCs w:val="21"/>
                <w:lang w:bidi="ar"/>
              </w:rPr>
              <w:t>序号</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eastAsia="宋体" w:cs="宋体"/>
                <w:b/>
                <w:color w:val="000000"/>
                <w:sz w:val="21"/>
                <w:szCs w:val="21"/>
              </w:rPr>
            </w:pPr>
            <w:r>
              <w:rPr>
                <w:rFonts w:hint="eastAsia" w:ascii="宋体" w:hAnsi="宋体" w:eastAsia="宋体" w:cs="宋体"/>
                <w:b/>
                <w:color w:val="000000"/>
                <w:kern w:val="0"/>
                <w:sz w:val="21"/>
                <w:szCs w:val="21"/>
                <w:lang w:bidi="ar"/>
              </w:rPr>
              <w:t>项目名称</w:t>
            </w:r>
          </w:p>
        </w:tc>
        <w:tc>
          <w:tcPr>
            <w:tcW w:w="28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eastAsia="宋体" w:cs="宋体"/>
                <w:b/>
                <w:color w:val="000000"/>
                <w:sz w:val="21"/>
                <w:szCs w:val="21"/>
              </w:rPr>
            </w:pPr>
            <w:bookmarkStart w:id="177" w:name="OLE_LINK5"/>
            <w:bookmarkStart w:id="178" w:name="OLE_LINK9"/>
            <w:bookmarkStart w:id="179" w:name="OLE_LINK7"/>
            <w:r>
              <w:rPr>
                <w:rFonts w:hint="eastAsia" w:ascii="宋体" w:hAnsi="宋体" w:eastAsia="宋体" w:cs="宋体"/>
                <w:b/>
                <w:color w:val="000000"/>
                <w:kern w:val="0"/>
                <w:sz w:val="21"/>
                <w:szCs w:val="21"/>
                <w:lang w:bidi="ar"/>
              </w:rPr>
              <w:t>参数规格</w:t>
            </w:r>
            <w:bookmarkEnd w:id="177"/>
            <w:bookmarkEnd w:id="178"/>
            <w:bookmarkEnd w:id="179"/>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ind w:firstLine="0" w:firstLineChars="0"/>
              <w:textAlignment w:val="center"/>
              <w:rPr>
                <w:rFonts w:ascii="宋体" w:hAnsi="宋体" w:eastAsia="宋体" w:cs="宋体"/>
                <w:b/>
                <w:color w:val="000000"/>
                <w:sz w:val="21"/>
                <w:szCs w:val="21"/>
              </w:rPr>
            </w:pPr>
            <w:r>
              <w:rPr>
                <w:rFonts w:hint="eastAsia" w:ascii="宋体" w:hAnsi="宋体" w:eastAsia="宋体" w:cs="宋体"/>
                <w:b/>
                <w:color w:val="000000"/>
                <w:kern w:val="0"/>
                <w:sz w:val="21"/>
                <w:szCs w:val="21"/>
                <w:lang w:bidi="ar"/>
              </w:rPr>
              <w:t>数量</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textAlignment w:val="center"/>
              <w:rPr>
                <w:rFonts w:ascii="宋体" w:hAnsi="宋体" w:eastAsia="宋体" w:cs="宋体"/>
                <w:b/>
                <w:color w:val="000000"/>
                <w:sz w:val="21"/>
                <w:szCs w:val="21"/>
              </w:rPr>
            </w:pPr>
            <w:r>
              <w:rPr>
                <w:rFonts w:hint="eastAsia" w:ascii="宋体" w:hAnsi="宋体" w:eastAsia="宋体" w:cs="宋体"/>
                <w:b/>
                <w:color w:val="000000"/>
                <w:kern w:val="0"/>
                <w:sz w:val="21"/>
                <w:szCs w:val="21"/>
                <w:lang w:bidi="ar"/>
              </w:rPr>
              <w:t>单位</w:t>
            </w:r>
          </w:p>
        </w:tc>
      </w:tr>
      <w:bookmarkEnd w:id="176"/>
      <w:tr>
        <w:tblPrEx>
          <w:tblLayout w:type="fixed"/>
          <w:tblCellMar>
            <w:top w:w="15" w:type="dxa"/>
            <w:left w:w="15" w:type="dxa"/>
            <w:bottom w:w="15" w:type="dxa"/>
            <w:right w:w="15" w:type="dxa"/>
          </w:tblCellMar>
        </w:tblPrEx>
        <w:trPr>
          <w:trHeight w:val="285" w:hRule="atLeast"/>
          <w:jc w:val="center"/>
        </w:trPr>
        <w:tc>
          <w:tcPr>
            <w:tcW w:w="7217" w:type="dxa"/>
            <w:gridSpan w:val="3"/>
            <w:tcBorders>
              <w:top w:val="single" w:color="000000" w:sz="4" w:space="0"/>
              <w:left w:val="single" w:color="000000" w:sz="4" w:space="0"/>
              <w:bottom w:val="single" w:color="000000" w:sz="4" w:space="0"/>
              <w:right w:val="single" w:color="000000" w:sz="4" w:space="0"/>
            </w:tcBorders>
            <w:shd w:val="clear" w:color="auto" w:fill="D9D9D9"/>
            <w:vAlign w:val="center"/>
          </w:tcPr>
          <w:p>
            <w:pPr>
              <w:widowControl/>
              <w:spacing w:line="240" w:lineRule="auto"/>
              <w:ind w:firstLine="0" w:firstLineChars="0"/>
              <w:jc w:val="left"/>
              <w:textAlignment w:val="center"/>
              <w:rPr>
                <w:rFonts w:ascii="宋体" w:hAnsi="宋体" w:eastAsia="宋体" w:cs="宋体"/>
                <w:b/>
                <w:color w:val="000000"/>
                <w:sz w:val="20"/>
                <w:szCs w:val="20"/>
              </w:rPr>
            </w:pPr>
          </w:p>
        </w:tc>
        <w:tc>
          <w:tcPr>
            <w:tcW w:w="870" w:type="dxa"/>
            <w:tcBorders>
              <w:top w:val="single" w:color="000000" w:sz="4" w:space="0"/>
              <w:left w:val="single" w:color="000000" w:sz="4" w:space="0"/>
              <w:bottom w:val="single" w:color="000000" w:sz="4" w:space="0"/>
              <w:right w:val="single" w:color="000000" w:sz="4" w:space="0"/>
            </w:tcBorders>
            <w:shd w:val="clear" w:color="auto" w:fill="D9D9D9"/>
            <w:vAlign w:val="center"/>
          </w:tcPr>
          <w:p>
            <w:pPr>
              <w:widowControl/>
              <w:spacing w:line="240" w:lineRule="auto"/>
              <w:ind w:firstLine="0" w:firstLineChars="0"/>
              <w:jc w:val="center"/>
              <w:rPr>
                <w:rFonts w:ascii="Arial Narrow" w:hAnsi="Arial Narrow" w:eastAsia="Arial Narrow" w:cs="Arial Narrow"/>
                <w:b/>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D9D9D9"/>
            <w:vAlign w:val="center"/>
          </w:tcPr>
          <w:p>
            <w:pPr>
              <w:widowControl/>
              <w:spacing w:line="240" w:lineRule="auto"/>
              <w:ind w:firstLine="0" w:firstLineChars="0"/>
              <w:jc w:val="center"/>
              <w:rPr>
                <w:rFonts w:ascii="Arial Narrow" w:hAnsi="Arial Narrow" w:eastAsia="Arial Narrow" w:cs="Arial Narrow"/>
                <w:b/>
                <w:color w:val="000000"/>
                <w:sz w:val="20"/>
                <w:szCs w:val="20"/>
              </w:rPr>
            </w:pPr>
          </w:p>
        </w:tc>
      </w:tr>
      <w:tr>
        <w:tblPrEx>
          <w:tblLayout w:type="fixed"/>
          <w:tblCellMar>
            <w:top w:w="15" w:type="dxa"/>
            <w:left w:w="15" w:type="dxa"/>
            <w:bottom w:w="15" w:type="dxa"/>
            <w:right w:w="15" w:type="dxa"/>
          </w:tblCellMar>
        </w:tblPrEx>
        <w:trPr>
          <w:trHeight w:val="360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1</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消防远程监控管理软件</w:t>
            </w:r>
          </w:p>
        </w:tc>
        <w:tc>
          <w:tcPr>
            <w:tcW w:w="28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通信服务子系统；</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数据库子系统；</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信息\统计查询子系统；</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维护管理子系统；</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自动校时子系统；</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火灾报警监控管理；</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值班室视频系统管理；</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报警及运行状态信息短信发送系统；</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消防设备管理子系统；</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公告管理子系统；</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ind w:firstLine="0" w:firstLineChars="0"/>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1</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套 </w:t>
            </w:r>
          </w:p>
        </w:tc>
      </w:tr>
    </w:tbl>
    <w:p>
      <w:pPr>
        <w:pStyle w:val="3"/>
        <w:ind w:firstLine="482"/>
        <w:rPr>
          <w:rFonts w:hint="eastAsia"/>
        </w:rPr>
      </w:pPr>
      <w:bookmarkStart w:id="180" w:name="_Toc22565"/>
      <w:r>
        <w:rPr>
          <w:rFonts w:hint="eastAsia"/>
        </w:rPr>
        <w:t>监控中心专用硬件设备</w:t>
      </w:r>
      <w:bookmarkEnd w:id="180"/>
    </w:p>
    <w:p>
      <w:pPr>
        <w:widowControl/>
        <w:tabs>
          <w:tab w:val="left" w:pos="-2059"/>
          <w:tab w:val="left" w:pos="1196"/>
          <w:tab w:val="left" w:pos="4078"/>
          <w:tab w:val="left" w:pos="4948"/>
        </w:tabs>
        <w:spacing w:line="240" w:lineRule="auto"/>
        <w:ind w:left="-3139" w:firstLine="0" w:firstLineChars="0"/>
        <w:jc w:val="left"/>
        <w:textAlignment w:val="center"/>
        <w:rPr>
          <w:rFonts w:hint="eastAsia" w:ascii="宋体" w:hAnsi="宋体" w:eastAsia="宋体" w:cs="宋体"/>
          <w:color w:val="000000"/>
          <w:kern w:val="0"/>
          <w:sz w:val="20"/>
          <w:szCs w:val="20"/>
          <w:lang w:bidi="ar"/>
        </w:rPr>
      </w:pPr>
    </w:p>
    <w:tbl>
      <w:tblPr>
        <w:tblStyle w:val="33"/>
        <w:tblW w:w="8912" w:type="dxa"/>
        <w:jc w:val="center"/>
        <w:tblInd w:w="-3139" w:type="dxa"/>
        <w:tblLayout w:type="fixed"/>
        <w:tblCellMar>
          <w:top w:w="15" w:type="dxa"/>
          <w:left w:w="15" w:type="dxa"/>
          <w:bottom w:w="15" w:type="dxa"/>
          <w:right w:w="15" w:type="dxa"/>
        </w:tblCellMar>
      </w:tblPr>
      <w:tblGrid>
        <w:gridCol w:w="1080"/>
        <w:gridCol w:w="3255"/>
        <w:gridCol w:w="2882"/>
        <w:gridCol w:w="870"/>
        <w:gridCol w:w="825"/>
      </w:tblGrid>
      <w:tr>
        <w:tblPrEx>
          <w:tblLayout w:type="fixed"/>
          <w:tblCellMar>
            <w:top w:w="15" w:type="dxa"/>
            <w:left w:w="15" w:type="dxa"/>
            <w:bottom w:w="15" w:type="dxa"/>
            <w:right w:w="15" w:type="dxa"/>
          </w:tblCellMar>
        </w:tblPrEx>
        <w:trPr>
          <w:trHeight w:val="285"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ind w:firstLine="0" w:firstLineChars="0"/>
              <w:jc w:val="center"/>
              <w:textAlignment w:val="center"/>
              <w:rPr>
                <w:rFonts w:ascii="宋体" w:hAnsi="宋体" w:eastAsia="宋体" w:cs="宋体"/>
                <w:b/>
                <w:color w:val="000000"/>
                <w:sz w:val="21"/>
                <w:szCs w:val="21"/>
              </w:rPr>
            </w:pPr>
            <w:r>
              <w:rPr>
                <w:rFonts w:hint="eastAsia" w:ascii="宋体" w:hAnsi="宋体" w:eastAsia="宋体" w:cs="宋体"/>
                <w:b/>
                <w:color w:val="000000"/>
                <w:kern w:val="0"/>
                <w:sz w:val="21"/>
                <w:szCs w:val="21"/>
                <w:lang w:bidi="ar"/>
              </w:rPr>
              <w:t>序号</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eastAsia="宋体" w:cs="宋体"/>
                <w:b/>
                <w:color w:val="000000"/>
                <w:sz w:val="21"/>
                <w:szCs w:val="21"/>
              </w:rPr>
            </w:pPr>
            <w:r>
              <w:rPr>
                <w:rFonts w:hint="eastAsia" w:ascii="宋体" w:hAnsi="宋体" w:eastAsia="宋体" w:cs="宋体"/>
                <w:b/>
                <w:color w:val="000000"/>
                <w:kern w:val="0"/>
                <w:sz w:val="21"/>
                <w:szCs w:val="21"/>
                <w:lang w:bidi="ar"/>
              </w:rPr>
              <w:t>项目名称</w:t>
            </w:r>
          </w:p>
        </w:tc>
        <w:tc>
          <w:tcPr>
            <w:tcW w:w="28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ind w:firstLine="0" w:firstLineChars="0"/>
              <w:jc w:val="center"/>
              <w:textAlignment w:val="center"/>
              <w:rPr>
                <w:rFonts w:ascii="宋体" w:hAnsi="宋体" w:eastAsia="宋体" w:cs="宋体"/>
                <w:b/>
                <w:color w:val="000000"/>
                <w:sz w:val="21"/>
                <w:szCs w:val="21"/>
              </w:rPr>
            </w:pPr>
            <w:r>
              <w:rPr>
                <w:rFonts w:hint="eastAsia" w:ascii="宋体" w:hAnsi="宋体" w:eastAsia="宋体" w:cs="宋体"/>
                <w:b/>
                <w:color w:val="000000"/>
                <w:kern w:val="0"/>
                <w:sz w:val="21"/>
                <w:szCs w:val="21"/>
                <w:lang w:bidi="ar"/>
              </w:rPr>
              <w:t>参数规格</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textAlignment w:val="center"/>
              <w:rPr>
                <w:rFonts w:ascii="宋体" w:hAnsi="宋体" w:eastAsia="宋体" w:cs="宋体"/>
                <w:b/>
                <w:color w:val="000000"/>
                <w:sz w:val="21"/>
                <w:szCs w:val="21"/>
              </w:rPr>
            </w:pPr>
            <w:r>
              <w:rPr>
                <w:rFonts w:hint="eastAsia" w:ascii="宋体" w:hAnsi="宋体" w:eastAsia="宋体" w:cs="宋体"/>
                <w:b/>
                <w:color w:val="000000"/>
                <w:kern w:val="0"/>
                <w:sz w:val="21"/>
                <w:szCs w:val="21"/>
                <w:lang w:bidi="ar"/>
              </w:rPr>
              <w:t>数量</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textAlignment w:val="center"/>
              <w:rPr>
                <w:rFonts w:ascii="宋体" w:hAnsi="宋体" w:eastAsia="宋体" w:cs="宋体"/>
                <w:b/>
                <w:color w:val="000000"/>
                <w:sz w:val="21"/>
                <w:szCs w:val="21"/>
              </w:rPr>
            </w:pPr>
            <w:r>
              <w:rPr>
                <w:rFonts w:hint="eastAsia" w:ascii="宋体" w:hAnsi="宋体" w:eastAsia="宋体" w:cs="宋体"/>
                <w:b/>
                <w:color w:val="000000"/>
                <w:kern w:val="0"/>
                <w:sz w:val="21"/>
                <w:szCs w:val="21"/>
                <w:lang w:bidi="ar"/>
              </w:rPr>
              <w:t>单位</w:t>
            </w:r>
          </w:p>
        </w:tc>
      </w:tr>
      <w:tr>
        <w:tblPrEx>
          <w:tblLayout w:type="fixed"/>
          <w:tblCellMar>
            <w:top w:w="15" w:type="dxa"/>
            <w:left w:w="15" w:type="dxa"/>
            <w:bottom w:w="15" w:type="dxa"/>
            <w:right w:w="15" w:type="dxa"/>
          </w:tblCellMar>
        </w:tblPrEx>
        <w:trPr>
          <w:trHeight w:val="285"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ind w:firstLine="0" w:firstLineChars="0"/>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1</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雷击浪涌保护器</w:t>
            </w:r>
          </w:p>
        </w:tc>
        <w:tc>
          <w:tcPr>
            <w:tcW w:w="28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ind w:firstLine="0" w:firstLineChars="0"/>
              <w:jc w:val="left"/>
              <w:rPr>
                <w:rFonts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复合型B+C级</w:t>
            </w:r>
          </w:p>
          <w:p>
            <w:pPr>
              <w:widowControl/>
              <w:spacing w:line="240" w:lineRule="auto"/>
              <w:ind w:firstLine="0" w:firstLineChars="0"/>
              <w:jc w:val="left"/>
              <w:rPr>
                <w:rFonts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额定电压</w:t>
            </w:r>
            <w:r>
              <w:rPr>
                <w:rFonts w:hint="eastAsia" w:ascii="宋体" w:hAnsi="宋体" w:eastAsia="宋体" w:cs="宋体"/>
                <w:color w:val="000000"/>
                <w:kern w:val="0"/>
                <w:sz w:val="20"/>
                <w:szCs w:val="20"/>
                <w:lang w:bidi="ar"/>
              </w:rPr>
              <w:tab/>
            </w:r>
            <w:r>
              <w:rPr>
                <w:rFonts w:hint="eastAsia" w:ascii="宋体" w:hAnsi="宋体" w:eastAsia="宋体" w:cs="宋体"/>
                <w:color w:val="000000"/>
                <w:kern w:val="0"/>
                <w:sz w:val="20"/>
                <w:szCs w:val="20"/>
                <w:lang w:bidi="ar"/>
              </w:rPr>
              <w:t>320V</w:t>
            </w:r>
            <w:r>
              <w:rPr>
                <w:rFonts w:hint="eastAsia" w:ascii="宋体" w:hAnsi="宋体" w:eastAsia="宋体" w:cs="宋体"/>
                <w:color w:val="000000"/>
                <w:kern w:val="0"/>
                <w:sz w:val="20"/>
                <w:szCs w:val="20"/>
                <w:lang w:bidi="ar"/>
              </w:rPr>
              <w:tab/>
            </w:r>
            <w:r>
              <w:rPr>
                <w:rFonts w:hint="eastAsia" w:ascii="宋体" w:hAnsi="宋体" w:eastAsia="宋体" w:cs="宋体"/>
                <w:color w:val="000000"/>
                <w:kern w:val="0"/>
                <w:sz w:val="20"/>
                <w:szCs w:val="20"/>
                <w:lang w:bidi="ar"/>
              </w:rPr>
              <w:t>385V</w:t>
            </w:r>
          </w:p>
          <w:p>
            <w:pPr>
              <w:widowControl/>
              <w:spacing w:line="240" w:lineRule="auto"/>
              <w:ind w:firstLine="0" w:firstLineChars="0"/>
              <w:jc w:val="left"/>
              <w:rPr>
                <w:rFonts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最大持续工作电压</w:t>
            </w:r>
            <w:r>
              <w:rPr>
                <w:rFonts w:hint="eastAsia" w:ascii="宋体" w:hAnsi="宋体" w:eastAsia="宋体" w:cs="宋体"/>
                <w:color w:val="000000"/>
                <w:kern w:val="0"/>
                <w:sz w:val="20"/>
                <w:szCs w:val="20"/>
                <w:lang w:bidi="ar"/>
              </w:rPr>
              <w:tab/>
            </w:r>
            <w:r>
              <w:rPr>
                <w:rFonts w:hint="eastAsia" w:ascii="宋体" w:hAnsi="宋体" w:eastAsia="宋体" w:cs="宋体"/>
                <w:color w:val="000000"/>
                <w:kern w:val="0"/>
                <w:sz w:val="20"/>
                <w:szCs w:val="20"/>
                <w:lang w:bidi="ar"/>
              </w:rPr>
              <w:t>410V</w:t>
            </w:r>
            <w:r>
              <w:rPr>
                <w:rFonts w:hint="eastAsia" w:ascii="宋体" w:hAnsi="宋体" w:eastAsia="宋体" w:cs="宋体"/>
                <w:color w:val="000000"/>
                <w:kern w:val="0"/>
                <w:sz w:val="20"/>
                <w:szCs w:val="20"/>
                <w:lang w:bidi="ar"/>
              </w:rPr>
              <w:tab/>
            </w:r>
            <w:r>
              <w:rPr>
                <w:rFonts w:hint="eastAsia" w:ascii="宋体" w:hAnsi="宋体" w:eastAsia="宋体" w:cs="宋体"/>
                <w:color w:val="000000"/>
                <w:kern w:val="0"/>
                <w:sz w:val="20"/>
                <w:szCs w:val="20"/>
                <w:lang w:bidi="ar"/>
              </w:rPr>
              <w:t>505V</w:t>
            </w:r>
          </w:p>
          <w:p>
            <w:pPr>
              <w:widowControl/>
              <w:spacing w:line="240" w:lineRule="auto"/>
              <w:ind w:firstLine="0" w:firstLineChars="0"/>
              <w:jc w:val="left"/>
              <w:rPr>
                <w:rFonts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最大放电浪涌电流</w:t>
            </w:r>
            <w:r>
              <w:rPr>
                <w:rFonts w:hint="eastAsia" w:ascii="宋体" w:hAnsi="宋体" w:eastAsia="宋体" w:cs="宋体"/>
                <w:color w:val="000000"/>
                <w:kern w:val="0"/>
                <w:sz w:val="20"/>
                <w:szCs w:val="20"/>
                <w:lang w:bidi="ar"/>
              </w:rPr>
              <w:tab/>
            </w:r>
            <w:r>
              <w:rPr>
                <w:rFonts w:hint="eastAsia" w:ascii="宋体" w:hAnsi="宋体" w:eastAsia="宋体" w:cs="宋体"/>
                <w:color w:val="000000"/>
                <w:kern w:val="0"/>
                <w:sz w:val="20"/>
                <w:szCs w:val="20"/>
                <w:lang w:bidi="ar"/>
              </w:rPr>
              <w:t>50 kA</w:t>
            </w:r>
          </w:p>
          <w:p>
            <w:pPr>
              <w:widowControl/>
              <w:spacing w:line="240" w:lineRule="auto"/>
              <w:ind w:firstLine="0" w:firstLineChars="0"/>
              <w:jc w:val="left"/>
              <w:rPr>
                <w:rFonts w:ascii="宋体" w:hAnsi="宋体" w:eastAsia="宋体" w:cs="宋体"/>
                <w:color w:val="000000"/>
                <w:sz w:val="20"/>
                <w:szCs w:val="20"/>
              </w:rPr>
            </w:pPr>
            <w:r>
              <w:rPr>
                <w:rFonts w:hint="eastAsia" w:ascii="宋体" w:hAnsi="宋体" w:eastAsia="宋体" w:cs="宋体"/>
                <w:color w:val="000000"/>
                <w:kern w:val="0"/>
                <w:sz w:val="20"/>
                <w:szCs w:val="20"/>
                <w:lang w:bidi="ar"/>
              </w:rPr>
              <w:t>标称放电电流 7KA</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1</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台</w:t>
            </w:r>
          </w:p>
        </w:tc>
      </w:tr>
      <w:tr>
        <w:tblPrEx>
          <w:tblLayout w:type="fixed"/>
          <w:tblCellMar>
            <w:top w:w="15" w:type="dxa"/>
            <w:left w:w="15" w:type="dxa"/>
            <w:bottom w:w="15" w:type="dxa"/>
            <w:right w:w="15" w:type="dxa"/>
          </w:tblCellMar>
        </w:tblPrEx>
        <w:trPr>
          <w:trHeight w:val="285"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ind w:firstLine="0" w:firstLineChars="0"/>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2</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left"/>
              <w:textAlignment w:val="center"/>
              <w:rPr>
                <w:rFonts w:ascii="宋体" w:hAnsi="宋体" w:eastAsia="宋体" w:cs="宋体"/>
                <w:color w:val="000000"/>
                <w:sz w:val="18"/>
                <w:szCs w:val="18"/>
              </w:rPr>
            </w:pPr>
            <w:bookmarkStart w:id="181" w:name="OLE_LINK19"/>
            <w:r>
              <w:rPr>
                <w:rFonts w:hint="eastAsia" w:ascii="宋体" w:hAnsi="宋体" w:eastAsia="宋体" w:cs="宋体"/>
                <w:color w:val="000000"/>
                <w:kern w:val="0"/>
                <w:sz w:val="18"/>
                <w:szCs w:val="18"/>
                <w:lang w:bidi="ar"/>
              </w:rPr>
              <w:t>GPS全网校时</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服务器</w:t>
            </w:r>
            <w:bookmarkEnd w:id="181"/>
          </w:p>
        </w:tc>
        <w:tc>
          <w:tcPr>
            <w:tcW w:w="28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ind w:firstLine="0" w:firstLineChars="0"/>
              <w:jc w:val="left"/>
              <w:rPr>
                <w:rFonts w:ascii="宋体" w:hAnsi="宋体" w:eastAsia="宋体" w:cs="宋体"/>
                <w:color w:val="000000"/>
                <w:sz w:val="20"/>
                <w:szCs w:val="20"/>
              </w:rPr>
            </w:pPr>
            <w:r>
              <w:rPr>
                <w:rFonts w:hint="eastAsia" w:ascii="宋体" w:hAnsi="宋体" w:eastAsia="宋体" w:cs="宋体"/>
                <w:color w:val="000000"/>
                <w:sz w:val="20"/>
                <w:szCs w:val="20"/>
              </w:rPr>
              <w:t>GPS 北斗双模卫星，可提供最多4路NTP/SNTP网络校时接口；</w:t>
            </w:r>
          </w:p>
          <w:p>
            <w:pPr>
              <w:widowControl/>
              <w:spacing w:line="240" w:lineRule="auto"/>
              <w:ind w:firstLine="0" w:firstLineChars="0"/>
              <w:jc w:val="left"/>
              <w:rPr>
                <w:rFonts w:hint="eastAsia" w:ascii="宋体" w:hAnsi="宋体" w:eastAsia="宋体" w:cs="宋体"/>
                <w:color w:val="000000"/>
                <w:sz w:val="20"/>
                <w:szCs w:val="20"/>
              </w:rPr>
            </w:pPr>
            <w:r>
              <w:rPr>
                <w:rFonts w:hint="eastAsia" w:ascii="宋体" w:hAnsi="宋体" w:eastAsia="宋体" w:cs="宋体"/>
                <w:color w:val="000000"/>
                <w:sz w:val="20"/>
                <w:szCs w:val="20"/>
              </w:rPr>
              <w:t>串口TOD授时，每秒发送一次时、分、秒、年、月、日时间信息；</w:t>
            </w:r>
          </w:p>
          <w:p>
            <w:pPr>
              <w:widowControl/>
              <w:spacing w:line="240" w:lineRule="auto"/>
              <w:ind w:firstLine="0" w:firstLineChars="0"/>
              <w:jc w:val="left"/>
              <w:rPr>
                <w:rFonts w:hint="eastAsia" w:ascii="宋体" w:hAnsi="宋体" w:eastAsia="宋体" w:cs="宋体"/>
                <w:color w:val="000000"/>
                <w:sz w:val="20"/>
                <w:szCs w:val="20"/>
              </w:rPr>
            </w:pPr>
            <w:r>
              <w:rPr>
                <w:rFonts w:hint="eastAsia" w:ascii="宋体" w:hAnsi="宋体" w:eastAsia="宋体" w:cs="宋体"/>
                <w:color w:val="000000"/>
                <w:sz w:val="20"/>
                <w:szCs w:val="20"/>
              </w:rPr>
              <w:t>输出定时同步脉冲信号（1PPS），TTL接口输出；</w:t>
            </w:r>
          </w:p>
          <w:p>
            <w:pPr>
              <w:widowControl/>
              <w:spacing w:line="240" w:lineRule="auto"/>
              <w:ind w:firstLine="0" w:firstLineChars="0"/>
              <w:jc w:val="left"/>
              <w:rPr>
                <w:rFonts w:ascii="宋体" w:hAnsi="宋体" w:eastAsia="宋体" w:cs="宋体"/>
                <w:color w:val="000000"/>
                <w:sz w:val="20"/>
                <w:szCs w:val="20"/>
              </w:rPr>
            </w:pPr>
            <w:r>
              <w:rPr>
                <w:rFonts w:hint="eastAsia" w:ascii="宋体" w:hAnsi="宋体" w:eastAsia="宋体" w:cs="宋体"/>
                <w:color w:val="000000"/>
                <w:sz w:val="20"/>
                <w:szCs w:val="20"/>
              </w:rPr>
              <w:t>前面板显示年月日时分秒、卫星颗数及工作状态；</w:t>
            </w:r>
          </w:p>
          <w:p>
            <w:pPr>
              <w:widowControl/>
              <w:spacing w:line="240" w:lineRule="auto"/>
              <w:ind w:firstLine="0" w:firstLineChars="0"/>
              <w:jc w:val="left"/>
              <w:rPr>
                <w:rFonts w:ascii="宋体" w:hAnsi="宋体" w:eastAsia="宋体" w:cs="宋体"/>
                <w:color w:val="000000"/>
                <w:sz w:val="20"/>
                <w:szCs w:val="20"/>
              </w:rPr>
            </w:pPr>
            <w:r>
              <w:rPr>
                <w:rFonts w:hint="eastAsia" w:ascii="宋体" w:hAnsi="宋体" w:eastAsia="宋体" w:cs="宋体"/>
                <w:color w:val="000000"/>
                <w:sz w:val="20"/>
                <w:szCs w:val="20"/>
              </w:rPr>
              <w:t>支持windows、LINUX、UNIX、SUN SOLARIS、IBM AIX等操作系统时间同步</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1</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台</w:t>
            </w:r>
          </w:p>
        </w:tc>
      </w:tr>
      <w:tr>
        <w:tblPrEx>
          <w:tblLayout w:type="fixed"/>
          <w:tblCellMar>
            <w:top w:w="15" w:type="dxa"/>
            <w:left w:w="15" w:type="dxa"/>
            <w:bottom w:w="15" w:type="dxa"/>
            <w:right w:w="15" w:type="dxa"/>
          </w:tblCellMar>
        </w:tblPrEx>
        <w:trPr>
          <w:trHeight w:val="285"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ind w:firstLine="0" w:firstLineChars="0"/>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left"/>
              <w:textAlignment w:val="center"/>
              <w:rPr>
                <w:rFonts w:ascii="宋体" w:hAnsi="宋体" w:eastAsia="宋体" w:cs="宋体"/>
                <w:color w:val="000000"/>
                <w:sz w:val="18"/>
                <w:szCs w:val="18"/>
              </w:rPr>
            </w:pPr>
            <w:bookmarkStart w:id="182" w:name="OLE_LINK18"/>
            <w:bookmarkStart w:id="183" w:name="OLE_LINK17"/>
            <w:r>
              <w:rPr>
                <w:rFonts w:hint="eastAsia" w:ascii="宋体" w:hAnsi="宋体" w:eastAsia="宋体" w:cs="宋体"/>
                <w:color w:val="000000"/>
                <w:kern w:val="0"/>
                <w:sz w:val="18"/>
                <w:szCs w:val="18"/>
                <w:lang w:bidi="ar"/>
              </w:rPr>
              <w:t>短信发送服务器</w:t>
            </w:r>
            <w:bookmarkEnd w:id="182"/>
            <w:bookmarkEnd w:id="183"/>
            <w:r>
              <w:rPr>
                <w:rFonts w:hint="eastAsia" w:ascii="宋体" w:hAnsi="宋体" w:eastAsia="宋体" w:cs="宋体"/>
                <w:color w:val="000000"/>
                <w:kern w:val="0"/>
                <w:sz w:val="18"/>
                <w:szCs w:val="18"/>
                <w:lang w:bidi="ar"/>
              </w:rPr>
              <w:t>（含软硬件）</w:t>
            </w:r>
          </w:p>
        </w:tc>
        <w:tc>
          <w:tcPr>
            <w:tcW w:w="28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ind w:firstLine="0" w:firstLineChars="0"/>
              <w:jc w:val="left"/>
              <w:rPr>
                <w:rFonts w:hint="eastAsia" w:ascii="宋体" w:hAnsi="宋体" w:eastAsia="宋体" w:cs="宋体"/>
                <w:color w:val="000000"/>
                <w:sz w:val="20"/>
                <w:szCs w:val="20"/>
              </w:rPr>
            </w:pPr>
            <w:r>
              <w:rPr>
                <w:rFonts w:hint="eastAsia" w:ascii="宋体" w:hAnsi="宋体" w:eastAsia="宋体" w:cs="宋体"/>
                <w:color w:val="000000"/>
                <w:sz w:val="20"/>
                <w:szCs w:val="20"/>
              </w:rPr>
              <w:t>服务器：1U机架式，E5-2600V4，内存8G，ssd240G*2  RAID1，双电源</w:t>
            </w:r>
          </w:p>
          <w:p>
            <w:pPr>
              <w:widowControl/>
              <w:spacing w:line="240" w:lineRule="auto"/>
              <w:ind w:firstLine="0" w:firstLineChars="0"/>
              <w:jc w:val="left"/>
              <w:rPr>
                <w:rFonts w:ascii="宋体" w:hAnsi="宋体" w:eastAsia="宋体" w:cs="宋体"/>
                <w:color w:val="000000"/>
                <w:sz w:val="20"/>
                <w:szCs w:val="20"/>
              </w:rPr>
            </w:pPr>
            <w:r>
              <w:rPr>
                <w:rFonts w:hint="eastAsia" w:ascii="宋体" w:hAnsi="宋体" w:eastAsia="宋体" w:cs="宋体"/>
                <w:color w:val="000000"/>
                <w:sz w:val="20"/>
                <w:szCs w:val="20"/>
              </w:rPr>
              <w:t>短信网关： tcpip通信 支持modbus，web管理，预设通知消息，多联系人群发</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1</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台</w:t>
            </w:r>
          </w:p>
        </w:tc>
      </w:tr>
      <w:tr>
        <w:tblPrEx>
          <w:tblLayout w:type="fixed"/>
          <w:tblCellMar>
            <w:top w:w="15" w:type="dxa"/>
            <w:left w:w="15" w:type="dxa"/>
            <w:bottom w:w="15" w:type="dxa"/>
            <w:right w:w="15" w:type="dxa"/>
          </w:tblCellMar>
        </w:tblPrEx>
        <w:trPr>
          <w:trHeight w:val="285"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ind w:firstLine="0" w:firstLineChars="0"/>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4</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报警频闪控制器及频闪灯</w:t>
            </w:r>
          </w:p>
        </w:tc>
        <w:tc>
          <w:tcPr>
            <w:tcW w:w="28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ind w:firstLine="0" w:firstLineChars="0"/>
              <w:jc w:val="left"/>
              <w:rPr>
                <w:rFonts w:ascii="宋体" w:hAnsi="宋体" w:eastAsia="宋体" w:cs="宋体"/>
                <w:color w:val="000000"/>
                <w:sz w:val="20"/>
                <w:szCs w:val="20"/>
              </w:rPr>
            </w:pPr>
            <w:r>
              <w:rPr>
                <w:rFonts w:hint="eastAsia" w:ascii="宋体" w:hAnsi="宋体" w:eastAsia="宋体" w:cs="宋体"/>
                <w:color w:val="000000"/>
                <w:sz w:val="20"/>
                <w:szCs w:val="20"/>
              </w:rPr>
              <w:t>控制器供电电压：12-24V</w:t>
            </w:r>
          </w:p>
          <w:p>
            <w:pPr>
              <w:widowControl/>
              <w:spacing w:line="240" w:lineRule="auto"/>
              <w:ind w:firstLine="0" w:firstLineChars="0"/>
              <w:jc w:val="left"/>
              <w:rPr>
                <w:rFonts w:ascii="宋体" w:hAnsi="宋体" w:eastAsia="宋体" w:cs="宋体"/>
                <w:color w:val="000000"/>
                <w:sz w:val="20"/>
                <w:szCs w:val="20"/>
              </w:rPr>
            </w:pPr>
            <w:r>
              <w:rPr>
                <w:rFonts w:hint="eastAsia" w:ascii="宋体" w:hAnsi="宋体" w:eastAsia="宋体" w:cs="宋体"/>
                <w:color w:val="000000"/>
                <w:sz w:val="20"/>
                <w:szCs w:val="20"/>
              </w:rPr>
              <w:t>最大输出电流：72A</w:t>
            </w:r>
          </w:p>
          <w:p>
            <w:pPr>
              <w:widowControl/>
              <w:spacing w:line="240" w:lineRule="auto"/>
              <w:ind w:firstLine="0" w:firstLineChars="0"/>
              <w:jc w:val="left"/>
              <w:rPr>
                <w:rFonts w:hint="eastAsia" w:ascii="宋体" w:hAnsi="宋体" w:eastAsia="宋体" w:cs="宋体"/>
                <w:color w:val="000000"/>
                <w:sz w:val="20"/>
                <w:szCs w:val="20"/>
              </w:rPr>
            </w:pPr>
            <w:r>
              <w:rPr>
                <w:rFonts w:hint="eastAsia" w:ascii="宋体" w:hAnsi="宋体" w:eastAsia="宋体" w:cs="宋体"/>
                <w:color w:val="000000"/>
                <w:sz w:val="20"/>
                <w:szCs w:val="20"/>
              </w:rPr>
              <w:t xml:space="preserve">频闪灯12V供电（设备含12V供电变压器）；红色，闪亮，带警示音（85分贝），红色警示音均可独立控制；USB接口连接电脑控制报警事件；支持Windows二次开发(可提供VB、VC、Delphi、C#、java等开发包)；HID免驱动4V </w:t>
            </w:r>
          </w:p>
          <w:p>
            <w:pPr>
              <w:widowControl/>
              <w:spacing w:line="240" w:lineRule="auto"/>
              <w:ind w:firstLine="0" w:firstLineChars="0"/>
              <w:jc w:val="left"/>
              <w:rPr>
                <w:rFonts w:ascii="宋体" w:hAnsi="宋体" w:eastAsia="宋体" w:cs="宋体"/>
                <w:color w:val="000000"/>
                <w:sz w:val="20"/>
                <w:szCs w:val="20"/>
              </w:rPr>
            </w:pPr>
            <w:r>
              <w:rPr>
                <w:rFonts w:hint="eastAsia" w:ascii="宋体" w:hAnsi="宋体" w:eastAsia="宋体" w:cs="宋体"/>
                <w:color w:val="000000"/>
                <w:sz w:val="20"/>
                <w:szCs w:val="20"/>
              </w:rPr>
              <w:t>组合式LED</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2</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台</w:t>
            </w:r>
          </w:p>
        </w:tc>
      </w:tr>
    </w:tbl>
    <w:p>
      <w:pPr>
        <w:widowControl/>
        <w:spacing w:line="240" w:lineRule="auto"/>
        <w:ind w:firstLine="0" w:firstLineChars="0"/>
        <w:jc w:val="center"/>
        <w:textAlignment w:val="center"/>
        <w:rPr>
          <w:rFonts w:hint="eastAsia" w:ascii="宋体" w:hAnsi="宋体" w:eastAsia="宋体" w:cs="宋体"/>
          <w:color w:val="000000"/>
          <w:kern w:val="0"/>
          <w:sz w:val="20"/>
          <w:szCs w:val="20"/>
          <w:lang w:bidi="ar"/>
        </w:rPr>
      </w:pPr>
    </w:p>
    <w:p>
      <w:pPr>
        <w:widowControl/>
        <w:spacing w:line="240" w:lineRule="auto"/>
        <w:ind w:firstLine="0" w:firstLineChars="0"/>
        <w:jc w:val="left"/>
        <w:rPr>
          <w:rFonts w:hint="eastAsia" w:ascii="宋体" w:hAnsi="宋体" w:eastAsia="宋体" w:cs="宋体"/>
          <w:color w:val="000000"/>
          <w:sz w:val="20"/>
          <w:szCs w:val="20"/>
        </w:rPr>
      </w:pPr>
    </w:p>
    <w:p>
      <w:pPr>
        <w:pStyle w:val="3"/>
        <w:ind w:firstLine="482"/>
        <w:rPr>
          <w:rFonts w:hint="eastAsia"/>
        </w:rPr>
      </w:pPr>
      <w:bookmarkStart w:id="184" w:name="_Toc32244"/>
      <w:r>
        <w:rPr>
          <w:rFonts w:hint="eastAsia"/>
        </w:rPr>
        <w:t>前端采集传输设备</w:t>
      </w:r>
      <w:bookmarkEnd w:id="184"/>
    </w:p>
    <w:tbl>
      <w:tblPr>
        <w:tblStyle w:val="33"/>
        <w:tblW w:w="8912" w:type="dxa"/>
        <w:jc w:val="center"/>
        <w:tblInd w:w="-3139" w:type="dxa"/>
        <w:tblLayout w:type="fixed"/>
        <w:tblCellMar>
          <w:top w:w="15" w:type="dxa"/>
          <w:left w:w="15" w:type="dxa"/>
          <w:bottom w:w="15" w:type="dxa"/>
          <w:right w:w="15" w:type="dxa"/>
        </w:tblCellMar>
      </w:tblPr>
      <w:tblGrid>
        <w:gridCol w:w="1080"/>
        <w:gridCol w:w="3255"/>
        <w:gridCol w:w="2882"/>
        <w:gridCol w:w="870"/>
        <w:gridCol w:w="825"/>
      </w:tblGrid>
      <w:tr>
        <w:tblPrEx>
          <w:tblLayout w:type="fixed"/>
          <w:tblCellMar>
            <w:top w:w="15" w:type="dxa"/>
            <w:left w:w="15" w:type="dxa"/>
            <w:bottom w:w="15" w:type="dxa"/>
            <w:right w:w="15" w:type="dxa"/>
          </w:tblCellMar>
        </w:tblPrEx>
        <w:trPr>
          <w:trHeight w:val="285"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ind w:firstLine="0" w:firstLineChars="0"/>
              <w:jc w:val="center"/>
              <w:textAlignment w:val="center"/>
              <w:rPr>
                <w:rFonts w:ascii="宋体" w:hAnsi="宋体" w:eastAsia="宋体" w:cs="宋体"/>
                <w:color w:val="000000"/>
                <w:kern w:val="0"/>
                <w:sz w:val="21"/>
                <w:szCs w:val="21"/>
                <w:lang w:bidi="ar"/>
              </w:rPr>
            </w:pPr>
            <w:r>
              <w:rPr>
                <w:rFonts w:hint="eastAsia" w:ascii="宋体" w:hAnsi="宋体" w:eastAsia="宋体" w:cs="宋体"/>
                <w:b/>
                <w:color w:val="000000"/>
                <w:kern w:val="0"/>
                <w:sz w:val="21"/>
                <w:szCs w:val="21"/>
                <w:lang w:bidi="ar"/>
              </w:rPr>
              <w:t>序号</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eastAsia="宋体" w:cs="宋体"/>
                <w:color w:val="000000"/>
                <w:kern w:val="0"/>
                <w:sz w:val="21"/>
                <w:szCs w:val="21"/>
                <w:lang w:bidi="ar"/>
              </w:rPr>
            </w:pPr>
            <w:r>
              <w:rPr>
                <w:rFonts w:hint="eastAsia" w:ascii="宋体" w:hAnsi="宋体" w:eastAsia="宋体" w:cs="宋体"/>
                <w:b/>
                <w:color w:val="000000"/>
                <w:kern w:val="0"/>
                <w:sz w:val="21"/>
                <w:szCs w:val="21"/>
                <w:lang w:bidi="ar"/>
              </w:rPr>
              <w:t>项目名称</w:t>
            </w:r>
          </w:p>
        </w:tc>
        <w:tc>
          <w:tcPr>
            <w:tcW w:w="28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ind w:firstLine="0" w:firstLineChars="0"/>
              <w:jc w:val="center"/>
              <w:textAlignment w:val="center"/>
              <w:rPr>
                <w:rFonts w:ascii="宋体" w:hAnsi="宋体" w:eastAsia="宋体" w:cs="宋体"/>
                <w:color w:val="000000"/>
                <w:sz w:val="21"/>
                <w:szCs w:val="21"/>
              </w:rPr>
            </w:pPr>
            <w:bookmarkStart w:id="185" w:name="OLE_LINK14"/>
            <w:bookmarkStart w:id="186" w:name="OLE_LINK15"/>
            <w:bookmarkStart w:id="187" w:name="OLE_LINK16"/>
            <w:r>
              <w:rPr>
                <w:rFonts w:hint="eastAsia" w:ascii="宋体" w:hAnsi="宋体" w:eastAsia="宋体" w:cs="宋体"/>
                <w:b/>
                <w:color w:val="000000"/>
                <w:kern w:val="0"/>
                <w:sz w:val="21"/>
                <w:szCs w:val="21"/>
                <w:lang w:bidi="ar"/>
              </w:rPr>
              <w:t>参数规格</w:t>
            </w:r>
            <w:bookmarkEnd w:id="185"/>
            <w:bookmarkEnd w:id="186"/>
            <w:bookmarkEnd w:id="187"/>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textAlignment w:val="center"/>
              <w:rPr>
                <w:rFonts w:ascii="宋体" w:hAnsi="宋体" w:eastAsia="宋体" w:cs="宋体"/>
                <w:color w:val="000000"/>
                <w:kern w:val="0"/>
                <w:sz w:val="21"/>
                <w:szCs w:val="21"/>
                <w:lang w:bidi="ar"/>
              </w:rPr>
            </w:pPr>
            <w:r>
              <w:rPr>
                <w:rFonts w:hint="eastAsia" w:ascii="宋体" w:hAnsi="宋体" w:eastAsia="宋体" w:cs="宋体"/>
                <w:b/>
                <w:color w:val="000000"/>
                <w:kern w:val="0"/>
                <w:sz w:val="21"/>
                <w:szCs w:val="21"/>
                <w:lang w:bidi="ar"/>
              </w:rPr>
              <w:t>数量</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textAlignment w:val="center"/>
              <w:rPr>
                <w:rFonts w:ascii="宋体" w:hAnsi="宋体" w:eastAsia="宋体" w:cs="宋体"/>
                <w:color w:val="000000"/>
                <w:kern w:val="0"/>
                <w:sz w:val="21"/>
                <w:szCs w:val="21"/>
                <w:lang w:bidi="ar"/>
              </w:rPr>
            </w:pPr>
            <w:r>
              <w:rPr>
                <w:rFonts w:hint="eastAsia" w:ascii="宋体" w:hAnsi="宋体" w:eastAsia="宋体" w:cs="宋体"/>
                <w:b/>
                <w:color w:val="000000"/>
                <w:kern w:val="0"/>
                <w:sz w:val="21"/>
                <w:szCs w:val="21"/>
                <w:lang w:bidi="ar"/>
              </w:rPr>
              <w:t>单位</w:t>
            </w:r>
          </w:p>
        </w:tc>
      </w:tr>
      <w:tr>
        <w:tblPrEx>
          <w:tblLayout w:type="fixed"/>
          <w:tblCellMar>
            <w:top w:w="15" w:type="dxa"/>
            <w:left w:w="15" w:type="dxa"/>
            <w:bottom w:w="15" w:type="dxa"/>
            <w:right w:w="15" w:type="dxa"/>
          </w:tblCellMar>
        </w:tblPrEx>
        <w:trPr>
          <w:trHeight w:val="285"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ind w:firstLine="0" w:firstLineChars="0"/>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1</w:t>
            </w:r>
          </w:p>
        </w:tc>
        <w:tc>
          <w:tcPr>
            <w:tcW w:w="32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ind w:firstLine="0" w:firstLineChars="0"/>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传输设备</w:t>
            </w:r>
          </w:p>
        </w:tc>
        <w:tc>
          <w:tcPr>
            <w:tcW w:w="28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ind w:firstLine="0" w:firstLineChars="0"/>
              <w:jc w:val="left"/>
              <w:rPr>
                <w:rFonts w:ascii="宋体" w:hAnsi="宋体" w:eastAsia="宋体" w:cs="宋体"/>
                <w:color w:val="000000"/>
                <w:sz w:val="20"/>
                <w:szCs w:val="20"/>
              </w:rPr>
            </w:pPr>
            <w:r>
              <w:rPr>
                <w:rFonts w:hint="eastAsia" w:ascii="宋体" w:hAnsi="宋体" w:eastAsia="宋体" w:cs="宋体"/>
                <w:color w:val="000000"/>
                <w:sz w:val="20"/>
                <w:szCs w:val="20"/>
              </w:rPr>
              <w:t>数据传输格式DTMF码，接口232或485，有以太网接口；</w:t>
            </w:r>
          </w:p>
          <w:p>
            <w:pPr>
              <w:widowControl/>
              <w:spacing w:line="240" w:lineRule="auto"/>
              <w:ind w:firstLine="0" w:firstLineChars="0"/>
              <w:jc w:val="left"/>
              <w:rPr>
                <w:rFonts w:ascii="宋体" w:hAnsi="宋体" w:eastAsia="宋体" w:cs="宋体"/>
                <w:color w:val="000000"/>
                <w:sz w:val="20"/>
                <w:szCs w:val="20"/>
              </w:rPr>
            </w:pPr>
            <w:r>
              <w:rPr>
                <w:rFonts w:hint="eastAsia" w:ascii="宋体" w:hAnsi="宋体" w:eastAsia="宋体" w:cs="宋体"/>
                <w:color w:val="000000"/>
                <w:sz w:val="20"/>
                <w:szCs w:val="20"/>
              </w:rPr>
              <w:t>运行记录器</w:t>
            </w:r>
          </w:p>
          <w:p>
            <w:pPr>
              <w:widowControl/>
              <w:spacing w:line="240" w:lineRule="auto"/>
              <w:ind w:firstLine="0" w:firstLineChars="0"/>
              <w:jc w:val="left"/>
              <w:rPr>
                <w:rFonts w:ascii="宋体" w:hAnsi="宋体" w:eastAsia="宋体" w:cs="宋体"/>
                <w:color w:val="000000"/>
                <w:sz w:val="20"/>
                <w:szCs w:val="20"/>
              </w:rPr>
            </w:pPr>
            <w:r>
              <w:rPr>
                <w:rFonts w:hint="eastAsia" w:ascii="宋体" w:hAnsi="宋体" w:eastAsia="宋体" w:cs="宋体"/>
                <w:color w:val="000000"/>
                <w:sz w:val="20"/>
                <w:szCs w:val="20"/>
              </w:rPr>
              <w:t>手动火警 断线报警 时间显示 键盘液晶屏，多路开关量输入输出</w:t>
            </w:r>
          </w:p>
          <w:p>
            <w:pPr>
              <w:widowControl/>
              <w:spacing w:line="240" w:lineRule="auto"/>
              <w:ind w:firstLine="0" w:firstLineChars="0"/>
              <w:jc w:val="left"/>
              <w:rPr>
                <w:rFonts w:ascii="宋体" w:hAnsi="宋体" w:eastAsia="宋体" w:cs="宋体"/>
                <w:color w:val="000000"/>
                <w:sz w:val="20"/>
                <w:szCs w:val="20"/>
              </w:rPr>
            </w:pPr>
            <w:r>
              <w:rPr>
                <w:rFonts w:hint="eastAsia" w:ascii="宋体" w:hAnsi="宋体" w:eastAsia="宋体" w:cs="宋体"/>
                <w:color w:val="000000"/>
                <w:sz w:val="20"/>
                <w:szCs w:val="20"/>
              </w:rPr>
              <w:t>主备电自动切换，备电20小时</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ind w:firstLine="0" w:firstLineChars="0"/>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51</w:t>
            </w:r>
          </w:p>
        </w:tc>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ind w:firstLine="0" w:firstLineChars="0"/>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台</w:t>
            </w:r>
          </w:p>
        </w:tc>
      </w:tr>
      <w:tr>
        <w:tblPrEx>
          <w:tblLayout w:type="fixed"/>
          <w:tblCellMar>
            <w:top w:w="15" w:type="dxa"/>
            <w:left w:w="15" w:type="dxa"/>
            <w:bottom w:w="15" w:type="dxa"/>
            <w:right w:w="15" w:type="dxa"/>
          </w:tblCellMar>
        </w:tblPrEx>
        <w:trPr>
          <w:trHeight w:val="285"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ind w:firstLine="0" w:firstLineChars="0"/>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2</w:t>
            </w:r>
          </w:p>
        </w:tc>
        <w:tc>
          <w:tcPr>
            <w:tcW w:w="32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ind w:firstLine="0" w:firstLineChars="0"/>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消防主机接口板</w:t>
            </w:r>
          </w:p>
        </w:tc>
        <w:tc>
          <w:tcPr>
            <w:tcW w:w="28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ind w:firstLine="0" w:firstLineChars="0"/>
              <w:jc w:val="left"/>
              <w:rPr>
                <w:rFonts w:ascii="宋体" w:hAnsi="宋体" w:eastAsia="宋体" w:cs="宋体"/>
                <w:color w:val="000000"/>
                <w:sz w:val="20"/>
                <w:szCs w:val="20"/>
              </w:rPr>
            </w:pPr>
            <w:r>
              <w:rPr>
                <w:rFonts w:hint="eastAsia" w:ascii="宋体" w:hAnsi="宋体" w:eastAsia="宋体" w:cs="宋体"/>
                <w:color w:val="000000"/>
                <w:kern w:val="0"/>
                <w:sz w:val="20"/>
                <w:szCs w:val="20"/>
                <w:lang w:bidi="ar"/>
              </w:rPr>
              <w:t>RS</w:t>
            </w:r>
            <w:r>
              <w:rPr>
                <w:rFonts w:hint="eastAsia" w:ascii="宋体" w:hAnsi="宋体" w:eastAsia="宋体" w:cs="宋体"/>
                <w:color w:val="000000"/>
                <w:sz w:val="20"/>
                <w:szCs w:val="20"/>
              </w:rPr>
              <w:t>-232接口板,ASE-232</w:t>
            </w:r>
          </w:p>
          <w:p>
            <w:pPr>
              <w:widowControl/>
              <w:spacing w:line="240" w:lineRule="auto"/>
              <w:ind w:firstLine="0" w:firstLineChars="0"/>
              <w:jc w:val="left"/>
              <w:rPr>
                <w:rFonts w:ascii="宋体" w:hAnsi="宋体" w:eastAsia="宋体" w:cs="宋体"/>
                <w:color w:val="000000"/>
                <w:sz w:val="20"/>
                <w:szCs w:val="20"/>
              </w:rPr>
            </w:pPr>
            <w:r>
              <w:rPr>
                <w:rFonts w:hint="eastAsia" w:ascii="宋体" w:hAnsi="宋体" w:eastAsia="宋体" w:cs="宋体"/>
                <w:color w:val="000000"/>
                <w:sz w:val="20"/>
                <w:szCs w:val="20"/>
              </w:rPr>
              <w:t>光电隔离</w:t>
            </w:r>
            <w:r>
              <w:rPr>
                <w:rFonts w:ascii="宋体" w:hAnsi="宋体" w:eastAsia="宋体" w:cs="宋体"/>
                <w:color w:val="000000"/>
                <w:sz w:val="20"/>
                <w:szCs w:val="20"/>
              </w:rPr>
              <w:t>RS232接口和RS422接口RS232接口的通讯距离&lt;15m；RS422接口的通讯距离&lt;1200m</w:t>
            </w:r>
          </w:p>
          <w:p>
            <w:pPr>
              <w:widowControl/>
              <w:spacing w:line="240" w:lineRule="auto"/>
              <w:ind w:firstLine="0" w:firstLineChars="0"/>
              <w:jc w:val="left"/>
              <w:rPr>
                <w:rFonts w:ascii="宋体" w:hAnsi="宋体" w:eastAsia="宋体" w:cs="宋体"/>
                <w:color w:val="000000"/>
                <w:kern w:val="0"/>
                <w:sz w:val="20"/>
                <w:szCs w:val="20"/>
                <w:lang w:bidi="ar"/>
              </w:rPr>
            </w:pPr>
            <w:r>
              <w:rPr>
                <w:rFonts w:ascii="宋体" w:hAnsi="宋体" w:eastAsia="宋体" w:cs="宋体"/>
                <w:color w:val="000000"/>
                <w:sz w:val="20"/>
                <w:szCs w:val="20"/>
              </w:rPr>
              <w:t>通讯波特率为：2400bps</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ind w:firstLine="0" w:firstLineChars="0"/>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51</w:t>
            </w:r>
          </w:p>
        </w:tc>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ind w:firstLine="0" w:firstLineChars="0"/>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片</w:t>
            </w:r>
          </w:p>
        </w:tc>
      </w:tr>
      <w:tr>
        <w:tblPrEx>
          <w:tblLayout w:type="fixed"/>
          <w:tblCellMar>
            <w:top w:w="15" w:type="dxa"/>
            <w:left w:w="15" w:type="dxa"/>
            <w:bottom w:w="15" w:type="dxa"/>
            <w:right w:w="15" w:type="dxa"/>
          </w:tblCellMar>
        </w:tblPrEx>
        <w:trPr>
          <w:trHeight w:val="285"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ind w:firstLine="0" w:firstLineChars="0"/>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w:t>
            </w:r>
          </w:p>
        </w:tc>
        <w:tc>
          <w:tcPr>
            <w:tcW w:w="32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ind w:firstLine="0" w:firstLineChars="0"/>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雷击浪涌保护器</w:t>
            </w:r>
          </w:p>
        </w:tc>
        <w:tc>
          <w:tcPr>
            <w:tcW w:w="28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ind w:firstLine="0" w:firstLineChars="0"/>
              <w:jc w:val="left"/>
              <w:rPr>
                <w:rFonts w:ascii="宋体" w:hAnsi="宋体" w:eastAsia="宋体" w:cs="宋体"/>
                <w:color w:val="000000"/>
                <w:sz w:val="20"/>
                <w:szCs w:val="20"/>
              </w:rPr>
            </w:pPr>
            <w:r>
              <w:rPr>
                <w:rFonts w:hint="eastAsia" w:ascii="宋体" w:hAnsi="宋体" w:eastAsia="宋体" w:cs="宋体"/>
                <w:color w:val="000000"/>
                <w:sz w:val="20"/>
                <w:szCs w:val="20"/>
              </w:rPr>
              <w:t>交流220V电源、网络（RJ45）、电话线、视频线（BNC）等防护功能的综合型浪涌保护</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ind w:firstLine="0" w:firstLineChars="0"/>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51</w:t>
            </w:r>
          </w:p>
        </w:tc>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ind w:firstLine="0" w:firstLineChars="0"/>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个</w:t>
            </w:r>
          </w:p>
        </w:tc>
      </w:tr>
      <w:tr>
        <w:tblPrEx>
          <w:tblLayout w:type="fixed"/>
          <w:tblCellMar>
            <w:top w:w="15" w:type="dxa"/>
            <w:left w:w="15" w:type="dxa"/>
            <w:bottom w:w="15" w:type="dxa"/>
            <w:right w:w="15" w:type="dxa"/>
          </w:tblCellMar>
        </w:tblPrEx>
        <w:trPr>
          <w:trHeight w:val="285"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ind w:firstLine="0" w:firstLineChars="0"/>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4</w:t>
            </w:r>
          </w:p>
        </w:tc>
        <w:tc>
          <w:tcPr>
            <w:tcW w:w="32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ind w:firstLine="0" w:firstLineChars="0"/>
              <w:jc w:val="left"/>
              <w:textAlignment w:val="center"/>
              <w:rPr>
                <w:rFonts w:ascii="宋体" w:hAnsi="宋体" w:eastAsia="宋体" w:cs="宋体"/>
                <w:color w:val="000000"/>
                <w:sz w:val="20"/>
                <w:szCs w:val="20"/>
              </w:rPr>
            </w:pPr>
            <w:bookmarkStart w:id="188" w:name="OLE_LINK1"/>
            <w:r>
              <w:rPr>
                <w:rFonts w:hint="eastAsia" w:ascii="宋体" w:hAnsi="宋体" w:eastAsia="宋体" w:cs="宋体"/>
                <w:color w:val="000000"/>
                <w:kern w:val="0"/>
                <w:sz w:val="20"/>
                <w:szCs w:val="20"/>
                <w:lang w:bidi="ar"/>
              </w:rPr>
              <w:t>智能协议转换器（关机报警</w:t>
            </w:r>
            <w:bookmarkEnd w:id="188"/>
            <w:r>
              <w:rPr>
                <w:rFonts w:hint="eastAsia" w:ascii="宋体" w:hAnsi="宋体" w:eastAsia="宋体" w:cs="宋体"/>
                <w:color w:val="000000"/>
                <w:kern w:val="0"/>
                <w:sz w:val="20"/>
                <w:szCs w:val="20"/>
                <w:lang w:bidi="ar"/>
              </w:rPr>
              <w:t>）</w:t>
            </w:r>
          </w:p>
        </w:tc>
        <w:tc>
          <w:tcPr>
            <w:tcW w:w="28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ind w:firstLine="0" w:firstLineChars="0"/>
              <w:jc w:val="left"/>
              <w:rPr>
                <w:rFonts w:ascii="宋体" w:hAnsi="宋体" w:eastAsia="宋体" w:cs="宋体"/>
                <w:color w:val="000000"/>
                <w:sz w:val="20"/>
                <w:szCs w:val="20"/>
              </w:rPr>
            </w:pP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ind w:firstLine="0" w:firstLineChars="0"/>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51</w:t>
            </w:r>
          </w:p>
        </w:tc>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ind w:firstLine="0" w:firstLineChars="0"/>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个</w:t>
            </w:r>
          </w:p>
        </w:tc>
      </w:tr>
    </w:tbl>
    <w:p>
      <w:pPr>
        <w:widowControl/>
        <w:spacing w:line="240" w:lineRule="auto"/>
        <w:ind w:firstLine="0" w:firstLineChars="0"/>
        <w:jc w:val="left"/>
        <w:textAlignment w:val="center"/>
        <w:rPr>
          <w:rFonts w:hint="eastAsia" w:ascii="宋体" w:hAnsi="宋体" w:eastAsia="宋体" w:cs="宋体"/>
          <w:color w:val="000000"/>
          <w:kern w:val="0"/>
          <w:sz w:val="20"/>
          <w:szCs w:val="20"/>
          <w:lang w:bidi="ar"/>
        </w:rPr>
      </w:pPr>
    </w:p>
    <w:p>
      <w:pPr>
        <w:widowControl/>
        <w:spacing w:line="240" w:lineRule="auto"/>
        <w:ind w:firstLine="0" w:firstLineChars="0"/>
        <w:textAlignment w:val="center"/>
        <w:rPr>
          <w:rFonts w:hint="eastAsia" w:ascii="宋体" w:hAnsi="宋体" w:eastAsia="宋体" w:cs="宋体"/>
          <w:color w:val="000000"/>
          <w:kern w:val="0"/>
          <w:sz w:val="20"/>
          <w:szCs w:val="20"/>
          <w:lang w:bidi="ar"/>
        </w:rPr>
      </w:pPr>
    </w:p>
    <w:p>
      <w:pPr>
        <w:widowControl/>
        <w:spacing w:line="240" w:lineRule="auto"/>
        <w:ind w:firstLine="0" w:firstLineChars="0"/>
        <w:jc w:val="center"/>
        <w:textAlignment w:val="center"/>
        <w:rPr>
          <w:rFonts w:hint="eastAsia" w:ascii="宋体" w:hAnsi="宋体" w:eastAsia="宋体" w:cs="宋体"/>
          <w:color w:val="000000"/>
          <w:kern w:val="0"/>
          <w:sz w:val="20"/>
          <w:szCs w:val="20"/>
          <w:lang w:bidi="ar"/>
        </w:rPr>
      </w:pPr>
    </w:p>
    <w:p>
      <w:pPr>
        <w:pStyle w:val="3"/>
        <w:ind w:firstLine="482"/>
        <w:rPr>
          <w:rFonts w:hint="eastAsia"/>
        </w:rPr>
      </w:pPr>
      <w:bookmarkStart w:id="189" w:name="_Toc5236"/>
      <w:r>
        <w:rPr>
          <w:rFonts w:hint="eastAsia"/>
        </w:rPr>
        <w:t>综合布线</w:t>
      </w:r>
      <w:bookmarkEnd w:id="189"/>
    </w:p>
    <w:tbl>
      <w:tblPr>
        <w:tblStyle w:val="33"/>
        <w:tblW w:w="8912" w:type="dxa"/>
        <w:jc w:val="center"/>
        <w:tblInd w:w="-3139" w:type="dxa"/>
        <w:tblLayout w:type="fixed"/>
        <w:tblCellMar>
          <w:top w:w="15" w:type="dxa"/>
          <w:left w:w="15" w:type="dxa"/>
          <w:bottom w:w="15" w:type="dxa"/>
          <w:right w:w="15" w:type="dxa"/>
        </w:tblCellMar>
      </w:tblPr>
      <w:tblGrid>
        <w:gridCol w:w="1080"/>
        <w:gridCol w:w="3255"/>
        <w:gridCol w:w="2882"/>
        <w:gridCol w:w="870"/>
        <w:gridCol w:w="825"/>
      </w:tblGrid>
      <w:tr>
        <w:tblPrEx>
          <w:tblLayout w:type="fixed"/>
          <w:tblCellMar>
            <w:top w:w="15" w:type="dxa"/>
            <w:left w:w="15" w:type="dxa"/>
            <w:bottom w:w="15" w:type="dxa"/>
            <w:right w:w="15" w:type="dxa"/>
          </w:tblCellMar>
        </w:tblPrEx>
        <w:trPr>
          <w:trHeight w:val="285"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eastAsia="宋体" w:cs="宋体"/>
                <w:b/>
                <w:color w:val="000000"/>
                <w:sz w:val="21"/>
                <w:szCs w:val="21"/>
              </w:rPr>
            </w:pPr>
            <w:bookmarkStart w:id="190" w:name="_Hlk517858093"/>
            <w:r>
              <w:rPr>
                <w:rFonts w:hint="eastAsia" w:ascii="宋体" w:hAnsi="宋体" w:eastAsia="宋体" w:cs="宋体"/>
                <w:b/>
                <w:color w:val="000000"/>
                <w:kern w:val="0"/>
                <w:sz w:val="21"/>
                <w:szCs w:val="21"/>
                <w:lang w:bidi="ar"/>
              </w:rPr>
              <w:t>序号</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eastAsia="宋体" w:cs="宋体"/>
                <w:b/>
                <w:color w:val="000000"/>
                <w:sz w:val="21"/>
                <w:szCs w:val="21"/>
              </w:rPr>
            </w:pPr>
            <w:r>
              <w:rPr>
                <w:rFonts w:hint="eastAsia" w:ascii="宋体" w:hAnsi="宋体" w:eastAsia="宋体" w:cs="宋体"/>
                <w:b/>
                <w:color w:val="000000"/>
                <w:kern w:val="0"/>
                <w:sz w:val="21"/>
                <w:szCs w:val="21"/>
                <w:lang w:bidi="ar"/>
              </w:rPr>
              <w:t>项目名称</w:t>
            </w:r>
          </w:p>
        </w:tc>
        <w:tc>
          <w:tcPr>
            <w:tcW w:w="28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eastAsia="宋体" w:cs="宋体"/>
                <w:b/>
                <w:color w:val="000000"/>
                <w:sz w:val="21"/>
                <w:szCs w:val="21"/>
              </w:rPr>
            </w:pPr>
            <w:r>
              <w:rPr>
                <w:rFonts w:hint="eastAsia" w:ascii="宋体" w:hAnsi="宋体" w:eastAsia="宋体" w:cs="宋体"/>
                <w:b/>
                <w:color w:val="000000"/>
                <w:kern w:val="0"/>
                <w:sz w:val="21"/>
                <w:szCs w:val="21"/>
                <w:lang w:bidi="ar"/>
              </w:rPr>
              <w:t>参数规格</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ind w:firstLine="0" w:firstLineChars="0"/>
              <w:textAlignment w:val="center"/>
              <w:rPr>
                <w:rFonts w:ascii="宋体" w:hAnsi="宋体" w:eastAsia="宋体" w:cs="宋体"/>
                <w:b/>
                <w:color w:val="000000"/>
                <w:sz w:val="21"/>
                <w:szCs w:val="21"/>
              </w:rPr>
            </w:pPr>
            <w:r>
              <w:rPr>
                <w:rFonts w:hint="eastAsia" w:ascii="宋体" w:hAnsi="宋体" w:eastAsia="宋体" w:cs="宋体"/>
                <w:b/>
                <w:color w:val="000000"/>
                <w:kern w:val="0"/>
                <w:sz w:val="21"/>
                <w:szCs w:val="21"/>
                <w:lang w:bidi="ar"/>
              </w:rPr>
              <w:t>数量</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textAlignment w:val="center"/>
              <w:rPr>
                <w:rFonts w:ascii="宋体" w:hAnsi="宋体" w:eastAsia="宋体" w:cs="宋体"/>
                <w:b/>
                <w:color w:val="000000"/>
                <w:sz w:val="21"/>
                <w:szCs w:val="21"/>
              </w:rPr>
            </w:pPr>
            <w:r>
              <w:rPr>
                <w:rFonts w:hint="eastAsia" w:ascii="宋体" w:hAnsi="宋体" w:eastAsia="宋体" w:cs="宋体"/>
                <w:b/>
                <w:color w:val="000000"/>
                <w:kern w:val="0"/>
                <w:sz w:val="21"/>
                <w:szCs w:val="21"/>
                <w:lang w:bidi="ar"/>
              </w:rPr>
              <w:t>单位</w:t>
            </w:r>
          </w:p>
        </w:tc>
      </w:tr>
      <w:bookmarkEnd w:id="190"/>
      <w:tr>
        <w:tblPrEx>
          <w:tblLayout w:type="fixed"/>
          <w:tblCellMar>
            <w:top w:w="15" w:type="dxa"/>
            <w:left w:w="15" w:type="dxa"/>
            <w:bottom w:w="15" w:type="dxa"/>
            <w:right w:w="15" w:type="dxa"/>
          </w:tblCellMar>
        </w:tblPrEx>
        <w:trPr>
          <w:trHeight w:val="285"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1</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电源线</w:t>
            </w:r>
          </w:p>
        </w:tc>
        <w:tc>
          <w:tcPr>
            <w:tcW w:w="28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3x2.5</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ind w:firstLine="0" w:firstLineChars="0"/>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1000</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米</w:t>
            </w:r>
          </w:p>
        </w:tc>
      </w:tr>
      <w:tr>
        <w:tblPrEx>
          <w:tblLayout w:type="fixed"/>
          <w:tblCellMar>
            <w:top w:w="15" w:type="dxa"/>
            <w:left w:w="15" w:type="dxa"/>
            <w:bottom w:w="15" w:type="dxa"/>
            <w:right w:w="15" w:type="dxa"/>
          </w:tblCellMar>
        </w:tblPrEx>
        <w:trPr>
          <w:trHeight w:val="285"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2</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网线</w:t>
            </w:r>
          </w:p>
        </w:tc>
        <w:tc>
          <w:tcPr>
            <w:tcW w:w="28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六类</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ind w:firstLine="0" w:firstLineChars="0"/>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300</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米</w:t>
            </w:r>
          </w:p>
        </w:tc>
      </w:tr>
      <w:tr>
        <w:tblPrEx>
          <w:tblLayout w:type="fixed"/>
          <w:tblCellMar>
            <w:top w:w="15" w:type="dxa"/>
            <w:left w:w="15" w:type="dxa"/>
            <w:bottom w:w="15" w:type="dxa"/>
            <w:right w:w="15" w:type="dxa"/>
          </w:tblCellMar>
        </w:tblPrEx>
        <w:trPr>
          <w:trHeight w:val="285"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线槽/KBG 管</w:t>
            </w:r>
          </w:p>
        </w:tc>
        <w:tc>
          <w:tcPr>
            <w:tcW w:w="28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DN20</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ind w:firstLine="0" w:firstLineChars="0"/>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500</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米</w:t>
            </w:r>
          </w:p>
        </w:tc>
      </w:tr>
      <w:tr>
        <w:tblPrEx>
          <w:tblLayout w:type="fixed"/>
          <w:tblCellMar>
            <w:top w:w="15" w:type="dxa"/>
            <w:left w:w="15" w:type="dxa"/>
            <w:bottom w:w="15" w:type="dxa"/>
            <w:right w:w="15" w:type="dxa"/>
          </w:tblCellMar>
        </w:tblPrEx>
        <w:trPr>
          <w:trHeight w:val="285"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4</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50米光跳线</w:t>
            </w:r>
          </w:p>
        </w:tc>
        <w:tc>
          <w:tcPr>
            <w:tcW w:w="28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单模SC-FC</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ind w:firstLine="0" w:firstLineChars="0"/>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45</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对</w:t>
            </w:r>
          </w:p>
        </w:tc>
      </w:tr>
      <w:tr>
        <w:tblPrEx>
          <w:tblLayout w:type="fixed"/>
          <w:tblCellMar>
            <w:top w:w="15" w:type="dxa"/>
            <w:left w:w="15" w:type="dxa"/>
            <w:bottom w:w="15" w:type="dxa"/>
            <w:right w:w="15" w:type="dxa"/>
          </w:tblCellMar>
        </w:tblPrEx>
        <w:trPr>
          <w:trHeight w:val="285"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5</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3米光跳线</w:t>
            </w:r>
          </w:p>
        </w:tc>
        <w:tc>
          <w:tcPr>
            <w:tcW w:w="28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单模FC-LC</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ind w:firstLine="0" w:firstLineChars="0"/>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66</w:t>
            </w:r>
          </w:p>
        </w:tc>
        <w:tc>
          <w:tcPr>
            <w:tcW w:w="825" w:type="dxa"/>
            <w:tcBorders>
              <w:top w:val="single" w:color="000000" w:sz="4" w:space="0"/>
              <w:left w:val="single" w:color="000000" w:sz="4" w:space="0"/>
              <w:bottom w:val="single" w:color="000000" w:sz="4" w:space="0"/>
              <w:right w:val="single" w:color="000000" w:sz="4" w:space="0"/>
            </w:tcBorders>
            <w:shd w:val="clear" w:color="auto" w:fill="auto"/>
          </w:tcPr>
          <w:p>
            <w:pPr>
              <w:widowControl/>
              <w:spacing w:line="240" w:lineRule="auto"/>
              <w:ind w:firstLine="0" w:firstLineChars="0"/>
              <w:jc w:val="center"/>
              <w:textAlignment w:val="top"/>
              <w:rPr>
                <w:rFonts w:ascii="宋体" w:hAnsi="宋体" w:eastAsia="宋体" w:cs="宋体"/>
                <w:color w:val="000000"/>
                <w:sz w:val="20"/>
                <w:szCs w:val="20"/>
              </w:rPr>
            </w:pPr>
            <w:r>
              <w:rPr>
                <w:rFonts w:hint="eastAsia" w:ascii="宋体" w:hAnsi="宋体" w:eastAsia="宋体" w:cs="宋体"/>
                <w:color w:val="000000"/>
                <w:kern w:val="0"/>
                <w:sz w:val="20"/>
                <w:szCs w:val="20"/>
                <w:lang w:bidi="ar"/>
              </w:rPr>
              <w:t>对</w:t>
            </w:r>
          </w:p>
        </w:tc>
      </w:tr>
      <w:tr>
        <w:tblPrEx>
          <w:tblLayout w:type="fixed"/>
          <w:tblCellMar>
            <w:top w:w="15" w:type="dxa"/>
            <w:left w:w="15" w:type="dxa"/>
            <w:bottom w:w="15" w:type="dxa"/>
            <w:right w:w="15" w:type="dxa"/>
          </w:tblCellMar>
        </w:tblPrEx>
        <w:trPr>
          <w:trHeight w:val="285"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6</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5米光跳线</w:t>
            </w:r>
          </w:p>
        </w:tc>
        <w:tc>
          <w:tcPr>
            <w:tcW w:w="2882" w:type="dxa"/>
            <w:tcBorders>
              <w:top w:val="single" w:color="000000" w:sz="4" w:space="0"/>
              <w:left w:val="single" w:color="000000" w:sz="4" w:space="0"/>
              <w:bottom w:val="single" w:color="000000" w:sz="4" w:space="0"/>
              <w:right w:val="single" w:color="000000" w:sz="4" w:space="0"/>
            </w:tcBorders>
            <w:shd w:val="clear" w:color="auto" w:fill="auto"/>
          </w:tcPr>
          <w:p>
            <w:pPr>
              <w:widowControl/>
              <w:spacing w:line="240" w:lineRule="auto"/>
              <w:ind w:firstLine="0" w:firstLineChars="0"/>
              <w:jc w:val="left"/>
              <w:textAlignment w:val="top"/>
              <w:rPr>
                <w:rFonts w:ascii="宋体" w:hAnsi="宋体" w:eastAsia="宋体" w:cs="宋体"/>
                <w:color w:val="000000"/>
                <w:sz w:val="20"/>
                <w:szCs w:val="20"/>
              </w:rPr>
            </w:pPr>
            <w:r>
              <w:rPr>
                <w:rFonts w:hint="eastAsia" w:ascii="宋体" w:hAnsi="宋体" w:eastAsia="宋体" w:cs="宋体"/>
                <w:color w:val="000000"/>
                <w:kern w:val="0"/>
                <w:sz w:val="20"/>
                <w:szCs w:val="20"/>
                <w:lang w:bidi="ar"/>
              </w:rPr>
              <w:t>单模FC-LC</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ind w:firstLine="0" w:firstLineChars="0"/>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5</w:t>
            </w:r>
          </w:p>
        </w:tc>
        <w:tc>
          <w:tcPr>
            <w:tcW w:w="825" w:type="dxa"/>
            <w:tcBorders>
              <w:top w:val="single" w:color="000000" w:sz="4" w:space="0"/>
              <w:left w:val="single" w:color="000000" w:sz="4" w:space="0"/>
              <w:bottom w:val="single" w:color="000000" w:sz="4" w:space="0"/>
              <w:right w:val="single" w:color="000000" w:sz="4" w:space="0"/>
            </w:tcBorders>
            <w:shd w:val="clear" w:color="auto" w:fill="auto"/>
          </w:tcPr>
          <w:p>
            <w:pPr>
              <w:widowControl/>
              <w:spacing w:line="240" w:lineRule="auto"/>
              <w:ind w:firstLine="0" w:firstLineChars="0"/>
              <w:jc w:val="center"/>
              <w:textAlignment w:val="top"/>
              <w:rPr>
                <w:rFonts w:ascii="宋体" w:hAnsi="宋体" w:eastAsia="宋体" w:cs="宋体"/>
                <w:color w:val="000000"/>
                <w:sz w:val="20"/>
                <w:szCs w:val="20"/>
              </w:rPr>
            </w:pPr>
            <w:r>
              <w:rPr>
                <w:rFonts w:hint="eastAsia" w:ascii="宋体" w:hAnsi="宋体" w:eastAsia="宋体" w:cs="宋体"/>
                <w:color w:val="000000"/>
                <w:kern w:val="0"/>
                <w:sz w:val="20"/>
                <w:szCs w:val="20"/>
                <w:lang w:bidi="ar"/>
              </w:rPr>
              <w:t>对</w:t>
            </w:r>
          </w:p>
        </w:tc>
      </w:tr>
      <w:tr>
        <w:tblPrEx>
          <w:tblLayout w:type="fixed"/>
          <w:tblCellMar>
            <w:top w:w="15" w:type="dxa"/>
            <w:left w:w="15" w:type="dxa"/>
            <w:bottom w:w="15" w:type="dxa"/>
            <w:right w:w="15" w:type="dxa"/>
          </w:tblCellMar>
        </w:tblPrEx>
        <w:trPr>
          <w:trHeight w:val="285"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7</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10米光跳线</w:t>
            </w:r>
          </w:p>
        </w:tc>
        <w:tc>
          <w:tcPr>
            <w:tcW w:w="2882" w:type="dxa"/>
            <w:tcBorders>
              <w:top w:val="single" w:color="000000" w:sz="4" w:space="0"/>
              <w:left w:val="single" w:color="000000" w:sz="4" w:space="0"/>
              <w:bottom w:val="single" w:color="000000" w:sz="4" w:space="0"/>
              <w:right w:val="single" w:color="000000" w:sz="4" w:space="0"/>
            </w:tcBorders>
            <w:shd w:val="clear" w:color="auto" w:fill="auto"/>
          </w:tcPr>
          <w:p>
            <w:pPr>
              <w:widowControl/>
              <w:spacing w:line="240" w:lineRule="auto"/>
              <w:ind w:firstLine="0" w:firstLineChars="0"/>
              <w:jc w:val="left"/>
              <w:textAlignment w:val="top"/>
              <w:rPr>
                <w:rFonts w:ascii="宋体" w:hAnsi="宋体" w:eastAsia="宋体" w:cs="宋体"/>
                <w:color w:val="000000"/>
                <w:sz w:val="20"/>
                <w:szCs w:val="20"/>
              </w:rPr>
            </w:pPr>
            <w:r>
              <w:rPr>
                <w:rFonts w:hint="eastAsia" w:ascii="宋体" w:hAnsi="宋体" w:eastAsia="宋体" w:cs="宋体"/>
                <w:color w:val="000000"/>
                <w:kern w:val="0"/>
                <w:sz w:val="20"/>
                <w:szCs w:val="20"/>
                <w:lang w:bidi="ar"/>
              </w:rPr>
              <w:t>单模FC-LC</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ind w:firstLine="0" w:firstLineChars="0"/>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5</w:t>
            </w:r>
          </w:p>
        </w:tc>
        <w:tc>
          <w:tcPr>
            <w:tcW w:w="825" w:type="dxa"/>
            <w:tcBorders>
              <w:top w:val="single" w:color="000000" w:sz="4" w:space="0"/>
              <w:left w:val="single" w:color="000000" w:sz="4" w:space="0"/>
              <w:bottom w:val="single" w:color="000000" w:sz="4" w:space="0"/>
              <w:right w:val="single" w:color="000000" w:sz="4" w:space="0"/>
            </w:tcBorders>
            <w:shd w:val="clear" w:color="auto" w:fill="auto"/>
          </w:tcPr>
          <w:p>
            <w:pPr>
              <w:widowControl/>
              <w:spacing w:line="240" w:lineRule="auto"/>
              <w:ind w:firstLine="0" w:firstLineChars="0"/>
              <w:jc w:val="center"/>
              <w:textAlignment w:val="top"/>
              <w:rPr>
                <w:rFonts w:ascii="宋体" w:hAnsi="宋体" w:eastAsia="宋体" w:cs="宋体"/>
                <w:color w:val="000000"/>
                <w:sz w:val="20"/>
                <w:szCs w:val="20"/>
              </w:rPr>
            </w:pPr>
            <w:r>
              <w:rPr>
                <w:rFonts w:hint="eastAsia" w:ascii="宋体" w:hAnsi="宋体" w:eastAsia="宋体" w:cs="宋体"/>
                <w:color w:val="000000"/>
                <w:kern w:val="0"/>
                <w:sz w:val="20"/>
                <w:szCs w:val="20"/>
                <w:lang w:bidi="ar"/>
              </w:rPr>
              <w:t>对</w:t>
            </w:r>
          </w:p>
        </w:tc>
      </w:tr>
      <w:tr>
        <w:tblPrEx>
          <w:tblLayout w:type="fixed"/>
          <w:tblCellMar>
            <w:top w:w="15" w:type="dxa"/>
            <w:left w:w="15" w:type="dxa"/>
            <w:bottom w:w="15" w:type="dxa"/>
            <w:right w:w="15" w:type="dxa"/>
          </w:tblCellMar>
        </w:tblPrEx>
        <w:trPr>
          <w:trHeight w:val="285"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8</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15米光跳线</w:t>
            </w:r>
          </w:p>
        </w:tc>
        <w:tc>
          <w:tcPr>
            <w:tcW w:w="2882" w:type="dxa"/>
            <w:tcBorders>
              <w:top w:val="single" w:color="000000" w:sz="4" w:space="0"/>
              <w:left w:val="single" w:color="000000" w:sz="4" w:space="0"/>
              <w:bottom w:val="single" w:color="000000" w:sz="4" w:space="0"/>
              <w:right w:val="single" w:color="000000" w:sz="4" w:space="0"/>
            </w:tcBorders>
            <w:shd w:val="clear" w:color="auto" w:fill="auto"/>
          </w:tcPr>
          <w:p>
            <w:pPr>
              <w:widowControl/>
              <w:spacing w:line="240" w:lineRule="auto"/>
              <w:ind w:firstLine="0" w:firstLineChars="0"/>
              <w:jc w:val="left"/>
              <w:textAlignment w:val="top"/>
              <w:rPr>
                <w:rFonts w:ascii="宋体" w:hAnsi="宋体" w:eastAsia="宋体" w:cs="宋体"/>
                <w:color w:val="000000"/>
                <w:sz w:val="20"/>
                <w:szCs w:val="20"/>
              </w:rPr>
            </w:pPr>
            <w:r>
              <w:rPr>
                <w:rFonts w:hint="eastAsia" w:ascii="宋体" w:hAnsi="宋体" w:eastAsia="宋体" w:cs="宋体"/>
                <w:color w:val="000000"/>
                <w:kern w:val="0"/>
                <w:sz w:val="20"/>
                <w:szCs w:val="20"/>
                <w:lang w:bidi="ar"/>
              </w:rPr>
              <w:t>单模FC-LC</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ind w:firstLine="0" w:firstLineChars="0"/>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18</w:t>
            </w:r>
          </w:p>
        </w:tc>
        <w:tc>
          <w:tcPr>
            <w:tcW w:w="825" w:type="dxa"/>
            <w:tcBorders>
              <w:top w:val="single" w:color="000000" w:sz="4" w:space="0"/>
              <w:left w:val="single" w:color="000000" w:sz="4" w:space="0"/>
              <w:bottom w:val="single" w:color="000000" w:sz="4" w:space="0"/>
              <w:right w:val="single" w:color="000000" w:sz="4" w:space="0"/>
            </w:tcBorders>
            <w:shd w:val="clear" w:color="auto" w:fill="auto"/>
          </w:tcPr>
          <w:p>
            <w:pPr>
              <w:widowControl/>
              <w:spacing w:line="240" w:lineRule="auto"/>
              <w:ind w:firstLine="0" w:firstLineChars="0"/>
              <w:jc w:val="center"/>
              <w:textAlignment w:val="top"/>
              <w:rPr>
                <w:rFonts w:ascii="宋体" w:hAnsi="宋体" w:eastAsia="宋体" w:cs="宋体"/>
                <w:color w:val="000000"/>
                <w:sz w:val="20"/>
                <w:szCs w:val="20"/>
              </w:rPr>
            </w:pPr>
            <w:r>
              <w:rPr>
                <w:rFonts w:hint="eastAsia" w:ascii="宋体" w:hAnsi="宋体" w:eastAsia="宋体" w:cs="宋体"/>
                <w:color w:val="000000"/>
                <w:kern w:val="0"/>
                <w:sz w:val="20"/>
                <w:szCs w:val="20"/>
                <w:lang w:bidi="ar"/>
              </w:rPr>
              <w:t>对</w:t>
            </w:r>
          </w:p>
        </w:tc>
      </w:tr>
      <w:tr>
        <w:tblPrEx>
          <w:tblLayout w:type="fixed"/>
          <w:tblCellMar>
            <w:top w:w="15" w:type="dxa"/>
            <w:left w:w="15" w:type="dxa"/>
            <w:bottom w:w="15" w:type="dxa"/>
            <w:right w:w="15" w:type="dxa"/>
          </w:tblCellMar>
        </w:tblPrEx>
        <w:trPr>
          <w:trHeight w:val="285"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9</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光电收发器</w:t>
            </w:r>
          </w:p>
        </w:tc>
        <w:tc>
          <w:tcPr>
            <w:tcW w:w="2882" w:type="dxa"/>
            <w:tcBorders>
              <w:top w:val="single" w:color="000000" w:sz="4" w:space="0"/>
              <w:left w:val="single" w:color="000000" w:sz="4" w:space="0"/>
              <w:bottom w:val="single" w:color="000000" w:sz="4" w:space="0"/>
              <w:right w:val="single" w:color="000000" w:sz="4" w:space="0"/>
            </w:tcBorders>
            <w:shd w:val="clear" w:color="auto" w:fill="auto"/>
          </w:tcPr>
          <w:p>
            <w:pPr>
              <w:widowControl/>
              <w:spacing w:line="240" w:lineRule="auto"/>
              <w:ind w:firstLine="0" w:firstLineChars="0"/>
              <w:jc w:val="left"/>
              <w:textAlignment w:val="top"/>
              <w:rPr>
                <w:rFonts w:ascii="宋体" w:hAnsi="宋体" w:eastAsia="宋体" w:cs="宋体"/>
                <w:color w:val="000000"/>
                <w:sz w:val="20"/>
                <w:szCs w:val="20"/>
              </w:rPr>
            </w:pPr>
            <w:r>
              <w:rPr>
                <w:rFonts w:hint="eastAsia" w:ascii="宋体" w:hAnsi="宋体" w:eastAsia="宋体" w:cs="宋体"/>
                <w:color w:val="000000"/>
                <w:kern w:val="0"/>
                <w:sz w:val="20"/>
                <w:szCs w:val="20"/>
                <w:lang w:bidi="ar"/>
              </w:rPr>
              <w:t>百兆，单模，20km</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ind w:firstLine="0" w:firstLineChars="0"/>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51</w:t>
            </w:r>
          </w:p>
        </w:tc>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ind w:firstLine="0" w:firstLineChars="0"/>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个</w:t>
            </w:r>
          </w:p>
        </w:tc>
      </w:tr>
      <w:tr>
        <w:tblPrEx>
          <w:tblLayout w:type="fixed"/>
          <w:tblCellMar>
            <w:top w:w="15" w:type="dxa"/>
            <w:left w:w="15" w:type="dxa"/>
            <w:bottom w:w="15" w:type="dxa"/>
            <w:right w:w="15" w:type="dxa"/>
          </w:tblCellMar>
        </w:tblPrEx>
        <w:trPr>
          <w:trHeight w:val="285"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10</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百兆光交换机</w:t>
            </w:r>
          </w:p>
        </w:tc>
        <w:tc>
          <w:tcPr>
            <w:tcW w:w="28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left"/>
              <w:textAlignment w:val="center"/>
              <w:rPr>
                <w:rFonts w:ascii="宋体" w:hAnsi="宋体" w:eastAsia="宋体" w:cs="宋体"/>
                <w:color w:val="000000"/>
                <w:kern w:val="0"/>
                <w:sz w:val="20"/>
                <w:szCs w:val="20"/>
                <w:lang w:bidi="ar"/>
              </w:rPr>
            </w:pPr>
            <w:r>
              <w:rPr>
                <w:rFonts w:ascii="宋体" w:hAnsi="宋体" w:eastAsia="宋体" w:cs="宋体"/>
                <w:color w:val="000000"/>
                <w:kern w:val="0"/>
                <w:sz w:val="20"/>
                <w:szCs w:val="20"/>
                <w:lang w:bidi="ar"/>
              </w:rPr>
              <w:t>24个百兆SFP，4个千兆SFP，2个复用的10/100/1000Base-T以太网端口Combo</w:t>
            </w:r>
          </w:p>
          <w:p>
            <w:pPr>
              <w:widowControl/>
              <w:spacing w:line="240" w:lineRule="auto"/>
              <w:ind w:firstLine="0" w:firstLineChars="0"/>
              <w:jc w:val="left"/>
              <w:textAlignment w:val="center"/>
              <w:rPr>
                <w:rFonts w:ascii="宋体" w:hAnsi="宋体" w:eastAsia="宋体" w:cs="宋体"/>
                <w:color w:val="000000"/>
                <w:kern w:val="0"/>
                <w:sz w:val="20"/>
                <w:szCs w:val="20"/>
                <w:lang w:bidi="ar"/>
              </w:rPr>
            </w:pPr>
            <w:r>
              <w:rPr>
                <w:rFonts w:ascii="宋体" w:hAnsi="宋体" w:eastAsia="宋体" w:cs="宋体"/>
                <w:color w:val="000000"/>
                <w:kern w:val="0"/>
                <w:sz w:val="20"/>
                <w:szCs w:val="20"/>
                <w:lang w:bidi="ar"/>
              </w:rPr>
              <w:t>包转发率：14.1Mpps</w:t>
            </w:r>
          </w:p>
          <w:p>
            <w:pPr>
              <w:widowControl/>
              <w:spacing w:line="240" w:lineRule="auto"/>
              <w:ind w:firstLine="0" w:firstLineChars="0"/>
              <w:jc w:val="left"/>
              <w:textAlignment w:val="center"/>
              <w:rPr>
                <w:rFonts w:ascii="宋体" w:hAnsi="宋体" w:eastAsia="宋体" w:cs="宋体"/>
                <w:color w:val="000000"/>
                <w:kern w:val="0"/>
                <w:sz w:val="20"/>
                <w:szCs w:val="20"/>
                <w:lang w:bidi="ar"/>
              </w:rPr>
            </w:pPr>
            <w:r>
              <w:rPr>
                <w:rFonts w:ascii="宋体" w:hAnsi="宋体" w:eastAsia="宋体" w:cs="宋体"/>
                <w:color w:val="000000"/>
                <w:kern w:val="0"/>
                <w:sz w:val="20"/>
                <w:szCs w:val="20"/>
                <w:lang w:bidi="ar"/>
              </w:rPr>
              <w:t>交换容量：64Gbps·</w:t>
            </w:r>
            <w:r>
              <w:rPr>
                <w:rFonts w:hint="eastAsia" w:ascii="宋体" w:hAnsi="宋体" w:eastAsia="宋体" w:cs="宋体"/>
                <w:color w:val="000000"/>
                <w:kern w:val="0"/>
                <w:sz w:val="20"/>
                <w:szCs w:val="20"/>
                <w:lang w:bidi="ar"/>
              </w:rPr>
              <w:t xml:space="preserve">  </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ind w:firstLine="0" w:firstLineChars="0"/>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6</w:t>
            </w:r>
          </w:p>
        </w:tc>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ind w:firstLine="0" w:firstLineChars="0"/>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台</w:t>
            </w:r>
          </w:p>
        </w:tc>
      </w:tr>
      <w:tr>
        <w:tblPrEx>
          <w:tblLayout w:type="fixed"/>
          <w:tblCellMar>
            <w:top w:w="15" w:type="dxa"/>
            <w:left w:w="15" w:type="dxa"/>
            <w:bottom w:w="15" w:type="dxa"/>
            <w:right w:w="15" w:type="dxa"/>
          </w:tblCellMar>
        </w:tblPrEx>
        <w:trPr>
          <w:trHeight w:val="285"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11</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百兆sfp模块</w:t>
            </w:r>
          </w:p>
        </w:tc>
        <w:tc>
          <w:tcPr>
            <w:tcW w:w="28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单模10km</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ind w:firstLine="0" w:firstLineChars="0"/>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51</w:t>
            </w:r>
          </w:p>
        </w:tc>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ind w:firstLine="0" w:firstLineChars="0"/>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块</w:t>
            </w:r>
          </w:p>
        </w:tc>
      </w:tr>
      <w:tr>
        <w:tblPrEx>
          <w:tblLayout w:type="fixed"/>
          <w:tblCellMar>
            <w:top w:w="15" w:type="dxa"/>
            <w:left w:w="15" w:type="dxa"/>
            <w:bottom w:w="15" w:type="dxa"/>
            <w:right w:w="15" w:type="dxa"/>
          </w:tblCellMar>
        </w:tblPrEx>
        <w:trPr>
          <w:trHeight w:val="285"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12</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中心交换机</w:t>
            </w:r>
          </w:p>
        </w:tc>
        <w:tc>
          <w:tcPr>
            <w:tcW w:w="2882" w:type="dxa"/>
            <w:tcBorders>
              <w:top w:val="single" w:color="000000" w:sz="4" w:space="0"/>
              <w:left w:val="single" w:color="000000" w:sz="4" w:space="0"/>
              <w:right w:val="single" w:color="000000" w:sz="4" w:space="0"/>
            </w:tcBorders>
            <w:shd w:val="clear" w:color="auto" w:fill="auto"/>
            <w:vAlign w:val="center"/>
          </w:tcPr>
          <w:p>
            <w:pPr>
              <w:widowControl/>
              <w:spacing w:line="240" w:lineRule="auto"/>
              <w:ind w:firstLine="0" w:firstLineChars="0"/>
              <w:jc w:val="left"/>
              <w:textAlignment w:val="center"/>
              <w:rPr>
                <w:rFonts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24个千兆 SFP，8个复用的千兆10/100/1000Base-T以太网端口Combo，4个万兆SFP+</w:t>
            </w:r>
          </w:p>
          <w:p>
            <w:pPr>
              <w:widowControl/>
              <w:spacing w:line="240" w:lineRule="auto"/>
              <w:ind w:firstLine="0" w:firstLineChars="0"/>
              <w:jc w:val="left"/>
              <w:textAlignment w:val="center"/>
              <w:rPr>
                <w:rFonts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支持交流或直流供电，支持RPS冗余电源</w:t>
            </w:r>
          </w:p>
          <w:p>
            <w:pPr>
              <w:widowControl/>
              <w:spacing w:line="240" w:lineRule="auto"/>
              <w:ind w:firstLine="0" w:firstLineChars="0"/>
              <w:jc w:val="left"/>
              <w:textAlignment w:val="center"/>
              <w:rPr>
                <w:rFonts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交换容量：336Gbps/3.024Tbps</w:t>
            </w:r>
          </w:p>
          <w:p>
            <w:pPr>
              <w:widowControl/>
              <w:spacing w:line="240" w:lineRule="auto"/>
              <w:ind w:firstLine="0" w:firstLineChars="0"/>
              <w:jc w:val="left"/>
              <w:textAlignment w:val="center"/>
              <w:rPr>
                <w:rFonts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包转发率：108Mpps/126Mpps</w:t>
            </w:r>
          </w:p>
          <w:p>
            <w:pPr>
              <w:widowControl/>
              <w:spacing w:line="240" w:lineRule="auto"/>
              <w:ind w:firstLine="0" w:firstLineChars="0"/>
              <w:jc w:val="left"/>
              <w:textAlignment w:val="center"/>
              <w:rPr>
                <w:rFonts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带堆叠模块</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ind w:firstLine="0" w:firstLineChars="0"/>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2</w:t>
            </w:r>
          </w:p>
        </w:tc>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ind w:firstLine="0" w:firstLineChars="0"/>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台</w:t>
            </w:r>
          </w:p>
        </w:tc>
      </w:tr>
      <w:tr>
        <w:tblPrEx>
          <w:tblLayout w:type="fixed"/>
          <w:tblCellMar>
            <w:top w:w="15" w:type="dxa"/>
            <w:left w:w="15" w:type="dxa"/>
            <w:bottom w:w="15" w:type="dxa"/>
            <w:right w:w="15" w:type="dxa"/>
          </w:tblCellMar>
        </w:tblPrEx>
        <w:trPr>
          <w:trHeight w:val="285"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13</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千兆sfp模块</w:t>
            </w:r>
          </w:p>
        </w:tc>
        <w:tc>
          <w:tcPr>
            <w:tcW w:w="28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单模10km</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ind w:firstLine="0" w:firstLineChars="0"/>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16</w:t>
            </w:r>
          </w:p>
        </w:tc>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ind w:firstLine="0" w:firstLineChars="0"/>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块</w:t>
            </w:r>
          </w:p>
        </w:tc>
      </w:tr>
      <w:tr>
        <w:tblPrEx>
          <w:tblLayout w:type="fixed"/>
          <w:tblCellMar>
            <w:top w:w="15" w:type="dxa"/>
            <w:left w:w="15" w:type="dxa"/>
            <w:bottom w:w="15" w:type="dxa"/>
            <w:right w:w="15" w:type="dxa"/>
          </w:tblCellMar>
        </w:tblPrEx>
        <w:trPr>
          <w:trHeight w:val="285" w:hRule="atLeast"/>
          <w:jc w:val="center"/>
        </w:trPr>
        <w:tc>
          <w:tcPr>
            <w:tcW w:w="7217" w:type="dxa"/>
            <w:gridSpan w:val="3"/>
            <w:tcBorders>
              <w:top w:val="single" w:color="000000" w:sz="4" w:space="0"/>
              <w:left w:val="single" w:color="000000" w:sz="4" w:space="0"/>
              <w:bottom w:val="single" w:color="000000" w:sz="4" w:space="0"/>
              <w:right w:val="single" w:color="000000" w:sz="4" w:space="0"/>
            </w:tcBorders>
            <w:shd w:val="clear" w:color="auto" w:fill="D9D9D9"/>
            <w:vAlign w:val="center"/>
          </w:tcPr>
          <w:p>
            <w:pPr>
              <w:widowControl/>
              <w:spacing w:line="240" w:lineRule="auto"/>
              <w:ind w:firstLine="0" w:firstLineChars="0"/>
              <w:jc w:val="left"/>
              <w:textAlignment w:val="center"/>
              <w:rPr>
                <w:rFonts w:ascii="宋体" w:hAnsi="宋体" w:eastAsia="宋体" w:cs="宋体"/>
                <w:b/>
                <w:color w:val="000000"/>
                <w:sz w:val="20"/>
                <w:szCs w:val="20"/>
              </w:rPr>
            </w:pPr>
            <w:r>
              <w:rPr>
                <w:rFonts w:hint="eastAsia" w:ascii="宋体" w:hAnsi="宋体" w:eastAsia="宋体" w:cs="宋体"/>
                <w:b/>
                <w:color w:val="000000"/>
                <w:kern w:val="0"/>
                <w:sz w:val="20"/>
                <w:szCs w:val="20"/>
                <w:lang w:bidi="ar"/>
              </w:rPr>
              <w:t>控制室</w:t>
            </w:r>
          </w:p>
        </w:tc>
        <w:tc>
          <w:tcPr>
            <w:tcW w:w="870" w:type="dxa"/>
            <w:tcBorders>
              <w:top w:val="single" w:color="000000" w:sz="4" w:space="0"/>
              <w:left w:val="single" w:color="000000" w:sz="4" w:space="0"/>
              <w:bottom w:val="single" w:color="000000" w:sz="4" w:space="0"/>
              <w:right w:val="single" w:color="000000" w:sz="4" w:space="0"/>
            </w:tcBorders>
            <w:shd w:val="clear" w:color="auto" w:fill="D9D9D9"/>
            <w:vAlign w:val="center"/>
          </w:tcPr>
          <w:p>
            <w:pPr>
              <w:widowControl/>
              <w:spacing w:line="240" w:lineRule="auto"/>
              <w:ind w:firstLine="0" w:firstLineChars="0"/>
              <w:jc w:val="center"/>
              <w:rPr>
                <w:rFonts w:ascii="宋体" w:hAnsi="宋体" w:eastAsia="宋体" w:cs="宋体"/>
                <w:b/>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D9D9D9"/>
            <w:vAlign w:val="center"/>
          </w:tcPr>
          <w:p>
            <w:pPr>
              <w:widowControl/>
              <w:spacing w:line="240" w:lineRule="auto"/>
              <w:ind w:firstLine="0" w:firstLineChars="0"/>
              <w:jc w:val="center"/>
              <w:rPr>
                <w:rFonts w:ascii="宋体" w:hAnsi="宋体" w:eastAsia="宋体" w:cs="宋体"/>
                <w:b/>
                <w:color w:val="000000"/>
                <w:sz w:val="20"/>
                <w:szCs w:val="20"/>
              </w:rPr>
            </w:pPr>
          </w:p>
        </w:tc>
      </w:tr>
      <w:tr>
        <w:tblPrEx>
          <w:tblLayout w:type="fixed"/>
          <w:tblCellMar>
            <w:top w:w="15" w:type="dxa"/>
            <w:left w:w="15" w:type="dxa"/>
            <w:bottom w:w="15" w:type="dxa"/>
            <w:right w:w="15" w:type="dxa"/>
          </w:tblCellMar>
        </w:tblPrEx>
        <w:trPr>
          <w:trHeight w:val="285"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1</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控制台</w:t>
            </w:r>
          </w:p>
        </w:tc>
        <w:tc>
          <w:tcPr>
            <w:tcW w:w="28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4工位 ，带报警接口控制器</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ind w:firstLine="0" w:firstLineChars="0"/>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1</w:t>
            </w:r>
          </w:p>
        </w:tc>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ind w:firstLine="0" w:firstLineChars="0"/>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套</w:t>
            </w:r>
          </w:p>
        </w:tc>
      </w:tr>
      <w:tr>
        <w:tblPrEx>
          <w:tblLayout w:type="fixed"/>
          <w:tblCellMar>
            <w:top w:w="15" w:type="dxa"/>
            <w:left w:w="15" w:type="dxa"/>
            <w:bottom w:w="15" w:type="dxa"/>
            <w:right w:w="15" w:type="dxa"/>
          </w:tblCellMar>
        </w:tblPrEx>
        <w:trPr>
          <w:trHeight w:val="285"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2</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人体工程学转椅</w:t>
            </w:r>
          </w:p>
        </w:tc>
        <w:tc>
          <w:tcPr>
            <w:tcW w:w="28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117*60cm,黑色网格</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ind w:firstLine="0" w:firstLineChars="0"/>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6</w:t>
            </w:r>
          </w:p>
        </w:tc>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ind w:firstLine="0" w:firstLineChars="0"/>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个</w:t>
            </w:r>
          </w:p>
        </w:tc>
      </w:tr>
      <w:tr>
        <w:tblPrEx>
          <w:tblLayout w:type="fixed"/>
          <w:tblCellMar>
            <w:top w:w="15" w:type="dxa"/>
            <w:left w:w="15" w:type="dxa"/>
            <w:bottom w:w="15" w:type="dxa"/>
            <w:right w:w="15" w:type="dxa"/>
          </w:tblCellMar>
        </w:tblPrEx>
        <w:trPr>
          <w:trHeight w:val="120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声光报警器</w:t>
            </w:r>
          </w:p>
        </w:tc>
        <w:tc>
          <w:tcPr>
            <w:tcW w:w="28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12V供电（设备含12V供电变压器）；红色，闪亮，带警示音（85分贝滴滴音），红色警示音均可独立控制；USB接口连接电脑控制报警事件；支持Windows二次开发(可提供VB、VC、Delphi、C#、java等开发包)；HID免驱动</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ind w:firstLine="0" w:firstLineChars="0"/>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w:t>
            </w:r>
          </w:p>
        </w:tc>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line="240" w:lineRule="auto"/>
              <w:ind w:firstLine="0" w:firstLineChars="0"/>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个</w:t>
            </w:r>
          </w:p>
        </w:tc>
      </w:tr>
    </w:tbl>
    <w:p>
      <w:pPr>
        <w:widowControl/>
        <w:tabs>
          <w:tab w:val="left" w:pos="1080"/>
          <w:tab w:val="left" w:pos="4335"/>
          <w:tab w:val="left" w:pos="7217"/>
          <w:tab w:val="left" w:pos="8087"/>
        </w:tabs>
        <w:spacing w:line="240" w:lineRule="auto"/>
        <w:ind w:firstLine="0" w:firstLineChars="0"/>
        <w:jc w:val="center"/>
        <w:textAlignment w:val="center"/>
        <w:rPr>
          <w:rFonts w:hint="eastAsia" w:ascii="宋体" w:hAnsi="宋体" w:eastAsia="宋体" w:cs="宋体"/>
          <w:color w:val="000000"/>
          <w:kern w:val="0"/>
          <w:sz w:val="20"/>
          <w:szCs w:val="20"/>
          <w:lang w:bidi="ar"/>
        </w:rPr>
      </w:pPr>
    </w:p>
    <w:p>
      <w:pPr>
        <w:pStyle w:val="3"/>
        <w:ind w:firstLine="482"/>
      </w:pPr>
      <w:bookmarkStart w:id="191" w:name="_Toc22939"/>
      <w:r>
        <w:rPr>
          <w:rFonts w:hint="eastAsia"/>
          <w:lang w:val="en-US" w:eastAsia="zh-CN"/>
        </w:rPr>
        <w:t>控制室设备</w:t>
      </w:r>
      <w:bookmarkEnd w:id="191"/>
    </w:p>
    <w:tbl>
      <w:tblPr>
        <w:tblStyle w:val="33"/>
        <w:tblW w:w="9068" w:type="dxa"/>
        <w:jc w:val="center"/>
        <w:tblInd w:w="-351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054"/>
        <w:gridCol w:w="2494"/>
        <w:gridCol w:w="4040"/>
        <w:gridCol w:w="780"/>
        <w:gridCol w:w="7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191" w:hRule="atLeast"/>
          <w:jc w:val="center"/>
        </w:trPr>
        <w:tc>
          <w:tcPr>
            <w:tcW w:w="105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b/>
                <w:color w:val="000000"/>
                <w:kern w:val="0"/>
                <w:sz w:val="21"/>
                <w:szCs w:val="21"/>
                <w:lang w:bidi="ar"/>
              </w:rPr>
              <w:t>序号</w:t>
            </w:r>
          </w:p>
        </w:tc>
        <w:tc>
          <w:tcPr>
            <w:tcW w:w="249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b/>
                <w:color w:val="000000"/>
                <w:kern w:val="0"/>
                <w:sz w:val="21"/>
                <w:szCs w:val="21"/>
                <w:lang w:bidi="ar"/>
              </w:rPr>
              <w:t>项目名称</w:t>
            </w:r>
          </w:p>
        </w:tc>
        <w:tc>
          <w:tcPr>
            <w:tcW w:w="40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b/>
                <w:color w:val="000000"/>
                <w:kern w:val="0"/>
                <w:sz w:val="21"/>
                <w:szCs w:val="21"/>
                <w:lang w:bidi="ar"/>
              </w:rPr>
              <w:t>参数规格</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b/>
                <w:color w:val="000000"/>
                <w:kern w:val="0"/>
                <w:sz w:val="21"/>
                <w:szCs w:val="21"/>
                <w:lang w:bidi="ar"/>
              </w:rPr>
              <w:t>数量</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b/>
                <w:color w:val="000000"/>
                <w:kern w:val="0"/>
                <w:sz w:val="21"/>
                <w:szCs w:val="21"/>
                <w:lang w:bidi="ar"/>
              </w:rPr>
              <w:t>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191" w:hRule="atLeast"/>
          <w:jc w:val="center"/>
        </w:trPr>
        <w:tc>
          <w:tcPr>
            <w:tcW w:w="10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24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控制台</w:t>
            </w:r>
          </w:p>
        </w:tc>
        <w:tc>
          <w:tcPr>
            <w:tcW w:w="40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4工位 ，带报警接口控制器</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191" w:hRule="atLeast"/>
          <w:jc w:val="center"/>
        </w:trPr>
        <w:tc>
          <w:tcPr>
            <w:tcW w:w="10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w:t>
            </w:r>
          </w:p>
        </w:tc>
        <w:tc>
          <w:tcPr>
            <w:tcW w:w="24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人体工程学转椅</w:t>
            </w:r>
          </w:p>
        </w:tc>
        <w:tc>
          <w:tcPr>
            <w:tcW w:w="40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117*60cm,黑色网格</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1040" w:hRule="atLeast"/>
          <w:jc w:val="center"/>
        </w:trPr>
        <w:tc>
          <w:tcPr>
            <w:tcW w:w="10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w:t>
            </w:r>
          </w:p>
        </w:tc>
        <w:tc>
          <w:tcPr>
            <w:tcW w:w="24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声光报警器</w:t>
            </w:r>
          </w:p>
        </w:tc>
        <w:tc>
          <w:tcPr>
            <w:tcW w:w="40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12V供电（设备含12V供电变压器）；红色，闪亮，带警示音（85分贝滴滴音），红色警示音均可独立控制；USB接口连接电脑控制报警事件；支持Windows二次开发(可提供VB、VC、Delphi、C#、java等开发包)；HID免驱动</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r>
    </w:tbl>
    <w:p>
      <w:pPr>
        <w:pStyle w:val="2"/>
        <w:rPr>
          <w:rFonts w:hint="eastAsia"/>
          <w:lang w:val="en-US" w:eastAsia="zh-CN"/>
        </w:rPr>
        <w:sectPr>
          <w:footerReference r:id="rId5" w:type="default"/>
          <w:pgSz w:w="11906" w:h="16838"/>
          <w:pgMar w:top="1440" w:right="1800" w:bottom="1440" w:left="1800" w:header="851" w:footer="992" w:gutter="0"/>
          <w:pgNumType w:start="1"/>
          <w:cols w:space="0" w:num="1"/>
          <w:docGrid w:type="lines" w:linePitch="312" w:charSpace="0"/>
        </w:sectPr>
      </w:pPr>
    </w:p>
    <w:p>
      <w:pPr>
        <w:pStyle w:val="2"/>
        <w:rPr>
          <w:rFonts w:hint="eastAsia"/>
          <w:lang w:val="en-US" w:eastAsia="zh-CN"/>
        </w:rPr>
      </w:pPr>
      <w:r>
        <w:rPr>
          <w:rFonts w:hint="eastAsia"/>
          <w:lang w:val="en-US" w:eastAsia="zh-CN"/>
        </w:rPr>
        <w:t>报价清单</w:t>
      </w:r>
    </w:p>
    <w:tbl>
      <w:tblPr>
        <w:tblStyle w:val="33"/>
        <w:tblW w:w="1328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1080"/>
        <w:gridCol w:w="3192"/>
        <w:gridCol w:w="5670"/>
        <w:gridCol w:w="992"/>
        <w:gridCol w:w="1080"/>
        <w:gridCol w:w="634"/>
        <w:gridCol w:w="63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序号</w:t>
            </w:r>
          </w:p>
        </w:tc>
        <w:tc>
          <w:tcPr>
            <w:tcW w:w="31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项目名称</w:t>
            </w:r>
          </w:p>
        </w:tc>
        <w:tc>
          <w:tcPr>
            <w:tcW w:w="56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规格型号</w:t>
            </w:r>
          </w:p>
        </w:tc>
        <w:tc>
          <w:tcPr>
            <w:tcW w:w="9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数量</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单位</w:t>
            </w:r>
          </w:p>
        </w:tc>
        <w:tc>
          <w:tcPr>
            <w:tcW w:w="6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单价（元）</w:t>
            </w:r>
          </w:p>
        </w:tc>
        <w:tc>
          <w:tcPr>
            <w:tcW w:w="6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合价（元）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9942" w:type="dxa"/>
            <w:gridSpan w:val="3"/>
            <w:tcBorders>
              <w:top w:val="single" w:color="000000" w:sz="4" w:space="0"/>
              <w:left w:val="single" w:color="000000" w:sz="4" w:space="0"/>
              <w:bottom w:val="single" w:color="000000" w:sz="4" w:space="0"/>
              <w:right w:val="single" w:color="000000" w:sz="4" w:space="0"/>
            </w:tcBorders>
            <w:shd w:val="clear" w:color="auto" w:fill="D9D9D9"/>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消防远程监控管理系统</w:t>
            </w:r>
          </w:p>
        </w:tc>
        <w:tc>
          <w:tcPr>
            <w:tcW w:w="992" w:type="dxa"/>
            <w:tcBorders>
              <w:top w:val="single" w:color="000000" w:sz="4" w:space="0"/>
              <w:left w:val="single" w:color="000000" w:sz="4" w:space="0"/>
              <w:bottom w:val="single" w:color="000000" w:sz="4" w:space="0"/>
              <w:right w:val="single" w:color="000000" w:sz="4" w:space="0"/>
            </w:tcBorders>
            <w:shd w:val="clear" w:color="auto" w:fill="D9D9D9"/>
            <w:tcMar>
              <w:top w:w="15" w:type="dxa"/>
              <w:left w:w="15" w:type="dxa"/>
              <w:right w:w="15" w:type="dxa"/>
            </w:tcMar>
            <w:vAlign w:val="center"/>
          </w:tcPr>
          <w:p>
            <w:pPr>
              <w:jc w:val="center"/>
              <w:rPr>
                <w:rFonts w:hint="eastAsia" w:ascii="宋体" w:hAnsi="宋体" w:eastAsia="宋体" w:cs="宋体"/>
                <w:b/>
                <w:i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D9D9D9"/>
            <w:tcMar>
              <w:top w:w="15" w:type="dxa"/>
              <w:left w:w="15" w:type="dxa"/>
              <w:right w:w="15" w:type="dxa"/>
            </w:tcMar>
            <w:vAlign w:val="center"/>
          </w:tcPr>
          <w:p>
            <w:pPr>
              <w:jc w:val="center"/>
              <w:rPr>
                <w:rFonts w:hint="eastAsia" w:ascii="宋体" w:hAnsi="宋体" w:eastAsia="宋体" w:cs="宋体"/>
                <w:b/>
                <w:i w:val="0"/>
                <w:color w:val="000000"/>
                <w:sz w:val="20"/>
                <w:szCs w:val="20"/>
                <w:u w:val="none"/>
              </w:rPr>
            </w:pPr>
          </w:p>
        </w:tc>
        <w:tc>
          <w:tcPr>
            <w:tcW w:w="634" w:type="dxa"/>
            <w:tcBorders>
              <w:top w:val="single" w:color="000000" w:sz="4" w:space="0"/>
              <w:left w:val="single" w:color="000000" w:sz="4" w:space="0"/>
              <w:bottom w:val="single" w:color="000000" w:sz="4" w:space="0"/>
              <w:right w:val="single" w:color="000000" w:sz="4" w:space="0"/>
            </w:tcBorders>
            <w:shd w:val="clear" w:color="auto" w:fill="D9D9D9"/>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c>
          <w:tcPr>
            <w:tcW w:w="634" w:type="dxa"/>
            <w:tcBorders>
              <w:top w:val="single" w:color="000000" w:sz="4" w:space="0"/>
              <w:left w:val="single" w:color="000000" w:sz="4" w:space="0"/>
              <w:bottom w:val="single" w:color="000000" w:sz="4" w:space="0"/>
              <w:right w:val="single" w:color="000000" w:sz="4" w:space="0"/>
            </w:tcBorders>
            <w:shd w:val="clear" w:color="auto" w:fill="D9D9D9"/>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12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31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消防远程监控管理软件</w:t>
            </w:r>
          </w:p>
        </w:tc>
        <w:tc>
          <w:tcPr>
            <w:tcW w:w="56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通信服务子系统；数据库子系统；信息\统计查询子系统；维护管理子系统；自动校时子系统；火灾报警监控管理；视频监控管理；手机APP终端管理；GIS地理信息系统管理；值班室视频系统管理；报警及运行状态信息短信发送系统；门禁集成子系统；巡检管理子系统；消防设备管理子系统；公告管理子系统；</w:t>
            </w:r>
          </w:p>
        </w:tc>
        <w:tc>
          <w:tcPr>
            <w:tcW w:w="9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套 </w:t>
            </w:r>
          </w:p>
        </w:tc>
        <w:tc>
          <w:tcPr>
            <w:tcW w:w="6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9942" w:type="dxa"/>
            <w:gridSpan w:val="3"/>
            <w:tcBorders>
              <w:top w:val="single" w:color="000000" w:sz="4" w:space="0"/>
              <w:left w:val="single" w:color="000000" w:sz="4" w:space="0"/>
              <w:bottom w:val="single" w:color="000000" w:sz="4" w:space="0"/>
              <w:right w:val="single" w:color="000000" w:sz="4" w:space="0"/>
            </w:tcBorders>
            <w:shd w:val="clear" w:color="auto" w:fill="D9D9D9"/>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监控中心专用硬件设备</w:t>
            </w:r>
          </w:p>
        </w:tc>
        <w:tc>
          <w:tcPr>
            <w:tcW w:w="992" w:type="dxa"/>
            <w:tcBorders>
              <w:top w:val="single" w:color="000000" w:sz="4" w:space="0"/>
              <w:left w:val="single" w:color="000000" w:sz="4" w:space="0"/>
              <w:bottom w:val="single" w:color="000000" w:sz="4" w:space="0"/>
              <w:right w:val="single" w:color="000000" w:sz="4" w:space="0"/>
            </w:tcBorders>
            <w:shd w:val="clear" w:color="auto" w:fill="D9D9D9"/>
            <w:tcMar>
              <w:top w:w="15" w:type="dxa"/>
              <w:left w:w="15" w:type="dxa"/>
              <w:right w:w="15" w:type="dxa"/>
            </w:tcMar>
            <w:vAlign w:val="center"/>
          </w:tcPr>
          <w:p>
            <w:pPr>
              <w:rPr>
                <w:rFonts w:hint="eastAsia" w:ascii="宋体" w:hAnsi="宋体" w:eastAsia="宋体" w:cs="宋体"/>
                <w:b/>
                <w:i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D9D9D9"/>
            <w:tcMar>
              <w:top w:w="15" w:type="dxa"/>
              <w:left w:w="15" w:type="dxa"/>
              <w:right w:w="15" w:type="dxa"/>
            </w:tcMar>
            <w:vAlign w:val="center"/>
          </w:tcPr>
          <w:p>
            <w:pPr>
              <w:rPr>
                <w:rFonts w:hint="eastAsia" w:ascii="宋体" w:hAnsi="宋体" w:eastAsia="宋体" w:cs="宋体"/>
                <w:b/>
                <w:i w:val="0"/>
                <w:color w:val="000000"/>
                <w:sz w:val="20"/>
                <w:szCs w:val="20"/>
                <w:u w:val="none"/>
              </w:rPr>
            </w:pPr>
          </w:p>
        </w:tc>
        <w:tc>
          <w:tcPr>
            <w:tcW w:w="634" w:type="dxa"/>
            <w:tcBorders>
              <w:top w:val="single" w:color="000000" w:sz="4" w:space="0"/>
              <w:left w:val="single" w:color="000000" w:sz="4" w:space="0"/>
              <w:bottom w:val="single" w:color="000000" w:sz="4" w:space="0"/>
              <w:right w:val="single" w:color="000000" w:sz="4" w:space="0"/>
            </w:tcBorders>
            <w:shd w:val="clear" w:color="auto" w:fill="D9D9D9"/>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34" w:type="dxa"/>
            <w:tcBorders>
              <w:top w:val="single" w:color="000000" w:sz="4" w:space="0"/>
              <w:left w:val="single" w:color="000000" w:sz="4" w:space="0"/>
              <w:bottom w:val="single" w:color="000000" w:sz="4" w:space="0"/>
              <w:right w:val="single" w:color="000000" w:sz="4" w:space="0"/>
            </w:tcBorders>
            <w:shd w:val="clear" w:color="auto" w:fill="D9D9D9"/>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8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31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雷击浪涌保护器</w:t>
            </w:r>
          </w:p>
        </w:tc>
        <w:tc>
          <w:tcPr>
            <w:tcW w:w="56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9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台</w:t>
            </w:r>
          </w:p>
        </w:tc>
        <w:tc>
          <w:tcPr>
            <w:tcW w:w="6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w:t>
            </w:r>
          </w:p>
        </w:tc>
        <w:tc>
          <w:tcPr>
            <w:tcW w:w="31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GPS全网校时服务器</w:t>
            </w:r>
          </w:p>
        </w:tc>
        <w:tc>
          <w:tcPr>
            <w:tcW w:w="56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9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台</w:t>
            </w:r>
          </w:p>
        </w:tc>
        <w:tc>
          <w:tcPr>
            <w:tcW w:w="6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2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w:t>
            </w:r>
          </w:p>
        </w:tc>
        <w:tc>
          <w:tcPr>
            <w:tcW w:w="31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短信发送服务器（含软硬件）</w:t>
            </w:r>
          </w:p>
        </w:tc>
        <w:tc>
          <w:tcPr>
            <w:tcW w:w="56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9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台</w:t>
            </w:r>
          </w:p>
        </w:tc>
        <w:tc>
          <w:tcPr>
            <w:tcW w:w="6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2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w:t>
            </w:r>
          </w:p>
        </w:tc>
        <w:tc>
          <w:tcPr>
            <w:tcW w:w="31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报警频闪控制器及频闪灯</w:t>
            </w:r>
          </w:p>
        </w:tc>
        <w:tc>
          <w:tcPr>
            <w:tcW w:w="56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9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台</w:t>
            </w:r>
          </w:p>
        </w:tc>
        <w:tc>
          <w:tcPr>
            <w:tcW w:w="6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9942" w:type="dxa"/>
            <w:gridSpan w:val="3"/>
            <w:tcBorders>
              <w:top w:val="single" w:color="000000" w:sz="4" w:space="0"/>
              <w:left w:val="single" w:color="000000" w:sz="4" w:space="0"/>
              <w:bottom w:val="single" w:color="000000" w:sz="4" w:space="0"/>
              <w:right w:val="single" w:color="000000" w:sz="4" w:space="0"/>
            </w:tcBorders>
            <w:shd w:val="clear" w:color="auto" w:fill="D9D9D9"/>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前端采集传输设备</w:t>
            </w:r>
          </w:p>
        </w:tc>
        <w:tc>
          <w:tcPr>
            <w:tcW w:w="992" w:type="dxa"/>
            <w:tcBorders>
              <w:top w:val="single" w:color="000000" w:sz="4" w:space="0"/>
              <w:left w:val="single" w:color="000000" w:sz="4" w:space="0"/>
              <w:bottom w:val="single" w:color="000000" w:sz="4" w:space="0"/>
              <w:right w:val="single" w:color="000000" w:sz="4" w:space="0"/>
            </w:tcBorders>
            <w:shd w:val="clear" w:color="auto" w:fill="D9D9D9"/>
            <w:tcMar>
              <w:top w:w="15" w:type="dxa"/>
              <w:left w:w="15" w:type="dxa"/>
              <w:right w:w="15" w:type="dxa"/>
            </w:tcMar>
            <w:vAlign w:val="center"/>
          </w:tcPr>
          <w:p>
            <w:pPr>
              <w:rPr>
                <w:rFonts w:hint="eastAsia" w:ascii="宋体" w:hAnsi="宋体" w:eastAsia="宋体" w:cs="宋体"/>
                <w:b/>
                <w:i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D9D9D9"/>
            <w:tcMar>
              <w:top w:w="15" w:type="dxa"/>
              <w:left w:w="15" w:type="dxa"/>
              <w:right w:w="15" w:type="dxa"/>
            </w:tcMar>
            <w:vAlign w:val="center"/>
          </w:tcPr>
          <w:p>
            <w:pPr>
              <w:rPr>
                <w:rFonts w:hint="eastAsia" w:ascii="宋体" w:hAnsi="宋体" w:eastAsia="宋体" w:cs="宋体"/>
                <w:b/>
                <w:i w:val="0"/>
                <w:color w:val="000000"/>
                <w:sz w:val="20"/>
                <w:szCs w:val="20"/>
                <w:u w:val="none"/>
              </w:rPr>
            </w:pPr>
          </w:p>
        </w:tc>
        <w:tc>
          <w:tcPr>
            <w:tcW w:w="634" w:type="dxa"/>
            <w:tcBorders>
              <w:top w:val="single" w:color="000000" w:sz="4" w:space="0"/>
              <w:left w:val="single" w:color="000000" w:sz="4" w:space="0"/>
              <w:bottom w:val="single" w:color="000000" w:sz="4" w:space="0"/>
              <w:right w:val="single" w:color="000000" w:sz="4" w:space="0"/>
            </w:tcBorders>
            <w:shd w:val="clear" w:color="auto" w:fill="D9D9D9"/>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34" w:type="dxa"/>
            <w:tcBorders>
              <w:top w:val="single" w:color="000000" w:sz="4" w:space="0"/>
              <w:left w:val="single" w:color="000000" w:sz="4" w:space="0"/>
              <w:bottom w:val="single" w:color="000000" w:sz="4" w:space="0"/>
              <w:right w:val="single" w:color="000000" w:sz="4" w:space="0"/>
            </w:tcBorders>
            <w:shd w:val="clear" w:color="auto" w:fill="D9D9D9"/>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31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传输设备</w:t>
            </w:r>
          </w:p>
        </w:tc>
        <w:tc>
          <w:tcPr>
            <w:tcW w:w="56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9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51</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台</w:t>
            </w:r>
          </w:p>
        </w:tc>
        <w:tc>
          <w:tcPr>
            <w:tcW w:w="6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w:t>
            </w:r>
          </w:p>
        </w:tc>
        <w:tc>
          <w:tcPr>
            <w:tcW w:w="31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消防主机接口板</w:t>
            </w:r>
          </w:p>
        </w:tc>
        <w:tc>
          <w:tcPr>
            <w:tcW w:w="56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RS-232接口板,ASE-232</w:t>
            </w:r>
          </w:p>
        </w:tc>
        <w:tc>
          <w:tcPr>
            <w:tcW w:w="9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51</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片</w:t>
            </w:r>
          </w:p>
        </w:tc>
        <w:tc>
          <w:tcPr>
            <w:tcW w:w="6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w:t>
            </w:r>
          </w:p>
        </w:tc>
        <w:tc>
          <w:tcPr>
            <w:tcW w:w="31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雷击浪涌保护器</w:t>
            </w:r>
          </w:p>
        </w:tc>
        <w:tc>
          <w:tcPr>
            <w:tcW w:w="56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9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51</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6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w:t>
            </w:r>
          </w:p>
        </w:tc>
        <w:tc>
          <w:tcPr>
            <w:tcW w:w="31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智能协议转换器（关机报警）</w:t>
            </w:r>
          </w:p>
        </w:tc>
        <w:tc>
          <w:tcPr>
            <w:tcW w:w="56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9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51</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6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9942" w:type="dxa"/>
            <w:gridSpan w:val="3"/>
            <w:tcBorders>
              <w:top w:val="single" w:color="000000" w:sz="4" w:space="0"/>
              <w:left w:val="single" w:color="000000" w:sz="4" w:space="0"/>
              <w:bottom w:val="single" w:color="000000" w:sz="4" w:space="0"/>
              <w:right w:val="single" w:color="000000" w:sz="4" w:space="0"/>
            </w:tcBorders>
            <w:shd w:val="clear" w:color="auto" w:fill="D0CECE"/>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综合布线</w:t>
            </w:r>
          </w:p>
        </w:tc>
        <w:tc>
          <w:tcPr>
            <w:tcW w:w="992" w:type="dxa"/>
            <w:tcBorders>
              <w:top w:val="single" w:color="000000" w:sz="4" w:space="0"/>
              <w:left w:val="single" w:color="000000" w:sz="4" w:space="0"/>
              <w:bottom w:val="single" w:color="000000" w:sz="4" w:space="0"/>
              <w:right w:val="single" w:color="000000" w:sz="4" w:space="0"/>
            </w:tcBorders>
            <w:shd w:val="clear" w:color="auto" w:fill="D0CECE"/>
            <w:tcMar>
              <w:top w:w="15" w:type="dxa"/>
              <w:left w:w="15" w:type="dxa"/>
              <w:right w:w="15" w:type="dxa"/>
            </w:tcMar>
            <w:vAlign w:val="center"/>
          </w:tcPr>
          <w:p>
            <w:pPr>
              <w:jc w:val="center"/>
              <w:rPr>
                <w:rFonts w:hint="eastAsia" w:ascii="宋体" w:hAnsi="宋体" w:eastAsia="宋体" w:cs="宋体"/>
                <w:b/>
                <w:i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D0CECE"/>
            <w:tcMar>
              <w:top w:w="15" w:type="dxa"/>
              <w:left w:w="15" w:type="dxa"/>
              <w:right w:w="15" w:type="dxa"/>
            </w:tcMar>
            <w:vAlign w:val="center"/>
          </w:tcPr>
          <w:p>
            <w:pPr>
              <w:jc w:val="center"/>
              <w:rPr>
                <w:rFonts w:hint="eastAsia" w:ascii="宋体" w:hAnsi="宋体" w:eastAsia="宋体" w:cs="宋体"/>
                <w:b/>
                <w:i w:val="0"/>
                <w:color w:val="000000"/>
                <w:sz w:val="20"/>
                <w:szCs w:val="20"/>
                <w:u w:val="none"/>
              </w:rPr>
            </w:pPr>
          </w:p>
        </w:tc>
        <w:tc>
          <w:tcPr>
            <w:tcW w:w="634" w:type="dxa"/>
            <w:tcBorders>
              <w:top w:val="single" w:color="000000" w:sz="4" w:space="0"/>
              <w:left w:val="single" w:color="000000" w:sz="4" w:space="0"/>
              <w:bottom w:val="single" w:color="000000" w:sz="4" w:space="0"/>
              <w:right w:val="single" w:color="000000" w:sz="4" w:space="0"/>
            </w:tcBorders>
            <w:shd w:val="clear" w:color="auto" w:fill="D0CECE"/>
            <w:tcMar>
              <w:top w:w="15" w:type="dxa"/>
              <w:left w:w="15" w:type="dxa"/>
              <w:right w:w="15" w:type="dxa"/>
            </w:tcMar>
            <w:vAlign w:val="center"/>
          </w:tcPr>
          <w:p>
            <w:pPr>
              <w:jc w:val="center"/>
              <w:rPr>
                <w:rFonts w:hint="eastAsia" w:ascii="宋体" w:hAnsi="宋体" w:eastAsia="宋体" w:cs="宋体"/>
                <w:b/>
                <w:i w:val="0"/>
                <w:color w:val="000000"/>
                <w:sz w:val="20"/>
                <w:szCs w:val="20"/>
                <w:u w:val="none"/>
              </w:rPr>
            </w:pPr>
          </w:p>
        </w:tc>
        <w:tc>
          <w:tcPr>
            <w:tcW w:w="634" w:type="dxa"/>
            <w:tcBorders>
              <w:top w:val="single" w:color="000000" w:sz="4" w:space="0"/>
              <w:left w:val="single" w:color="000000" w:sz="4" w:space="0"/>
              <w:bottom w:val="single" w:color="000000" w:sz="4" w:space="0"/>
              <w:right w:val="single" w:color="000000" w:sz="4" w:space="0"/>
            </w:tcBorders>
            <w:shd w:val="clear" w:color="auto" w:fill="D0CECE"/>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31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电源线</w:t>
            </w:r>
          </w:p>
        </w:tc>
        <w:tc>
          <w:tcPr>
            <w:tcW w:w="56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3x2.5</w:t>
            </w:r>
          </w:p>
        </w:tc>
        <w:tc>
          <w:tcPr>
            <w:tcW w:w="9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米</w:t>
            </w:r>
          </w:p>
        </w:tc>
        <w:tc>
          <w:tcPr>
            <w:tcW w:w="6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w:t>
            </w:r>
          </w:p>
        </w:tc>
        <w:tc>
          <w:tcPr>
            <w:tcW w:w="31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网线</w:t>
            </w:r>
          </w:p>
        </w:tc>
        <w:tc>
          <w:tcPr>
            <w:tcW w:w="56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六类</w:t>
            </w:r>
          </w:p>
        </w:tc>
        <w:tc>
          <w:tcPr>
            <w:tcW w:w="9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300</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米</w:t>
            </w:r>
          </w:p>
        </w:tc>
        <w:tc>
          <w:tcPr>
            <w:tcW w:w="6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8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w:t>
            </w:r>
          </w:p>
        </w:tc>
        <w:tc>
          <w:tcPr>
            <w:tcW w:w="31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线槽/KBG 管</w:t>
            </w:r>
          </w:p>
        </w:tc>
        <w:tc>
          <w:tcPr>
            <w:tcW w:w="56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Dn20</w:t>
            </w:r>
          </w:p>
        </w:tc>
        <w:tc>
          <w:tcPr>
            <w:tcW w:w="9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500</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米</w:t>
            </w:r>
          </w:p>
        </w:tc>
        <w:tc>
          <w:tcPr>
            <w:tcW w:w="6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w:t>
            </w:r>
          </w:p>
        </w:tc>
        <w:tc>
          <w:tcPr>
            <w:tcW w:w="31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50米跳线</w:t>
            </w:r>
          </w:p>
        </w:tc>
        <w:tc>
          <w:tcPr>
            <w:tcW w:w="56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单模SC-FC</w:t>
            </w:r>
          </w:p>
        </w:tc>
        <w:tc>
          <w:tcPr>
            <w:tcW w:w="9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45</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w:t>
            </w:r>
          </w:p>
        </w:tc>
        <w:tc>
          <w:tcPr>
            <w:tcW w:w="6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31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3米光跳线</w:t>
            </w:r>
          </w:p>
        </w:tc>
        <w:tc>
          <w:tcPr>
            <w:tcW w:w="56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单模FC-LC</w:t>
            </w:r>
          </w:p>
        </w:tc>
        <w:tc>
          <w:tcPr>
            <w:tcW w:w="9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66</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w:t>
            </w:r>
          </w:p>
        </w:tc>
        <w:tc>
          <w:tcPr>
            <w:tcW w:w="6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w:t>
            </w:r>
          </w:p>
        </w:tc>
        <w:tc>
          <w:tcPr>
            <w:tcW w:w="31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5米光跳线</w:t>
            </w:r>
          </w:p>
        </w:tc>
        <w:tc>
          <w:tcPr>
            <w:tcW w:w="56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单模FC-LC</w:t>
            </w:r>
          </w:p>
        </w:tc>
        <w:tc>
          <w:tcPr>
            <w:tcW w:w="9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w:t>
            </w:r>
          </w:p>
        </w:tc>
        <w:tc>
          <w:tcPr>
            <w:tcW w:w="6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w:t>
            </w:r>
          </w:p>
        </w:tc>
        <w:tc>
          <w:tcPr>
            <w:tcW w:w="31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10米光跳线</w:t>
            </w:r>
          </w:p>
        </w:tc>
        <w:tc>
          <w:tcPr>
            <w:tcW w:w="56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单模FC-LC</w:t>
            </w:r>
          </w:p>
        </w:tc>
        <w:tc>
          <w:tcPr>
            <w:tcW w:w="9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w:t>
            </w:r>
          </w:p>
        </w:tc>
        <w:tc>
          <w:tcPr>
            <w:tcW w:w="6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w:t>
            </w:r>
          </w:p>
        </w:tc>
        <w:tc>
          <w:tcPr>
            <w:tcW w:w="31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15米光跳线</w:t>
            </w:r>
          </w:p>
        </w:tc>
        <w:tc>
          <w:tcPr>
            <w:tcW w:w="56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单模FC-LC</w:t>
            </w:r>
          </w:p>
        </w:tc>
        <w:tc>
          <w:tcPr>
            <w:tcW w:w="9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18</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w:t>
            </w:r>
          </w:p>
        </w:tc>
        <w:tc>
          <w:tcPr>
            <w:tcW w:w="6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w:t>
            </w:r>
          </w:p>
        </w:tc>
        <w:tc>
          <w:tcPr>
            <w:tcW w:w="31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光电收发器</w:t>
            </w:r>
          </w:p>
        </w:tc>
        <w:tc>
          <w:tcPr>
            <w:tcW w:w="56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百兆，单模，20km</w:t>
            </w:r>
          </w:p>
        </w:tc>
        <w:tc>
          <w:tcPr>
            <w:tcW w:w="9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51</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6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8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31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百兆光交换机  </w:t>
            </w:r>
          </w:p>
        </w:tc>
        <w:tc>
          <w:tcPr>
            <w:tcW w:w="56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S3700-28TP-EI-24S-AC，带1个sfp电口模块</w:t>
            </w:r>
          </w:p>
        </w:tc>
        <w:tc>
          <w:tcPr>
            <w:tcW w:w="9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台</w:t>
            </w:r>
          </w:p>
        </w:tc>
        <w:tc>
          <w:tcPr>
            <w:tcW w:w="6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8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w:t>
            </w:r>
          </w:p>
        </w:tc>
        <w:tc>
          <w:tcPr>
            <w:tcW w:w="31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百兆sfp模块</w:t>
            </w:r>
          </w:p>
        </w:tc>
        <w:tc>
          <w:tcPr>
            <w:tcW w:w="56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单模10km</w:t>
            </w:r>
          </w:p>
        </w:tc>
        <w:tc>
          <w:tcPr>
            <w:tcW w:w="9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51</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块</w:t>
            </w:r>
          </w:p>
        </w:tc>
        <w:tc>
          <w:tcPr>
            <w:tcW w:w="6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w:t>
            </w:r>
          </w:p>
        </w:tc>
        <w:tc>
          <w:tcPr>
            <w:tcW w:w="31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中心交换机 </w:t>
            </w:r>
          </w:p>
        </w:tc>
        <w:tc>
          <w:tcPr>
            <w:tcW w:w="56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S5720-28X-SI-24S-AC，带堆叠模块</w:t>
            </w:r>
          </w:p>
        </w:tc>
        <w:tc>
          <w:tcPr>
            <w:tcW w:w="9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台</w:t>
            </w:r>
          </w:p>
        </w:tc>
        <w:tc>
          <w:tcPr>
            <w:tcW w:w="6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w:t>
            </w:r>
          </w:p>
        </w:tc>
        <w:tc>
          <w:tcPr>
            <w:tcW w:w="31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千兆sfp模块</w:t>
            </w:r>
          </w:p>
        </w:tc>
        <w:tc>
          <w:tcPr>
            <w:tcW w:w="56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单模10km</w:t>
            </w:r>
          </w:p>
        </w:tc>
        <w:tc>
          <w:tcPr>
            <w:tcW w:w="9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16</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块</w:t>
            </w:r>
          </w:p>
        </w:tc>
        <w:tc>
          <w:tcPr>
            <w:tcW w:w="6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5" w:hRule="atLeast"/>
        </w:trPr>
        <w:tc>
          <w:tcPr>
            <w:tcW w:w="9942" w:type="dxa"/>
            <w:gridSpan w:val="3"/>
            <w:tcBorders>
              <w:top w:val="single" w:color="000000" w:sz="4" w:space="0"/>
              <w:left w:val="single" w:color="000000" w:sz="4" w:space="0"/>
              <w:bottom w:val="single" w:color="000000" w:sz="4" w:space="0"/>
              <w:right w:val="single" w:color="000000" w:sz="4" w:space="0"/>
            </w:tcBorders>
            <w:shd w:val="clear" w:color="auto" w:fill="D0CECE"/>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控制室</w:t>
            </w:r>
          </w:p>
        </w:tc>
        <w:tc>
          <w:tcPr>
            <w:tcW w:w="992" w:type="dxa"/>
            <w:tcBorders>
              <w:top w:val="single" w:color="000000" w:sz="4" w:space="0"/>
              <w:left w:val="single" w:color="000000" w:sz="4" w:space="0"/>
              <w:bottom w:val="single" w:color="000000" w:sz="4" w:space="0"/>
              <w:right w:val="single" w:color="000000" w:sz="4" w:space="0"/>
            </w:tcBorders>
            <w:shd w:val="clear" w:color="auto" w:fill="D0CECE"/>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D0CECE"/>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34" w:type="dxa"/>
            <w:tcBorders>
              <w:top w:val="single" w:color="000000" w:sz="4" w:space="0"/>
              <w:left w:val="single" w:color="000000" w:sz="4" w:space="0"/>
              <w:bottom w:val="single" w:color="000000" w:sz="4" w:space="0"/>
              <w:right w:val="single" w:color="000000" w:sz="4" w:space="0"/>
            </w:tcBorders>
            <w:shd w:val="clear" w:color="auto" w:fill="D0CECE"/>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34" w:type="dxa"/>
            <w:tcBorders>
              <w:top w:val="single" w:color="000000" w:sz="4" w:space="0"/>
              <w:left w:val="single" w:color="000000" w:sz="4" w:space="0"/>
              <w:bottom w:val="single" w:color="000000" w:sz="4" w:space="0"/>
              <w:right w:val="single" w:color="000000" w:sz="4" w:space="0"/>
            </w:tcBorders>
            <w:shd w:val="clear" w:color="auto" w:fill="D0CECE"/>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31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控制台</w:t>
            </w:r>
          </w:p>
        </w:tc>
        <w:tc>
          <w:tcPr>
            <w:tcW w:w="56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4工位 ，带报警接口控制器</w:t>
            </w:r>
          </w:p>
        </w:tc>
        <w:tc>
          <w:tcPr>
            <w:tcW w:w="9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套</w:t>
            </w:r>
          </w:p>
        </w:tc>
        <w:tc>
          <w:tcPr>
            <w:tcW w:w="6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w:t>
            </w:r>
          </w:p>
        </w:tc>
        <w:tc>
          <w:tcPr>
            <w:tcW w:w="31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人体工程学转椅</w:t>
            </w:r>
          </w:p>
        </w:tc>
        <w:tc>
          <w:tcPr>
            <w:tcW w:w="56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117*60cm,黑色网格</w:t>
            </w:r>
          </w:p>
        </w:tc>
        <w:tc>
          <w:tcPr>
            <w:tcW w:w="9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6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96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w:t>
            </w:r>
          </w:p>
        </w:tc>
        <w:tc>
          <w:tcPr>
            <w:tcW w:w="31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声光报警器</w:t>
            </w:r>
          </w:p>
        </w:tc>
        <w:tc>
          <w:tcPr>
            <w:tcW w:w="56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12V供电（设备含12V供电变压器）；红色，闪亮，带警示音（85分贝滴滴音），红色警示音均可独立控制；USB接口连接电脑控制报警事件；支持Windows二次开发(可提供VB、VC、Delphi、C#、java等开发包)；HID免驱动</w:t>
            </w:r>
          </w:p>
        </w:tc>
        <w:tc>
          <w:tcPr>
            <w:tcW w:w="9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6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9942" w:type="dxa"/>
            <w:gridSpan w:val="3"/>
            <w:tcBorders>
              <w:top w:val="single" w:color="000000" w:sz="4" w:space="0"/>
              <w:left w:val="single" w:color="000000" w:sz="4" w:space="0"/>
              <w:bottom w:val="single" w:color="000000" w:sz="4" w:space="0"/>
              <w:right w:val="single" w:color="000000" w:sz="4" w:space="0"/>
            </w:tcBorders>
            <w:shd w:val="clear" w:color="auto" w:fill="D0CECE"/>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安装调试</w:t>
            </w:r>
          </w:p>
        </w:tc>
        <w:tc>
          <w:tcPr>
            <w:tcW w:w="992" w:type="dxa"/>
            <w:tcBorders>
              <w:top w:val="single" w:color="000000" w:sz="4" w:space="0"/>
              <w:left w:val="single" w:color="000000" w:sz="4" w:space="0"/>
              <w:bottom w:val="single" w:color="000000" w:sz="4" w:space="0"/>
              <w:right w:val="single" w:color="000000" w:sz="4" w:space="0"/>
            </w:tcBorders>
            <w:shd w:val="clear" w:color="auto" w:fill="D0CECE"/>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D0CECE"/>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34" w:type="dxa"/>
            <w:tcBorders>
              <w:top w:val="single" w:color="000000" w:sz="4" w:space="0"/>
              <w:left w:val="single" w:color="000000" w:sz="4" w:space="0"/>
              <w:bottom w:val="single" w:color="000000" w:sz="4" w:space="0"/>
              <w:right w:val="single" w:color="000000" w:sz="4" w:space="0"/>
            </w:tcBorders>
            <w:shd w:val="clear" w:color="auto" w:fill="D0CECE"/>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34" w:type="dxa"/>
            <w:tcBorders>
              <w:top w:val="single" w:color="000000" w:sz="4" w:space="0"/>
              <w:left w:val="single" w:color="000000" w:sz="4" w:space="0"/>
              <w:bottom w:val="single" w:color="000000" w:sz="4" w:space="0"/>
              <w:right w:val="single" w:color="000000" w:sz="4" w:space="0"/>
            </w:tcBorders>
            <w:shd w:val="clear" w:color="auto" w:fill="D0CECE"/>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31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安装调试费</w:t>
            </w:r>
          </w:p>
        </w:tc>
        <w:tc>
          <w:tcPr>
            <w:tcW w:w="56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9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w:t>
            </w:r>
          </w:p>
        </w:tc>
        <w:tc>
          <w:tcPr>
            <w:tcW w:w="6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5"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31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合计</w:t>
            </w:r>
          </w:p>
        </w:tc>
        <w:tc>
          <w:tcPr>
            <w:tcW w:w="56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9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r>
    </w:tbl>
    <w:p>
      <w:pPr>
        <w:rPr>
          <w:rFonts w:hint="eastAsia"/>
          <w:lang w:val="en-US" w:eastAsia="zh-CN"/>
        </w:rPr>
        <w:sectPr>
          <w:pgSz w:w="16838" w:h="11906" w:orient="landscape"/>
          <w:pgMar w:top="1803" w:right="1440" w:bottom="1803" w:left="1440" w:header="851" w:footer="992" w:gutter="0"/>
          <w:pgNumType w:start="1"/>
          <w:cols w:space="0" w:num="1"/>
          <w:rtlGutter w:val="0"/>
          <w:docGrid w:type="lines" w:linePitch="395" w:charSpace="0"/>
        </w:sectPr>
      </w:pPr>
    </w:p>
    <w:p>
      <w:pPr>
        <w:pStyle w:val="2"/>
      </w:pPr>
      <w:bookmarkStart w:id="192" w:name="_Toc29037"/>
      <w:bookmarkStart w:id="193" w:name="_Toc14851"/>
      <w:bookmarkStart w:id="194" w:name="_Toc10656"/>
      <w:bookmarkStart w:id="195" w:name="_Toc20190"/>
      <w:bookmarkStart w:id="196" w:name="_Toc17610"/>
      <w:bookmarkStart w:id="197" w:name="_Toc14277"/>
      <w:bookmarkStart w:id="198" w:name="_Toc21676"/>
      <w:bookmarkStart w:id="199" w:name="_Toc350"/>
      <w:bookmarkStart w:id="200" w:name="_Toc18443"/>
      <w:bookmarkStart w:id="201" w:name="_Toc349809021"/>
      <w:bookmarkStart w:id="202" w:name="_Toc10356"/>
      <w:bookmarkStart w:id="203" w:name="_Toc349029258"/>
      <w:bookmarkStart w:id="204" w:name="_Toc6729"/>
      <w:bookmarkStart w:id="205" w:name="_Toc1911"/>
      <w:bookmarkStart w:id="206" w:name="_Toc28062"/>
      <w:r>
        <w:rPr>
          <w:rFonts w:hint="eastAsia"/>
        </w:rPr>
        <w:t>项目实施</w:t>
      </w:r>
      <w:bookmarkEnd w:id="192"/>
      <w:bookmarkEnd w:id="193"/>
      <w:bookmarkEnd w:id="194"/>
      <w:bookmarkEnd w:id="195"/>
      <w:bookmarkEnd w:id="196"/>
    </w:p>
    <w:p>
      <w:pPr>
        <w:pStyle w:val="3"/>
      </w:pPr>
      <w:bookmarkStart w:id="207" w:name="_Toc4612"/>
      <w:bookmarkStart w:id="208" w:name="_Toc17628"/>
      <w:bookmarkStart w:id="209" w:name="_Toc28367"/>
      <w:bookmarkStart w:id="210" w:name="_Toc31188"/>
      <w:bookmarkStart w:id="211" w:name="_Toc2153"/>
      <w:r>
        <w:rPr>
          <w:rFonts w:hint="eastAsia"/>
        </w:rPr>
        <w:t>工期要求</w:t>
      </w:r>
      <w:bookmarkEnd w:id="207"/>
      <w:bookmarkEnd w:id="208"/>
      <w:bookmarkEnd w:id="209"/>
      <w:bookmarkEnd w:id="210"/>
      <w:bookmarkEnd w:id="211"/>
    </w:p>
    <w:p>
      <w:pPr>
        <w:widowControl/>
        <w:spacing w:line="360" w:lineRule="auto"/>
        <w:ind w:firstLine="480"/>
        <w:jc w:val="left"/>
        <w:rPr>
          <w:rFonts w:eastAsia="宋体"/>
          <w:kern w:val="0"/>
          <w:sz w:val="24"/>
          <w:szCs w:val="24"/>
        </w:rPr>
      </w:pPr>
      <w:r>
        <w:rPr>
          <w:rFonts w:hint="eastAsia" w:eastAsia="宋体"/>
          <w:kern w:val="0"/>
          <w:sz w:val="24"/>
          <w:szCs w:val="24"/>
        </w:rPr>
        <w:t>本工程自合同签订之日起止交工验收合格为止总工期十二个月。投标人在投标时应提供项目实施的详细工期计划，供招标人审核，工期编排以不影响港口作业生产为最低要求。</w:t>
      </w:r>
    </w:p>
    <w:bookmarkEnd w:id="197"/>
    <w:bookmarkEnd w:id="198"/>
    <w:bookmarkEnd w:id="199"/>
    <w:bookmarkEnd w:id="200"/>
    <w:p>
      <w:pPr>
        <w:pStyle w:val="3"/>
      </w:pPr>
      <w:bookmarkStart w:id="212" w:name="_Toc13758"/>
      <w:bookmarkStart w:id="213" w:name="_Toc30718"/>
      <w:bookmarkStart w:id="214" w:name="_Toc29472"/>
      <w:bookmarkStart w:id="215" w:name="_Toc738"/>
      <w:bookmarkStart w:id="216" w:name="_Toc1082"/>
      <w:r>
        <w:rPr>
          <w:rFonts w:hint="eastAsia"/>
        </w:rPr>
        <w:t>实施要求</w:t>
      </w:r>
      <w:bookmarkEnd w:id="212"/>
      <w:bookmarkEnd w:id="213"/>
      <w:bookmarkEnd w:id="214"/>
      <w:bookmarkEnd w:id="215"/>
      <w:bookmarkEnd w:id="216"/>
    </w:p>
    <w:p>
      <w:pPr>
        <w:widowControl/>
        <w:spacing w:line="360" w:lineRule="auto"/>
        <w:ind w:firstLine="480"/>
        <w:jc w:val="left"/>
        <w:rPr>
          <w:rFonts w:eastAsia="宋体"/>
          <w:kern w:val="0"/>
          <w:sz w:val="24"/>
          <w:szCs w:val="24"/>
        </w:rPr>
      </w:pPr>
      <w:r>
        <w:rPr>
          <w:rFonts w:hint="eastAsia" w:eastAsia="宋体"/>
          <w:kern w:val="0"/>
          <w:sz w:val="24"/>
          <w:szCs w:val="24"/>
        </w:rPr>
        <w:t>投标方应根据现场环境条件，进行站点勘察，合理规划设备安装点位及连接设计。</w:t>
      </w:r>
    </w:p>
    <w:p>
      <w:pPr>
        <w:widowControl/>
        <w:spacing w:line="360" w:lineRule="auto"/>
        <w:ind w:firstLine="480"/>
        <w:jc w:val="left"/>
        <w:rPr>
          <w:rFonts w:eastAsia="宋体"/>
          <w:kern w:val="0"/>
          <w:sz w:val="24"/>
          <w:szCs w:val="24"/>
        </w:rPr>
      </w:pPr>
      <w:r>
        <w:rPr>
          <w:rFonts w:hint="eastAsia" w:eastAsia="宋体"/>
          <w:kern w:val="0"/>
          <w:sz w:val="24"/>
          <w:szCs w:val="24"/>
        </w:rPr>
        <w:t>投标方须提供为满足系统功能，以及满足系统正常运行所需的设备供电、设备接地、通信线缆、安装配件等辅材的供货及施工，包括所有施工线材、配件及辅料，如铭牌、标识牌、管槽、设备箱柜、支架等配件辅材。</w:t>
      </w:r>
    </w:p>
    <w:p>
      <w:pPr>
        <w:widowControl/>
        <w:spacing w:line="360" w:lineRule="auto"/>
        <w:ind w:firstLine="480"/>
        <w:jc w:val="left"/>
        <w:rPr>
          <w:rFonts w:eastAsia="宋体"/>
          <w:kern w:val="0"/>
          <w:sz w:val="24"/>
          <w:szCs w:val="24"/>
        </w:rPr>
      </w:pPr>
      <w:r>
        <w:rPr>
          <w:rFonts w:hint="eastAsia" w:eastAsia="宋体"/>
          <w:kern w:val="0"/>
          <w:sz w:val="24"/>
          <w:szCs w:val="24"/>
        </w:rPr>
        <w:t>严格按照国家和行业有关标准进行施工，同时应按照招标方的具体管理要求实施。</w:t>
      </w:r>
    </w:p>
    <w:p>
      <w:pPr>
        <w:pStyle w:val="3"/>
      </w:pPr>
      <w:bookmarkStart w:id="217" w:name="_Toc392404114"/>
      <w:bookmarkStart w:id="218" w:name="_Toc20454"/>
      <w:bookmarkStart w:id="219" w:name="_Toc24208"/>
      <w:bookmarkStart w:id="220" w:name="_Toc392575128"/>
      <w:bookmarkStart w:id="221" w:name="_Toc15923"/>
      <w:bookmarkStart w:id="222" w:name="_Toc11769"/>
      <w:bookmarkStart w:id="223" w:name="_Toc7148"/>
      <w:r>
        <w:rPr>
          <w:rFonts w:hint="eastAsia"/>
        </w:rPr>
        <w:t>线缆敷设要求</w:t>
      </w:r>
      <w:bookmarkEnd w:id="217"/>
      <w:bookmarkEnd w:id="218"/>
      <w:bookmarkEnd w:id="219"/>
      <w:bookmarkEnd w:id="220"/>
      <w:bookmarkEnd w:id="221"/>
      <w:bookmarkEnd w:id="222"/>
      <w:bookmarkEnd w:id="223"/>
    </w:p>
    <w:p>
      <w:pPr>
        <w:pStyle w:val="55"/>
        <w:ind w:firstLine="480"/>
        <w:rPr>
          <w:rFonts w:eastAsia="宋体"/>
          <w:sz w:val="24"/>
          <w:szCs w:val="24"/>
        </w:rPr>
      </w:pPr>
      <w:r>
        <w:rPr>
          <w:rFonts w:hint="eastAsia" w:eastAsia="宋体"/>
          <w:sz w:val="24"/>
          <w:szCs w:val="24"/>
        </w:rPr>
        <w:t>线缆敷设使用就近的电缆桥架、排管或者电缆沟。</w:t>
      </w:r>
    </w:p>
    <w:p>
      <w:pPr>
        <w:pStyle w:val="55"/>
        <w:ind w:firstLine="480"/>
        <w:rPr>
          <w:rFonts w:eastAsia="宋体"/>
          <w:sz w:val="24"/>
          <w:szCs w:val="24"/>
        </w:rPr>
      </w:pPr>
      <w:r>
        <w:rPr>
          <w:rFonts w:hint="eastAsia" w:eastAsia="宋体"/>
          <w:sz w:val="24"/>
          <w:szCs w:val="24"/>
        </w:rPr>
        <w:t>线缆明敷时应平直、美观，走向合理。线缆需穿墙时必须上穿墙管并且封堵。线缆不允许挂在水管下方,严禁同水管交叉缠绕。</w:t>
      </w:r>
    </w:p>
    <w:p>
      <w:pPr>
        <w:pStyle w:val="55"/>
        <w:ind w:firstLine="480"/>
        <w:rPr>
          <w:rFonts w:eastAsia="宋体"/>
          <w:sz w:val="24"/>
          <w:szCs w:val="24"/>
        </w:rPr>
      </w:pPr>
      <w:r>
        <w:rPr>
          <w:rFonts w:hint="eastAsia" w:eastAsia="宋体"/>
          <w:sz w:val="24"/>
          <w:szCs w:val="24"/>
        </w:rPr>
        <w:t>所有缆线拐弯处、接线盒、终点处必须吊挂缆线走向牌并在走向牌上标明缆线所属项目、用途、起点、终点、规格等信息。走向牌字迹清晰、工整, 每隔200米处绑一个。</w:t>
      </w:r>
    </w:p>
    <w:p>
      <w:pPr>
        <w:pStyle w:val="55"/>
        <w:ind w:firstLine="480"/>
        <w:rPr>
          <w:rFonts w:eastAsia="宋体"/>
          <w:sz w:val="24"/>
          <w:szCs w:val="24"/>
        </w:rPr>
      </w:pPr>
      <w:r>
        <w:rPr>
          <w:rFonts w:hint="eastAsia" w:eastAsia="宋体"/>
          <w:sz w:val="24"/>
          <w:szCs w:val="24"/>
        </w:rPr>
        <w:t>控制缆线必须和动力缆线分开吊挂，且无交叉缠绕现象。</w:t>
      </w:r>
    </w:p>
    <w:p>
      <w:pPr>
        <w:pStyle w:val="55"/>
        <w:ind w:firstLine="480"/>
        <w:rPr>
          <w:rFonts w:eastAsia="宋体"/>
          <w:sz w:val="24"/>
          <w:szCs w:val="24"/>
        </w:rPr>
      </w:pPr>
      <w:r>
        <w:rPr>
          <w:rFonts w:hint="eastAsia" w:eastAsia="宋体"/>
          <w:sz w:val="24"/>
          <w:szCs w:val="24"/>
        </w:rPr>
        <w:t>以上条款中如和投标方要求有不一致的之处，请以投标方相关规定为准。</w:t>
      </w:r>
    </w:p>
    <w:p>
      <w:pPr>
        <w:pStyle w:val="3"/>
      </w:pPr>
      <w:bookmarkStart w:id="224" w:name="_Toc349029255"/>
      <w:bookmarkStart w:id="225" w:name="_Toc7892"/>
      <w:bookmarkStart w:id="226" w:name="_Toc15034"/>
      <w:bookmarkStart w:id="227" w:name="_Toc16730"/>
      <w:bookmarkStart w:id="228" w:name="_Toc349809018"/>
      <w:bookmarkStart w:id="229" w:name="_Toc24010"/>
      <w:bookmarkStart w:id="230" w:name="_Toc1407"/>
      <w:bookmarkStart w:id="231" w:name="_Toc23122"/>
      <w:bookmarkStart w:id="232" w:name="_Toc3741"/>
      <w:bookmarkStart w:id="233" w:name="_Toc24398"/>
      <w:bookmarkStart w:id="234" w:name="_Toc22794"/>
      <w:r>
        <w:rPr>
          <w:rFonts w:hint="eastAsia"/>
        </w:rPr>
        <w:t>项目验收</w:t>
      </w:r>
      <w:bookmarkEnd w:id="224"/>
      <w:bookmarkEnd w:id="225"/>
      <w:bookmarkEnd w:id="226"/>
      <w:bookmarkEnd w:id="227"/>
      <w:bookmarkEnd w:id="228"/>
      <w:bookmarkEnd w:id="229"/>
      <w:bookmarkEnd w:id="230"/>
      <w:bookmarkEnd w:id="231"/>
      <w:bookmarkEnd w:id="232"/>
      <w:bookmarkEnd w:id="233"/>
      <w:bookmarkEnd w:id="234"/>
    </w:p>
    <w:p>
      <w:pPr>
        <w:pStyle w:val="37"/>
        <w:numPr>
          <w:ilvl w:val="0"/>
          <w:numId w:val="5"/>
        </w:numPr>
        <w:rPr>
          <w:rFonts w:eastAsia="宋体"/>
          <w:szCs w:val="24"/>
          <w:lang w:eastAsia="zh-CN"/>
        </w:rPr>
      </w:pPr>
      <w:r>
        <w:rPr>
          <w:rFonts w:hint="eastAsia" w:eastAsia="宋体"/>
          <w:szCs w:val="24"/>
          <w:lang w:eastAsia="zh-CN"/>
        </w:rPr>
        <w:t>招标方</w:t>
      </w:r>
      <w:r>
        <w:rPr>
          <w:rFonts w:eastAsia="宋体"/>
          <w:szCs w:val="24"/>
          <w:lang w:eastAsia="zh-CN"/>
        </w:rPr>
        <w:t>将依照国家及行规业有关信息化建设的相关规范，组织有关单位对本项目进行验收</w:t>
      </w:r>
      <w:r>
        <w:rPr>
          <w:rFonts w:hint="eastAsia" w:eastAsia="宋体"/>
          <w:szCs w:val="24"/>
          <w:lang w:eastAsia="zh-CN"/>
        </w:rPr>
        <w:t>；</w:t>
      </w:r>
    </w:p>
    <w:p>
      <w:pPr>
        <w:pStyle w:val="37"/>
        <w:numPr>
          <w:ilvl w:val="0"/>
          <w:numId w:val="5"/>
        </w:numPr>
        <w:rPr>
          <w:rFonts w:eastAsia="宋体"/>
          <w:szCs w:val="24"/>
          <w:lang w:eastAsia="zh-CN"/>
        </w:rPr>
      </w:pPr>
      <w:r>
        <w:rPr>
          <w:rFonts w:eastAsia="宋体"/>
          <w:szCs w:val="24"/>
          <w:lang w:eastAsia="zh-CN"/>
        </w:rPr>
        <w:t>投标方在设备到货之前必须提供给甲方一份详细的设备及集成验收方案报告</w:t>
      </w:r>
      <w:r>
        <w:rPr>
          <w:rFonts w:hint="eastAsia" w:eastAsia="宋体"/>
          <w:szCs w:val="24"/>
          <w:lang w:eastAsia="zh-CN"/>
        </w:rPr>
        <w:t>；</w:t>
      </w:r>
    </w:p>
    <w:p>
      <w:pPr>
        <w:pStyle w:val="37"/>
        <w:numPr>
          <w:ilvl w:val="0"/>
          <w:numId w:val="5"/>
        </w:numPr>
        <w:rPr>
          <w:rFonts w:eastAsia="宋体"/>
          <w:szCs w:val="24"/>
          <w:lang w:eastAsia="zh-CN"/>
        </w:rPr>
      </w:pPr>
      <w:r>
        <w:rPr>
          <w:rFonts w:eastAsia="宋体"/>
          <w:szCs w:val="24"/>
          <w:lang w:eastAsia="zh-CN"/>
        </w:rPr>
        <w:t>投标方必须书面通知甲方所完成的工作和准备进行验收的项目种类及验收开始时间，此通知书需征得甲方认定后方可执行</w:t>
      </w:r>
      <w:r>
        <w:rPr>
          <w:rFonts w:hint="eastAsia" w:eastAsia="宋体"/>
          <w:szCs w:val="24"/>
          <w:lang w:eastAsia="zh-CN"/>
        </w:rPr>
        <w:t>；</w:t>
      </w:r>
    </w:p>
    <w:p>
      <w:pPr>
        <w:pStyle w:val="37"/>
        <w:numPr>
          <w:ilvl w:val="0"/>
          <w:numId w:val="5"/>
        </w:numPr>
        <w:rPr>
          <w:rFonts w:eastAsia="宋体"/>
          <w:szCs w:val="24"/>
          <w:lang w:eastAsia="zh-CN"/>
        </w:rPr>
      </w:pPr>
      <w:r>
        <w:rPr>
          <w:rFonts w:eastAsia="宋体"/>
          <w:szCs w:val="24"/>
          <w:lang w:eastAsia="zh-CN"/>
        </w:rPr>
        <w:t>整个验收的过程分为</w:t>
      </w:r>
      <w:r>
        <w:rPr>
          <w:rFonts w:hint="eastAsia" w:eastAsia="宋体"/>
          <w:szCs w:val="24"/>
          <w:lang w:eastAsia="zh-CN"/>
        </w:rPr>
        <w:t>设备到货验收、</w:t>
      </w:r>
      <w:r>
        <w:rPr>
          <w:rFonts w:eastAsia="宋体"/>
          <w:szCs w:val="24"/>
          <w:lang w:eastAsia="zh-CN"/>
        </w:rPr>
        <w:t>初步验收和最终验收</w:t>
      </w:r>
      <w:r>
        <w:rPr>
          <w:rFonts w:hint="eastAsia" w:eastAsia="宋体"/>
          <w:szCs w:val="24"/>
          <w:lang w:eastAsia="zh-CN"/>
        </w:rPr>
        <w:t>三</w:t>
      </w:r>
      <w:r>
        <w:rPr>
          <w:rFonts w:eastAsia="宋体"/>
          <w:szCs w:val="24"/>
          <w:lang w:eastAsia="zh-CN"/>
        </w:rPr>
        <w:t>个阶段。</w:t>
      </w:r>
    </w:p>
    <w:p>
      <w:pPr>
        <w:pStyle w:val="4"/>
        <w:rPr>
          <w:rFonts w:eastAsia="宋体"/>
          <w:sz w:val="24"/>
          <w:szCs w:val="24"/>
        </w:rPr>
      </w:pPr>
      <w:bookmarkStart w:id="235" w:name="_Toc263403137"/>
      <w:bookmarkStart w:id="236" w:name="_Toc390940827"/>
      <w:bookmarkStart w:id="237" w:name="_Toc331754689"/>
      <w:bookmarkStart w:id="238" w:name="_Toc44215800"/>
      <w:bookmarkStart w:id="239" w:name="_Toc392404120"/>
      <w:bookmarkStart w:id="240" w:name="_Toc383601610"/>
      <w:bookmarkStart w:id="241" w:name="_Toc392575134"/>
      <w:bookmarkStart w:id="242" w:name="_Toc282073818"/>
      <w:bookmarkStart w:id="243" w:name="_Toc326595147"/>
      <w:bookmarkStart w:id="244" w:name="_Toc8084"/>
      <w:bookmarkStart w:id="245" w:name="_Toc44215961"/>
      <w:bookmarkStart w:id="246" w:name="_Toc5442"/>
      <w:bookmarkStart w:id="247" w:name="_Toc144120399"/>
      <w:bookmarkStart w:id="248" w:name="_Toc939"/>
      <w:bookmarkStart w:id="249" w:name="_Toc22731"/>
      <w:r>
        <w:rPr>
          <w:rFonts w:hint="eastAsia" w:eastAsia="宋体"/>
          <w:sz w:val="24"/>
          <w:szCs w:val="24"/>
        </w:rPr>
        <w:t>到货验收</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37"/>
        <w:numPr>
          <w:ilvl w:val="0"/>
          <w:numId w:val="6"/>
        </w:numPr>
        <w:rPr>
          <w:rFonts w:eastAsia="宋体"/>
          <w:szCs w:val="24"/>
          <w:lang w:eastAsia="zh-CN"/>
        </w:rPr>
      </w:pPr>
      <w:r>
        <w:rPr>
          <w:rFonts w:eastAsia="宋体"/>
          <w:szCs w:val="24"/>
          <w:lang w:eastAsia="zh-CN"/>
        </w:rPr>
        <w:t>招标方与投标方对设备到货后共同配合进行开箱检查，出现损坏、数量不全或产品不对等问题时，由投标方负责解决。</w:t>
      </w:r>
    </w:p>
    <w:p>
      <w:pPr>
        <w:pStyle w:val="37"/>
        <w:numPr>
          <w:ilvl w:val="0"/>
          <w:numId w:val="6"/>
        </w:numPr>
        <w:rPr>
          <w:rFonts w:eastAsia="宋体"/>
          <w:szCs w:val="24"/>
          <w:lang w:eastAsia="zh-CN"/>
        </w:rPr>
      </w:pPr>
      <w:r>
        <w:rPr>
          <w:rFonts w:hint="eastAsia" w:eastAsia="宋体"/>
          <w:szCs w:val="24"/>
          <w:lang w:eastAsia="zh-CN"/>
        </w:rPr>
        <w:t>投标方所投产品必须是全新产品，验收过程中</w:t>
      </w:r>
      <w:r>
        <w:rPr>
          <w:rFonts w:eastAsia="宋体"/>
          <w:szCs w:val="24"/>
          <w:lang w:eastAsia="zh-CN"/>
        </w:rPr>
        <w:t>依投标方在应答书中的承诺对全部设备、产品、型号、规格、数量、外型、外观、包装及资料、文件（包括装箱单、保修单、随箱介质等）</w:t>
      </w:r>
      <w:r>
        <w:rPr>
          <w:rFonts w:hint="eastAsia" w:eastAsia="宋体"/>
          <w:szCs w:val="24"/>
          <w:lang w:eastAsia="zh-CN"/>
        </w:rPr>
        <w:t>进行</w:t>
      </w:r>
      <w:r>
        <w:rPr>
          <w:rFonts w:eastAsia="宋体"/>
          <w:szCs w:val="24"/>
          <w:lang w:eastAsia="zh-CN"/>
        </w:rPr>
        <w:t>验收。</w:t>
      </w:r>
    </w:p>
    <w:p>
      <w:pPr>
        <w:pStyle w:val="37"/>
        <w:numPr>
          <w:ilvl w:val="0"/>
          <w:numId w:val="6"/>
        </w:numPr>
        <w:rPr>
          <w:rFonts w:eastAsia="宋体"/>
          <w:szCs w:val="24"/>
          <w:lang w:eastAsia="zh-CN"/>
        </w:rPr>
      </w:pPr>
      <w:r>
        <w:rPr>
          <w:rFonts w:eastAsia="宋体"/>
          <w:szCs w:val="24"/>
          <w:lang w:eastAsia="zh-CN"/>
        </w:rPr>
        <w:t xml:space="preserve">按照投标方在应答书中承诺的技术指标, 全部设备在招标方指定的地点和环境下, </w:t>
      </w:r>
      <w:r>
        <w:rPr>
          <w:rFonts w:hint="eastAsia" w:eastAsia="宋体"/>
          <w:szCs w:val="24"/>
          <w:lang w:eastAsia="zh-CN"/>
        </w:rPr>
        <w:t>通过</w:t>
      </w:r>
      <w:r>
        <w:rPr>
          <w:rFonts w:eastAsia="宋体"/>
          <w:szCs w:val="24"/>
          <w:lang w:eastAsia="zh-CN"/>
        </w:rPr>
        <w:t>加电实现正常运行, 并达到应答书中承诺的性能。</w:t>
      </w:r>
    </w:p>
    <w:p>
      <w:pPr>
        <w:pStyle w:val="37"/>
        <w:numPr>
          <w:ilvl w:val="0"/>
          <w:numId w:val="6"/>
        </w:numPr>
        <w:rPr>
          <w:rFonts w:eastAsia="宋体"/>
          <w:szCs w:val="24"/>
          <w:lang w:eastAsia="zh-CN"/>
        </w:rPr>
      </w:pPr>
      <w:r>
        <w:rPr>
          <w:rFonts w:eastAsia="宋体"/>
          <w:szCs w:val="24"/>
          <w:lang w:eastAsia="zh-CN"/>
        </w:rPr>
        <w:t>按投标方在应答书中的承诺对其产品的性能和配置进行测试检查，并做出测试方案和测试报告。</w:t>
      </w:r>
    </w:p>
    <w:p>
      <w:pPr>
        <w:pStyle w:val="37"/>
        <w:numPr>
          <w:ilvl w:val="0"/>
          <w:numId w:val="6"/>
        </w:numPr>
        <w:rPr>
          <w:rFonts w:eastAsia="宋体"/>
          <w:szCs w:val="24"/>
          <w:lang w:eastAsia="zh-CN"/>
        </w:rPr>
      </w:pPr>
      <w:r>
        <w:rPr>
          <w:rFonts w:eastAsia="宋体"/>
          <w:szCs w:val="24"/>
          <w:lang w:eastAsia="zh-CN"/>
        </w:rPr>
        <w:t>设备产品测试中出现性能指标或功能上不符合投标方在应答书中的承诺和合同要求时，招标方有拒收的权利。</w:t>
      </w:r>
    </w:p>
    <w:p>
      <w:pPr>
        <w:pStyle w:val="37"/>
        <w:numPr>
          <w:ilvl w:val="0"/>
          <w:numId w:val="6"/>
        </w:numPr>
        <w:rPr>
          <w:rFonts w:eastAsia="宋体"/>
          <w:szCs w:val="24"/>
          <w:lang w:eastAsia="zh-CN"/>
        </w:rPr>
      </w:pPr>
      <w:r>
        <w:rPr>
          <w:rFonts w:eastAsia="宋体"/>
          <w:szCs w:val="24"/>
          <w:lang w:eastAsia="zh-CN"/>
        </w:rPr>
        <w:t>如验收及测试中出现不符合投标方在应答书中的承诺和合同要求的严重质量问题时，招标方保留索赔权利。</w:t>
      </w:r>
    </w:p>
    <w:p>
      <w:pPr>
        <w:pStyle w:val="37"/>
        <w:numPr>
          <w:ilvl w:val="0"/>
          <w:numId w:val="6"/>
        </w:numPr>
        <w:rPr>
          <w:rFonts w:eastAsia="宋体"/>
          <w:szCs w:val="24"/>
          <w:lang w:eastAsia="zh-CN"/>
        </w:rPr>
      </w:pPr>
      <w:r>
        <w:rPr>
          <w:rFonts w:eastAsia="宋体"/>
          <w:szCs w:val="24"/>
          <w:lang w:eastAsia="zh-CN"/>
        </w:rPr>
        <w:t>技术文档齐全，包括操作手册、配置参数手册等其他技术文件，所有的设备技术文件必须是中文或英文，有中文版本的，必须提供中文版本的设备技术文件。</w:t>
      </w:r>
    </w:p>
    <w:p>
      <w:pPr>
        <w:pStyle w:val="4"/>
        <w:rPr>
          <w:rFonts w:eastAsia="宋体"/>
        </w:rPr>
      </w:pPr>
      <w:bookmarkStart w:id="250" w:name="_Toc390940828"/>
      <w:bookmarkStart w:id="251" w:name="_Toc31615"/>
      <w:bookmarkStart w:id="252" w:name="_Toc392575135"/>
      <w:bookmarkStart w:id="253" w:name="_Toc383601611"/>
      <w:bookmarkStart w:id="254" w:name="_Toc3866"/>
      <w:bookmarkStart w:id="255" w:name="_Toc392404121"/>
      <w:bookmarkStart w:id="256" w:name="_Toc24579"/>
      <w:bookmarkStart w:id="257" w:name="_Toc7012"/>
      <w:r>
        <w:rPr>
          <w:rFonts w:hint="eastAsia" w:eastAsia="宋体"/>
        </w:rPr>
        <w:t>初步验收</w:t>
      </w:r>
      <w:bookmarkEnd w:id="250"/>
      <w:bookmarkEnd w:id="251"/>
      <w:bookmarkEnd w:id="252"/>
      <w:bookmarkEnd w:id="253"/>
      <w:bookmarkEnd w:id="254"/>
      <w:bookmarkEnd w:id="255"/>
      <w:bookmarkEnd w:id="256"/>
      <w:bookmarkEnd w:id="257"/>
    </w:p>
    <w:p>
      <w:pPr>
        <w:spacing w:line="360" w:lineRule="auto"/>
        <w:ind w:firstLine="480"/>
        <w:rPr>
          <w:rFonts w:eastAsia="宋体"/>
          <w:sz w:val="24"/>
          <w:szCs w:val="24"/>
        </w:rPr>
      </w:pPr>
      <w:r>
        <w:rPr>
          <w:rFonts w:eastAsia="宋体"/>
          <w:sz w:val="24"/>
          <w:szCs w:val="24"/>
        </w:rPr>
        <w:t>在投标方完成所有</w:t>
      </w:r>
      <w:r>
        <w:rPr>
          <w:rFonts w:hint="eastAsia" w:eastAsia="宋体"/>
          <w:sz w:val="24"/>
          <w:szCs w:val="24"/>
        </w:rPr>
        <w:t>安装调试</w:t>
      </w:r>
      <w:r>
        <w:rPr>
          <w:rFonts w:eastAsia="宋体"/>
          <w:sz w:val="24"/>
          <w:szCs w:val="24"/>
        </w:rPr>
        <w:t>内容向甲方申请进行工程初验，经甲方同意后，可以进行验收测试（初验）。验收规范（包括项目、指标、方式和监测仪器等）应由投标方提交给甲方。甲方可根据合同及技术方案和行业有关规定进行修改和补充，经双方确认后形成验收文件作为验收依据。验收测试合格后，双方签署</w:t>
      </w:r>
      <w:r>
        <w:rPr>
          <w:rFonts w:hint="eastAsia" w:eastAsia="宋体"/>
          <w:sz w:val="24"/>
          <w:szCs w:val="24"/>
        </w:rPr>
        <w:t>验收合格证明单即《初验报告》</w:t>
      </w:r>
      <w:r>
        <w:rPr>
          <w:rFonts w:eastAsia="宋体"/>
          <w:sz w:val="24"/>
          <w:szCs w:val="24"/>
        </w:rPr>
        <w:t>，系统进入试运行。</w:t>
      </w:r>
    </w:p>
    <w:p>
      <w:pPr>
        <w:pStyle w:val="4"/>
        <w:rPr>
          <w:rFonts w:eastAsia="宋体"/>
        </w:rPr>
      </w:pPr>
      <w:bookmarkStart w:id="258" w:name="_Toc390940829"/>
      <w:bookmarkStart w:id="259" w:name="_Toc383601612"/>
      <w:bookmarkStart w:id="260" w:name="_Toc392404122"/>
      <w:bookmarkStart w:id="261" w:name="_Toc25692"/>
      <w:bookmarkStart w:id="262" w:name="_Toc392575136"/>
      <w:bookmarkStart w:id="263" w:name="_Toc2018"/>
      <w:bookmarkStart w:id="264" w:name="_Toc11356"/>
      <w:bookmarkStart w:id="265" w:name="_Toc18876"/>
      <w:r>
        <w:rPr>
          <w:rFonts w:hint="eastAsia" w:eastAsia="宋体"/>
        </w:rPr>
        <w:t>终验</w:t>
      </w:r>
      <w:bookmarkEnd w:id="258"/>
      <w:bookmarkEnd w:id="259"/>
      <w:bookmarkEnd w:id="260"/>
      <w:bookmarkEnd w:id="261"/>
      <w:bookmarkEnd w:id="262"/>
      <w:bookmarkEnd w:id="263"/>
      <w:bookmarkEnd w:id="264"/>
      <w:bookmarkEnd w:id="265"/>
    </w:p>
    <w:p>
      <w:pPr>
        <w:spacing w:line="360" w:lineRule="auto"/>
        <w:ind w:firstLine="480"/>
        <w:rPr>
          <w:rFonts w:eastAsia="宋体"/>
          <w:sz w:val="24"/>
          <w:szCs w:val="24"/>
        </w:rPr>
      </w:pPr>
      <w:r>
        <w:rPr>
          <w:rFonts w:eastAsia="宋体"/>
          <w:sz w:val="24"/>
          <w:szCs w:val="24"/>
        </w:rPr>
        <w:t>系统经过</w:t>
      </w:r>
      <w:r>
        <w:rPr>
          <w:rFonts w:hint="eastAsia" w:eastAsia="宋体"/>
          <w:sz w:val="24"/>
          <w:szCs w:val="24"/>
        </w:rPr>
        <w:t>一</w:t>
      </w:r>
      <w:r>
        <w:rPr>
          <w:rFonts w:eastAsia="宋体"/>
          <w:sz w:val="24"/>
          <w:szCs w:val="24"/>
        </w:rPr>
        <w:t>个月试运行期，其所能性能指标达到技术方案的要求时，并未发生主要故障或重大事故，经甲方同意后，可进行最终验收。</w:t>
      </w:r>
    </w:p>
    <w:p>
      <w:pPr>
        <w:spacing w:line="360" w:lineRule="auto"/>
        <w:ind w:firstLine="480"/>
        <w:rPr>
          <w:rFonts w:eastAsia="宋体"/>
          <w:sz w:val="24"/>
          <w:szCs w:val="24"/>
        </w:rPr>
      </w:pPr>
      <w:r>
        <w:rPr>
          <w:rFonts w:eastAsia="宋体"/>
          <w:sz w:val="24"/>
          <w:szCs w:val="24"/>
        </w:rPr>
        <w:t>在试运行期间，如系统出现主要故障或重大故障，则是运行期从故障修复之日起重新计算，顺延</w:t>
      </w:r>
      <w:r>
        <w:rPr>
          <w:rFonts w:hint="eastAsia" w:eastAsia="宋体"/>
          <w:sz w:val="24"/>
          <w:szCs w:val="24"/>
        </w:rPr>
        <w:t>一</w:t>
      </w:r>
      <w:r>
        <w:rPr>
          <w:rFonts w:eastAsia="宋体"/>
          <w:sz w:val="24"/>
          <w:szCs w:val="24"/>
        </w:rPr>
        <w:t>个月，若仍达不到要求，继续顺延，一直到系统连续</w:t>
      </w:r>
      <w:r>
        <w:rPr>
          <w:rFonts w:hint="eastAsia" w:eastAsia="宋体"/>
          <w:sz w:val="24"/>
          <w:szCs w:val="24"/>
        </w:rPr>
        <w:t>一</w:t>
      </w:r>
      <w:r>
        <w:rPr>
          <w:rFonts w:eastAsia="宋体"/>
          <w:sz w:val="24"/>
          <w:szCs w:val="24"/>
        </w:rPr>
        <w:t>个月无故障为止。</w:t>
      </w:r>
      <w:r>
        <w:rPr>
          <w:rFonts w:hint="eastAsia" w:eastAsia="宋体" w:cs="宋体"/>
          <w:sz w:val="24"/>
          <w:szCs w:val="24"/>
        </w:rPr>
        <w:t></w:t>
      </w:r>
    </w:p>
    <w:p>
      <w:pPr>
        <w:spacing w:line="360" w:lineRule="auto"/>
        <w:ind w:firstLine="480"/>
        <w:rPr>
          <w:rFonts w:ascii="仿宋_GB2312" w:eastAsia="宋体"/>
          <w:sz w:val="24"/>
          <w:szCs w:val="24"/>
        </w:rPr>
      </w:pPr>
      <w:r>
        <w:rPr>
          <w:rFonts w:hint="eastAsia" w:eastAsia="宋体"/>
          <w:sz w:val="24"/>
          <w:szCs w:val="24"/>
        </w:rPr>
        <w:t>系统试运行通过后由投标方提交《系统终验报审表》报甲方审核并组织进行系统终验，验收通过后签署验收合格证明单即《最终验收报告》</w:t>
      </w:r>
      <w:r>
        <w:rPr>
          <w:rFonts w:hint="eastAsia" w:eastAsia="宋体" w:cs="宋体"/>
          <w:sz w:val="24"/>
          <w:szCs w:val="24"/>
        </w:rPr>
        <w:t>。</w:t>
      </w:r>
      <w:bookmarkEnd w:id="201"/>
      <w:bookmarkEnd w:id="202"/>
      <w:bookmarkEnd w:id="203"/>
      <w:bookmarkEnd w:id="204"/>
      <w:bookmarkEnd w:id="205"/>
      <w:bookmarkEnd w:id="206"/>
      <w:bookmarkStart w:id="266" w:name="_Toc17559"/>
      <w:bookmarkStart w:id="267" w:name="_Toc29053"/>
      <w:bookmarkStart w:id="268" w:name="_Toc30156"/>
      <w:bookmarkStart w:id="269" w:name="_Toc2309"/>
      <w:bookmarkStart w:id="270" w:name="_Toc349029259"/>
      <w:bookmarkStart w:id="271" w:name="_Toc349809022"/>
    </w:p>
    <w:p>
      <w:pPr>
        <w:pStyle w:val="2"/>
      </w:pPr>
      <w:bookmarkStart w:id="272" w:name="_Toc7803"/>
      <w:bookmarkStart w:id="273" w:name="_Toc27155"/>
      <w:bookmarkStart w:id="274" w:name="_Toc5111"/>
      <w:bookmarkStart w:id="275" w:name="_Toc4792"/>
      <w:bookmarkStart w:id="276" w:name="_Toc29975"/>
      <w:r>
        <w:rPr>
          <w:rFonts w:hint="eastAsia"/>
        </w:rPr>
        <w:t>质量保证</w:t>
      </w:r>
      <w:bookmarkEnd w:id="266"/>
      <w:bookmarkEnd w:id="267"/>
      <w:bookmarkEnd w:id="268"/>
      <w:bookmarkEnd w:id="269"/>
      <w:bookmarkEnd w:id="270"/>
      <w:bookmarkEnd w:id="271"/>
      <w:r>
        <w:rPr>
          <w:rFonts w:hint="eastAsia"/>
        </w:rPr>
        <w:t>与培训</w:t>
      </w:r>
      <w:bookmarkEnd w:id="272"/>
      <w:bookmarkEnd w:id="273"/>
      <w:bookmarkEnd w:id="274"/>
      <w:bookmarkEnd w:id="275"/>
      <w:bookmarkEnd w:id="276"/>
    </w:p>
    <w:p>
      <w:pPr>
        <w:pStyle w:val="3"/>
      </w:pPr>
      <w:bookmarkStart w:id="277" w:name="_Toc349809023"/>
      <w:bookmarkStart w:id="278" w:name="_Toc24331"/>
      <w:bookmarkStart w:id="279" w:name="_Toc13723"/>
      <w:bookmarkStart w:id="280" w:name="_Toc28857"/>
      <w:bookmarkStart w:id="281" w:name="_Toc349029260"/>
      <w:bookmarkStart w:id="282" w:name="_Toc21521"/>
      <w:bookmarkStart w:id="283" w:name="_Toc26763"/>
      <w:bookmarkStart w:id="284" w:name="_Toc18882"/>
      <w:bookmarkStart w:id="285" w:name="_Toc7076"/>
      <w:bookmarkStart w:id="286" w:name="_Toc32136"/>
      <w:bookmarkStart w:id="287" w:name="_Toc11028"/>
      <w:r>
        <w:rPr>
          <w:rFonts w:hint="eastAsia"/>
        </w:rPr>
        <w:t>售后服务</w:t>
      </w:r>
      <w:bookmarkEnd w:id="277"/>
      <w:bookmarkEnd w:id="278"/>
      <w:bookmarkEnd w:id="279"/>
      <w:bookmarkEnd w:id="280"/>
      <w:bookmarkEnd w:id="281"/>
      <w:bookmarkEnd w:id="282"/>
      <w:bookmarkEnd w:id="283"/>
      <w:bookmarkEnd w:id="284"/>
      <w:bookmarkEnd w:id="285"/>
      <w:bookmarkEnd w:id="286"/>
      <w:bookmarkEnd w:id="287"/>
    </w:p>
    <w:p>
      <w:pPr>
        <w:ind w:firstLine="480"/>
        <w:rPr>
          <w:rFonts w:ascii="宋体" w:hAnsi="宋体" w:eastAsia="宋体" w:cs="宋体"/>
          <w:sz w:val="24"/>
          <w:szCs w:val="24"/>
        </w:rPr>
      </w:pPr>
      <w:r>
        <w:rPr>
          <w:rFonts w:hint="eastAsia" w:ascii="宋体" w:hAnsi="宋体" w:eastAsia="宋体" w:cs="宋体"/>
          <w:sz w:val="24"/>
          <w:szCs w:val="24"/>
        </w:rPr>
        <w:t>每套设备必须进行出厂功能测试，相应的测试报告必须和设备一并提供。设备的质保期是全部设备调试验收合格后的12个月。</w:t>
      </w:r>
    </w:p>
    <w:p>
      <w:pPr>
        <w:ind w:firstLine="480"/>
        <w:rPr>
          <w:rFonts w:ascii="宋体" w:hAnsi="宋体" w:eastAsia="宋体" w:cs="宋体"/>
          <w:sz w:val="24"/>
          <w:szCs w:val="24"/>
        </w:rPr>
      </w:pPr>
      <w:r>
        <w:rPr>
          <w:rFonts w:hint="eastAsia" w:ascii="宋体" w:hAnsi="宋体" w:eastAsia="宋体" w:cs="宋体"/>
          <w:sz w:val="24"/>
          <w:szCs w:val="24"/>
        </w:rPr>
        <w:t>在质保期内，凡因工艺、制造、安装、调试或选材不当引起的设备零部件和结构的缺陷或损坏、运转不灵活以及出现事故均由投标方负责，并免费为招标方及时进行修理、更换，并应在收到招标方通知之日起48小时内开始修理更换工作，最迟应在2天内修复设备，否则按合同有关条款执行。</w:t>
      </w:r>
    </w:p>
    <w:p>
      <w:pPr>
        <w:ind w:firstLine="480"/>
        <w:rPr>
          <w:rFonts w:ascii="宋体" w:hAnsi="宋体" w:eastAsia="宋体" w:cs="宋体"/>
          <w:sz w:val="24"/>
          <w:szCs w:val="24"/>
        </w:rPr>
      </w:pPr>
      <w:r>
        <w:rPr>
          <w:rFonts w:hint="eastAsia" w:ascii="宋体" w:hAnsi="宋体" w:eastAsia="宋体" w:cs="宋体"/>
          <w:sz w:val="24"/>
          <w:szCs w:val="24"/>
        </w:rPr>
        <w:t>投标方应在国内具有足够的专业技术力量，保障售后服务，必须保证在接到用户通知的48小时内到现场服务。特殊情况下不能满足要求的，应提前说明具体处理时间。</w:t>
      </w:r>
    </w:p>
    <w:p>
      <w:pPr>
        <w:ind w:firstLine="480"/>
        <w:rPr>
          <w:rFonts w:ascii="宋体" w:hAnsi="宋体" w:eastAsia="宋体" w:cs="宋体"/>
          <w:sz w:val="24"/>
          <w:szCs w:val="24"/>
        </w:rPr>
      </w:pPr>
      <w:r>
        <w:rPr>
          <w:rFonts w:hint="eastAsia" w:ascii="宋体" w:hAnsi="宋体" w:eastAsia="宋体" w:cs="宋体"/>
          <w:sz w:val="24"/>
          <w:szCs w:val="24"/>
        </w:rPr>
        <w:t>投标方应根据招标方的时间安排要求，在系统投用初期（验收后累计1个月），安排1名合格的技术代表，对投标方所提供的黄骅港水系统信息化建设项目设备进行连续的监护性服务，对系统运转初期出现的故障进行应急处理，以帮助招标方掌握黄骅港水系统信息化建设项目设备的安全技术和故障排除技术。</w:t>
      </w:r>
    </w:p>
    <w:p>
      <w:pPr>
        <w:ind w:firstLine="480"/>
        <w:rPr>
          <w:rFonts w:ascii="宋体" w:hAnsi="宋体" w:eastAsia="宋体" w:cs="宋体"/>
          <w:sz w:val="24"/>
          <w:szCs w:val="24"/>
        </w:rPr>
      </w:pPr>
      <w:r>
        <w:rPr>
          <w:rFonts w:hint="eastAsia" w:ascii="宋体" w:hAnsi="宋体" w:eastAsia="宋体" w:cs="宋体"/>
          <w:sz w:val="24"/>
          <w:szCs w:val="24"/>
        </w:rPr>
        <w:t>在保证期内，投标方应定期派出技术人员检查和跟踪设备运行情况，消除隐患。</w:t>
      </w:r>
    </w:p>
    <w:p>
      <w:pPr>
        <w:ind w:firstLine="480"/>
        <w:rPr>
          <w:rFonts w:ascii="宋体" w:hAnsi="宋体" w:eastAsia="宋体" w:cs="宋体"/>
          <w:sz w:val="24"/>
          <w:szCs w:val="24"/>
        </w:rPr>
      </w:pPr>
      <w:r>
        <w:rPr>
          <w:rFonts w:hint="eastAsia" w:ascii="宋体" w:hAnsi="宋体" w:eastAsia="宋体" w:cs="宋体"/>
          <w:sz w:val="24"/>
          <w:szCs w:val="24"/>
        </w:rPr>
        <w:t>在质保期过后或者质保期内如因招标方原因造成的设备损坏，投标方有义务及时维修，只收取适当的成本费用。</w:t>
      </w:r>
    </w:p>
    <w:p>
      <w:pPr>
        <w:pStyle w:val="3"/>
      </w:pPr>
      <w:bookmarkStart w:id="288" w:name="_Toc19380"/>
      <w:bookmarkStart w:id="289" w:name="_Toc6487"/>
      <w:bookmarkStart w:id="290" w:name="_Toc20433"/>
      <w:bookmarkStart w:id="291" w:name="_Toc2409"/>
      <w:bookmarkStart w:id="292" w:name="_Toc10577"/>
      <w:bookmarkStart w:id="293" w:name="_Toc8634"/>
      <w:bookmarkStart w:id="294" w:name="_Toc349029261"/>
      <w:bookmarkStart w:id="295" w:name="_Toc349809024"/>
      <w:bookmarkStart w:id="296" w:name="_Toc15911"/>
      <w:bookmarkStart w:id="297" w:name="_Toc10103"/>
      <w:bookmarkStart w:id="298" w:name="_Toc10225"/>
      <w:r>
        <w:rPr>
          <w:rFonts w:hint="eastAsia"/>
        </w:rPr>
        <w:t>技术培训</w:t>
      </w:r>
      <w:bookmarkEnd w:id="288"/>
      <w:bookmarkEnd w:id="289"/>
      <w:bookmarkEnd w:id="290"/>
      <w:bookmarkEnd w:id="291"/>
      <w:bookmarkEnd w:id="292"/>
      <w:bookmarkEnd w:id="293"/>
      <w:bookmarkEnd w:id="294"/>
      <w:bookmarkEnd w:id="295"/>
      <w:bookmarkEnd w:id="296"/>
      <w:bookmarkEnd w:id="297"/>
      <w:bookmarkEnd w:id="298"/>
    </w:p>
    <w:p>
      <w:pPr>
        <w:ind w:firstLine="480"/>
        <w:rPr>
          <w:rFonts w:ascii="宋体" w:hAnsi="宋体" w:eastAsia="宋体" w:cs="宋体"/>
          <w:sz w:val="24"/>
          <w:szCs w:val="24"/>
        </w:rPr>
      </w:pPr>
      <w:r>
        <w:rPr>
          <w:rFonts w:hint="eastAsia" w:ascii="宋体" w:hAnsi="宋体" w:eastAsia="宋体" w:cs="宋体"/>
          <w:sz w:val="24"/>
          <w:szCs w:val="24"/>
        </w:rPr>
        <w:t>投标方应为神华黄骅港务有限责任公司的相关的技术、操作、维护保养修理人员进行技术培训。通过培训，技术人员应掌握控制设备原理和使用方法，操作人员应能掌握控制设备的操作和简单的维护修理故障排除。投标方应保证培训质量，对参加培训人员进行考核。</w:t>
      </w:r>
    </w:p>
    <w:p>
      <w:pPr>
        <w:ind w:firstLine="480"/>
        <w:rPr>
          <w:rFonts w:ascii="宋体" w:hAnsi="宋体" w:eastAsia="宋体" w:cs="宋体"/>
          <w:sz w:val="24"/>
          <w:szCs w:val="24"/>
        </w:rPr>
      </w:pPr>
      <w:r>
        <w:rPr>
          <w:rFonts w:hint="eastAsia" w:ascii="宋体" w:hAnsi="宋体" w:eastAsia="宋体" w:cs="宋体"/>
          <w:sz w:val="24"/>
          <w:szCs w:val="24"/>
        </w:rPr>
        <w:t>投标方应选派称职的、有丰富经验的技术人员进行技术培训或者赴设备生产厂进行培训。应提供培训讲义（每人一套），培训方法采用理论讲授与现场演示相结合的方式。现场培训应结合安装、调试进行。投标方制定的培训大纲和编写的培训教材应在培训前一周提交招标方认可。</w:t>
      </w:r>
    </w:p>
    <w:p>
      <w:pPr>
        <w:ind w:firstLine="480"/>
        <w:rPr>
          <w:rFonts w:ascii="宋体" w:hAnsi="宋体" w:eastAsia="宋体" w:cs="宋体"/>
          <w:sz w:val="24"/>
          <w:szCs w:val="24"/>
        </w:rPr>
      </w:pPr>
      <w:r>
        <w:rPr>
          <w:rFonts w:hint="eastAsia" w:ascii="宋体" w:hAnsi="宋体" w:eastAsia="宋体" w:cs="宋体"/>
          <w:sz w:val="24"/>
          <w:szCs w:val="24"/>
        </w:rPr>
        <w:t>培训计划的时间安排应在试运转之前，以便该计划的最后一周延伸至设备的试运转期。</w:t>
      </w:r>
    </w:p>
    <w:p>
      <w:pPr>
        <w:ind w:firstLine="480"/>
        <w:rPr>
          <w:rFonts w:ascii="宋体" w:hAnsi="宋体" w:eastAsia="宋体" w:cs="宋体"/>
          <w:sz w:val="24"/>
          <w:szCs w:val="24"/>
        </w:rPr>
      </w:pPr>
      <w:r>
        <w:rPr>
          <w:rFonts w:hint="eastAsia" w:ascii="宋体" w:hAnsi="宋体" w:eastAsia="宋体" w:cs="宋体"/>
          <w:sz w:val="24"/>
          <w:szCs w:val="24"/>
        </w:rPr>
        <w:t>投标方应该按照要求准备教学计划，供招标方确认。</w:t>
      </w:r>
    </w:p>
    <w:p>
      <w:pPr>
        <w:ind w:firstLine="480"/>
        <w:rPr>
          <w:rFonts w:ascii="宋体" w:hAnsi="宋体" w:eastAsia="宋体" w:cs="宋体"/>
          <w:sz w:val="24"/>
          <w:szCs w:val="24"/>
        </w:rPr>
      </w:pPr>
      <w:r>
        <w:rPr>
          <w:rFonts w:hint="eastAsia" w:ascii="宋体" w:hAnsi="宋体" w:eastAsia="宋体" w:cs="宋体"/>
          <w:sz w:val="24"/>
          <w:szCs w:val="24"/>
        </w:rPr>
        <w:t>招标方应该提供教室，如可能的话，投标方的指导最好使用中文。若使用其他语言，投标方应提供翻译。</w:t>
      </w:r>
    </w:p>
    <w:p>
      <w:pPr>
        <w:ind w:firstLine="480"/>
        <w:rPr>
          <w:rFonts w:ascii="宋体" w:hAnsi="宋体" w:eastAsia="宋体" w:cs="宋体"/>
          <w:sz w:val="24"/>
          <w:szCs w:val="24"/>
        </w:rPr>
      </w:pPr>
      <w:r>
        <w:rPr>
          <w:rFonts w:hint="eastAsia" w:ascii="宋体" w:hAnsi="宋体" w:eastAsia="宋体" w:cs="宋体"/>
          <w:sz w:val="24"/>
          <w:szCs w:val="24"/>
        </w:rPr>
        <w:t>招标方应对批准教学计划和课程安排进行审批，如果招标方有要求的话，在课堂教学的限度内也可以讲一些当前工作或有关安全事项。</w:t>
      </w:r>
    </w:p>
    <w:p>
      <w:pPr>
        <w:ind w:firstLine="480"/>
        <w:rPr>
          <w:rFonts w:ascii="宋体" w:hAnsi="宋体" w:eastAsia="宋体" w:cs="宋体"/>
          <w:sz w:val="24"/>
          <w:szCs w:val="24"/>
        </w:rPr>
      </w:pPr>
      <w:r>
        <w:rPr>
          <w:rFonts w:hint="eastAsia" w:ascii="宋体" w:hAnsi="宋体" w:eastAsia="宋体" w:cs="宋体"/>
          <w:sz w:val="24"/>
          <w:szCs w:val="24"/>
        </w:rPr>
        <w:t>招标方人员的培训费包括在合同价格中。</w:t>
      </w:r>
    </w:p>
    <w:p>
      <w:pPr>
        <w:pStyle w:val="3"/>
      </w:pPr>
      <w:bookmarkStart w:id="299" w:name="_Toc588"/>
      <w:bookmarkStart w:id="300" w:name="_Toc230418408"/>
      <w:bookmarkStart w:id="301" w:name="_Toc3986"/>
      <w:bookmarkStart w:id="302" w:name="_Toc13261"/>
      <w:bookmarkStart w:id="303" w:name="_Toc349809025"/>
      <w:bookmarkStart w:id="304" w:name="_Toc7959"/>
      <w:bookmarkStart w:id="305" w:name="_Toc21250"/>
      <w:bookmarkStart w:id="306" w:name="_Toc8072"/>
      <w:bookmarkStart w:id="307" w:name="_Toc8749"/>
      <w:bookmarkStart w:id="308" w:name="_Toc5495"/>
      <w:bookmarkStart w:id="309" w:name="_Toc9012"/>
      <w:bookmarkStart w:id="310" w:name="_Toc349029262"/>
      <w:r>
        <w:rPr>
          <w:rFonts w:hint="eastAsia"/>
        </w:rPr>
        <w:t>技术资料</w:t>
      </w:r>
      <w:bookmarkEnd w:id="299"/>
      <w:bookmarkEnd w:id="300"/>
      <w:bookmarkEnd w:id="301"/>
      <w:bookmarkEnd w:id="302"/>
      <w:bookmarkEnd w:id="303"/>
      <w:bookmarkEnd w:id="304"/>
      <w:bookmarkEnd w:id="305"/>
      <w:bookmarkEnd w:id="306"/>
      <w:bookmarkEnd w:id="307"/>
      <w:bookmarkEnd w:id="308"/>
      <w:bookmarkEnd w:id="309"/>
      <w:bookmarkEnd w:id="310"/>
    </w:p>
    <w:p>
      <w:pPr>
        <w:ind w:firstLine="480"/>
        <w:rPr>
          <w:rFonts w:ascii="宋体" w:hAnsi="宋体" w:eastAsia="宋体" w:cs="宋体"/>
          <w:sz w:val="24"/>
          <w:szCs w:val="24"/>
        </w:rPr>
      </w:pPr>
      <w:r>
        <w:rPr>
          <w:rFonts w:hint="eastAsia" w:ascii="宋体" w:hAnsi="宋体" w:eastAsia="宋体" w:cs="宋体"/>
          <w:sz w:val="24"/>
          <w:szCs w:val="24"/>
        </w:rPr>
        <w:t>投标方应提供包括所有系统部件的安装、运行、注意事项和维护方法的详细说明，还要包括所购设备的完整的设备表和详细指南；提供所有与技术、安装、调试、维护管理有关的手册、说明书、图纸。</w:t>
      </w:r>
    </w:p>
    <w:p>
      <w:pPr>
        <w:ind w:firstLine="480"/>
        <w:rPr>
          <w:rFonts w:ascii="宋体" w:hAnsi="宋体" w:eastAsia="宋体" w:cs="宋体"/>
          <w:sz w:val="24"/>
          <w:szCs w:val="24"/>
        </w:rPr>
      </w:pPr>
      <w:r>
        <w:rPr>
          <w:rFonts w:hint="eastAsia" w:ascii="宋体" w:hAnsi="宋体" w:eastAsia="宋体" w:cs="宋体"/>
          <w:sz w:val="24"/>
          <w:szCs w:val="24"/>
        </w:rPr>
        <w:t>以上文件需提供纸质版，同时提供电子版。</w:t>
      </w:r>
    </w:p>
    <w:sectPr>
      <w:pgSz w:w="11906" w:h="16838"/>
      <w:pgMar w:top="1440" w:right="1803" w:bottom="1440" w:left="1803" w:header="851" w:footer="992" w:gutter="0"/>
      <w:pgNumType w:start="1"/>
      <w:cols w:space="0" w:num="1"/>
      <w:rtlGutter w:val="0"/>
      <w:docGrid w:type="lines" w:linePitch="39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00" w:usb3="00000000" w:csb0="0004009F" w:csb1="DFD70000"/>
  </w:font>
  <w:font w:name="Arial Narrow">
    <w:altName w:val="Arial"/>
    <w:panose1 w:val="020B0606020202030204"/>
    <w:charset w:val="00"/>
    <w:family w:val="swiss"/>
    <w:pitch w:val="default"/>
    <w:sig w:usb0="00000000" w:usb1="00000000" w:usb2="00000000" w:usb3="00000000" w:csb0="0000009F" w:csb1="00000000"/>
  </w:font>
  <w:font w:name="仿宋_GB2312">
    <w:altName w:val="仿宋"/>
    <w:panose1 w:val="00000000000000000000"/>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8CF3C50" w:usb2="00000016" w:usb3="00000000" w:csb0="0004001F" w:csb1="00000000"/>
  </w:font>
  <w:font w:name="Tahoma">
    <w:panose1 w:val="020B0604030504040204"/>
    <w:charset w:val="00"/>
    <w:family w:val="auto"/>
    <w:pitch w:val="default"/>
    <w:sig w:usb0="E1002EFF" w:usb1="C000605B" w:usb2="00000029" w:usb3="00000000" w:csb0="200101FF" w:csb1="20280000"/>
  </w:font>
  <w:font w:name="Arial">
    <w:panose1 w:val="020B0604020202020204"/>
    <w:charset w:val="00"/>
    <w:family w:val="swiss"/>
    <w:pitch w:val="default"/>
    <w:sig w:usb0="E0002E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ind w:firstLine="360"/>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ind w:firstLine="36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II</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NJWO7QAAAABQEAAA8AAAAAAAAAAQAgAAAAIgAA&#10;AGRycy9kb3ducmV2LnhtbFBLAQIUABQAAAAIAIdO4kD7sw5mEAIAAAkEAAAOAAAAAAAAAAEAIAAA&#10;AB8BAABkcnMvZTJvRG9jLnhtbFBLBQYAAAAABgAGAFkBAAChBQAAAAA=&#10;">
              <v:fill on="f" focussize="0,0"/>
              <v:stroke on="f" weight="0.5pt"/>
              <v:imagedata o:title=""/>
              <o:lock v:ext="edit" aspectratio="f"/>
              <v:textbox inset="0mm,0mm,0mm,0mm" style="mso-fit-shape-to-text:t;">
                <w:txbxContent>
                  <w:p>
                    <w:pPr>
                      <w:snapToGrid w:val="0"/>
                      <w:ind w:firstLine="36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II</w:t>
                    </w:r>
                    <w:r>
                      <w:rPr>
                        <w:rFonts w:hint="eastAsia"/>
                        <w:sz w:val="1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007745" cy="1828800"/>
              <wp:effectExtent l="0" t="0" r="0" b="0"/>
              <wp:wrapNone/>
              <wp:docPr id="46" name="文本框 46"/>
              <wp:cNvGraphicFramePr/>
              <a:graphic xmlns:a="http://schemas.openxmlformats.org/drawingml/2006/main">
                <a:graphicData uri="http://schemas.microsoft.com/office/word/2010/wordprocessingShape">
                  <wps:wsp>
                    <wps:cNvSpPr txBox="1"/>
                    <wps:spPr>
                      <a:xfrm>
                        <a:off x="0" y="0"/>
                        <a:ext cx="1007745"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ind w:firstLine="361"/>
                            <w:rPr>
                              <w:rFonts w:ascii="黑体" w:hAnsi="黑体" w:eastAsia="黑体" w:cs="黑体"/>
                              <w:b/>
                              <w:bCs/>
                              <w:sz w:val="18"/>
                              <w:szCs w:val="18"/>
                            </w:rPr>
                          </w:pPr>
                          <w:r>
                            <w:rPr>
                              <w:rFonts w:hint="eastAsia" w:ascii="黑体" w:hAnsi="黑体" w:eastAsia="黑体" w:cs="黑体"/>
                              <w:b/>
                              <w:bCs/>
                              <w:sz w:val="18"/>
                              <w:szCs w:val="18"/>
                            </w:rPr>
                            <w:fldChar w:fldCharType="begin"/>
                          </w:r>
                          <w:r>
                            <w:rPr>
                              <w:rFonts w:hint="eastAsia" w:ascii="黑体" w:hAnsi="黑体" w:eastAsia="黑体" w:cs="黑体"/>
                              <w:b/>
                              <w:bCs/>
                              <w:sz w:val="18"/>
                              <w:szCs w:val="18"/>
                            </w:rPr>
                            <w:instrText xml:space="preserve"> PAGE  \* MERGEFORMAT </w:instrText>
                          </w:r>
                          <w:r>
                            <w:rPr>
                              <w:rFonts w:hint="eastAsia" w:ascii="黑体" w:hAnsi="黑体" w:eastAsia="黑体" w:cs="黑体"/>
                              <w:b/>
                              <w:bCs/>
                              <w:sz w:val="18"/>
                              <w:szCs w:val="18"/>
                            </w:rPr>
                            <w:fldChar w:fldCharType="separate"/>
                          </w:r>
                          <w:r>
                            <w:rPr>
                              <w:rFonts w:ascii="黑体" w:hAnsi="黑体" w:eastAsia="黑体" w:cs="黑体"/>
                              <w:b/>
                              <w:bCs/>
                              <w:sz w:val="18"/>
                              <w:szCs w:val="18"/>
                            </w:rPr>
                            <w:t>51</w:t>
                          </w:r>
                          <w:r>
                            <w:rPr>
                              <w:rFonts w:hint="eastAsia" w:ascii="黑体" w:hAnsi="黑体" w:eastAsia="黑体" w:cs="黑体"/>
                              <w:b/>
                              <w:bCs/>
                              <w:sz w:val="18"/>
                              <w:szCs w:val="18"/>
                            </w:rPr>
                            <w:fldChar w:fldCharType="end"/>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79.35pt;mso-position-horizontal:center;mso-position-horizontal-relative:margin;z-index:251659264;mso-width-relative:page;mso-height-relative:page;" filled="f" stroked="f" coordsize="21600,21600" o:gfxdata="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BqUIidQAAAAFAQAADwAAAAAA&#10;AAABACAAAAAiAAAAZHJzL2Rvd25yZXYueG1sUEsBAhQAFAAAAAgAh07iQAt9tXMXAgAACwQAAA4A&#10;AAAAAAAAAQAgAAAAIwEAAGRycy9lMm9Eb2MueG1sUEsFBgAAAAAGAAYAWQEAAKwFAAAAAA==&#10;">
              <v:fill on="f" focussize="0,0"/>
              <v:stroke on="f" weight="0.5pt"/>
              <v:imagedata o:title=""/>
              <o:lock v:ext="edit" aspectratio="f"/>
              <v:textbox inset="0mm,0mm,0mm,0mm" style="mso-fit-shape-to-text:t;">
                <w:txbxContent>
                  <w:p>
                    <w:pPr>
                      <w:snapToGrid w:val="0"/>
                      <w:ind w:firstLine="361"/>
                      <w:rPr>
                        <w:rFonts w:ascii="黑体" w:hAnsi="黑体" w:eastAsia="黑体" w:cs="黑体"/>
                        <w:b/>
                        <w:bCs/>
                        <w:sz w:val="18"/>
                        <w:szCs w:val="18"/>
                      </w:rPr>
                    </w:pPr>
                    <w:r>
                      <w:rPr>
                        <w:rFonts w:hint="eastAsia" w:ascii="黑体" w:hAnsi="黑体" w:eastAsia="黑体" w:cs="黑体"/>
                        <w:b/>
                        <w:bCs/>
                        <w:sz w:val="18"/>
                        <w:szCs w:val="18"/>
                      </w:rPr>
                      <w:fldChar w:fldCharType="begin"/>
                    </w:r>
                    <w:r>
                      <w:rPr>
                        <w:rFonts w:hint="eastAsia" w:ascii="黑体" w:hAnsi="黑体" w:eastAsia="黑体" w:cs="黑体"/>
                        <w:b/>
                        <w:bCs/>
                        <w:sz w:val="18"/>
                        <w:szCs w:val="18"/>
                      </w:rPr>
                      <w:instrText xml:space="preserve"> PAGE  \* MERGEFORMAT </w:instrText>
                    </w:r>
                    <w:r>
                      <w:rPr>
                        <w:rFonts w:hint="eastAsia" w:ascii="黑体" w:hAnsi="黑体" w:eastAsia="黑体" w:cs="黑体"/>
                        <w:b/>
                        <w:bCs/>
                        <w:sz w:val="18"/>
                        <w:szCs w:val="18"/>
                      </w:rPr>
                      <w:fldChar w:fldCharType="separate"/>
                    </w:r>
                    <w:r>
                      <w:rPr>
                        <w:rFonts w:ascii="黑体" w:hAnsi="黑体" w:eastAsia="黑体" w:cs="黑体"/>
                        <w:b/>
                        <w:bCs/>
                        <w:sz w:val="18"/>
                        <w:szCs w:val="18"/>
                      </w:rPr>
                      <w:t>51</w:t>
                    </w:r>
                    <w:r>
                      <w:rPr>
                        <w:rFonts w:hint="eastAsia" w:ascii="黑体" w:hAnsi="黑体" w:eastAsia="黑体" w:cs="黑体"/>
                        <w:b/>
                        <w:bCs/>
                        <w:sz w:val="18"/>
                        <w:szCs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7"/>
      <w:spacing w:line="240" w:lineRule="auto"/>
      <w:ind w:firstLine="560"/>
      <w:jc w:val="right"/>
    </w:pPr>
    <w:r>
      <w:rPr>
        <w:rFonts w:hint="eastAsia"/>
      </w:rPr>
      <w:t xml:space="preserve"> </w:t>
    </w:r>
    <w:r>
      <w:rPr>
        <w:rFonts w:hint="eastAsia"/>
        <w:sz w:val="21"/>
        <w:szCs w:val="21"/>
      </w:rPr>
      <w:t>神华黄骅港务公司消防联网</w:t>
    </w:r>
    <w:r>
      <w:rPr>
        <w:rFonts w:hint="eastAsia"/>
        <w:sz w:val="21"/>
        <w:szCs w:val="21"/>
        <w:lang w:val="en-US" w:eastAsia="zh-CN"/>
      </w:rPr>
      <w:t>工程项目</w:t>
    </w:r>
    <w:r>
      <w:rPr>
        <w:rFonts w:hint="eastAsia"/>
        <w:sz w:val="21"/>
        <w:szCs w:val="21"/>
      </w:rPr>
      <w:t xml:space="preserve"> 技术规格书</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B46504B"/>
    <w:multiLevelType w:val="singleLevel"/>
    <w:tmpl w:val="CB46504B"/>
    <w:lvl w:ilvl="0" w:tentative="0">
      <w:start w:val="1"/>
      <w:numFmt w:val="chineseCounting"/>
      <w:suff w:val="nothing"/>
      <w:lvlText w:val="（%1）"/>
      <w:lvlJc w:val="left"/>
      <w:pPr>
        <w:ind w:left="0" w:firstLine="420"/>
      </w:pPr>
      <w:rPr>
        <w:rFonts w:hint="eastAsia"/>
      </w:rPr>
    </w:lvl>
  </w:abstractNum>
  <w:abstractNum w:abstractNumId="1">
    <w:nsid w:val="00321E87"/>
    <w:multiLevelType w:val="multilevel"/>
    <w:tmpl w:val="00321E87"/>
    <w:lvl w:ilvl="0" w:tentative="0">
      <w:start w:val="1"/>
      <w:numFmt w:val="decimal"/>
      <w:lvlText w:val="%1)"/>
      <w:lvlJc w:val="left"/>
      <w:pPr>
        <w:ind w:left="840" w:hanging="420"/>
      </w:pPr>
      <w:rPr>
        <w:rFonts w:hint="eastAsia" w:eastAsia="宋体"/>
        <w:b w:val="0"/>
        <w:i w:val="0"/>
        <w:sz w:val="21"/>
      </w:rPr>
    </w:lvl>
    <w:lvl w:ilvl="1" w:tentative="0">
      <w:start w:val="1"/>
      <w:numFmt w:val="decimal"/>
      <w:lvlText w:val="%2)"/>
      <w:lvlJc w:val="left"/>
      <w:pPr>
        <w:ind w:left="1260" w:hanging="420"/>
      </w:pPr>
      <w:rPr>
        <w:rFonts w:hint="eastAsia" w:eastAsia="宋体"/>
        <w:b w:val="0"/>
        <w:i w:val="0"/>
        <w:sz w:val="21"/>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
    <w:nsid w:val="133B7DEA"/>
    <w:multiLevelType w:val="multilevel"/>
    <w:tmpl w:val="133B7DEA"/>
    <w:lvl w:ilvl="0" w:tentative="0">
      <w:start w:val="1"/>
      <w:numFmt w:val="decimal"/>
      <w:lvlText w:val="%1)"/>
      <w:lvlJc w:val="left"/>
      <w:pPr>
        <w:ind w:left="840" w:hanging="420"/>
      </w:pPr>
      <w:rPr>
        <w:rFonts w:hint="eastAsia" w:eastAsia="宋体"/>
        <w:b w:val="0"/>
        <w:i w:val="0"/>
        <w:sz w:val="21"/>
      </w:rPr>
    </w:lvl>
    <w:lvl w:ilvl="1" w:tentative="0">
      <w:start w:val="1"/>
      <w:numFmt w:val="decimal"/>
      <w:lvlText w:val="%2)"/>
      <w:lvlJc w:val="left"/>
      <w:pPr>
        <w:ind w:left="1260" w:hanging="420"/>
      </w:pPr>
      <w:rPr>
        <w:rFonts w:hint="eastAsia" w:eastAsia="宋体"/>
        <w:b w:val="0"/>
        <w:i w:val="0"/>
        <w:sz w:val="21"/>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
    <w:nsid w:val="597612C1"/>
    <w:multiLevelType w:val="multilevel"/>
    <w:tmpl w:val="597612C1"/>
    <w:lvl w:ilvl="0" w:tentative="0">
      <w:start w:val="1"/>
      <w:numFmt w:val="decimal"/>
      <w:pStyle w:val="2"/>
      <w:lvlText w:val="%1."/>
      <w:lvlJc w:val="left"/>
      <w:pPr>
        <w:ind w:left="432" w:hanging="432"/>
      </w:pPr>
      <w:rPr>
        <w:rFonts w:hint="default"/>
      </w:rPr>
    </w:lvl>
    <w:lvl w:ilvl="1" w:tentative="0">
      <w:start w:val="1"/>
      <w:numFmt w:val="decimal"/>
      <w:pStyle w:val="3"/>
      <w:lvlText w:val="%1.%2."/>
      <w:lvlJc w:val="left"/>
      <w:pPr>
        <w:ind w:left="575" w:hanging="575"/>
      </w:pPr>
      <w:rPr>
        <w:rFonts w:hint="default"/>
      </w:rPr>
    </w:lvl>
    <w:lvl w:ilvl="2" w:tentative="0">
      <w:start w:val="1"/>
      <w:numFmt w:val="decimal"/>
      <w:pStyle w:val="4"/>
      <w:lvlText w:val="%1.%2.%3."/>
      <w:lvlJc w:val="left"/>
      <w:pPr>
        <w:ind w:left="720" w:hanging="720"/>
      </w:pPr>
      <w:rPr>
        <w:rFonts w:hint="default"/>
      </w:rPr>
    </w:lvl>
    <w:lvl w:ilvl="3" w:tentative="0">
      <w:start w:val="1"/>
      <w:numFmt w:val="decimal"/>
      <w:pStyle w:val="5"/>
      <w:lvlText w:val="%1.%2.%3.%4."/>
      <w:lvlJc w:val="left"/>
      <w:pPr>
        <w:ind w:left="864" w:hanging="864"/>
      </w:pPr>
      <w:rPr>
        <w:rFonts w:hint="default"/>
      </w:rPr>
    </w:lvl>
    <w:lvl w:ilvl="4" w:tentative="0">
      <w:start w:val="1"/>
      <w:numFmt w:val="decimal"/>
      <w:pStyle w:val="6"/>
      <w:lvlText w:val="%1.%2.%3.%4.%5."/>
      <w:lvlJc w:val="left"/>
      <w:pPr>
        <w:ind w:left="1008" w:hanging="1008"/>
      </w:pPr>
      <w:rPr>
        <w:rFonts w:hint="default"/>
      </w:rPr>
    </w:lvl>
    <w:lvl w:ilvl="5" w:tentative="0">
      <w:start w:val="1"/>
      <w:numFmt w:val="decimal"/>
      <w:pStyle w:val="7"/>
      <w:lvlText w:val="%1.%2.%3.%4.%5.%6."/>
      <w:lvlJc w:val="left"/>
      <w:pPr>
        <w:ind w:left="1151" w:hanging="1151"/>
      </w:pPr>
      <w:rPr>
        <w:rFonts w:hint="default"/>
      </w:rPr>
    </w:lvl>
    <w:lvl w:ilvl="6" w:tentative="0">
      <w:start w:val="1"/>
      <w:numFmt w:val="decimal"/>
      <w:pStyle w:val="8"/>
      <w:lvlText w:val="%1.%2.%3.%4.%5.%6.%7."/>
      <w:lvlJc w:val="left"/>
      <w:pPr>
        <w:ind w:left="1296" w:hanging="1296"/>
      </w:pPr>
      <w:rPr>
        <w:rFonts w:hint="default"/>
      </w:rPr>
    </w:lvl>
    <w:lvl w:ilvl="7" w:tentative="0">
      <w:start w:val="1"/>
      <w:numFmt w:val="decimal"/>
      <w:pStyle w:val="9"/>
      <w:lvlText w:val="%1.%2.%3.%4.%5.%6.%7.%8."/>
      <w:lvlJc w:val="left"/>
      <w:pPr>
        <w:ind w:left="1440" w:hanging="1440"/>
      </w:pPr>
      <w:rPr>
        <w:rFonts w:hint="default"/>
      </w:rPr>
    </w:lvl>
    <w:lvl w:ilvl="8" w:tentative="0">
      <w:start w:val="1"/>
      <w:numFmt w:val="decimal"/>
      <w:pStyle w:val="10"/>
      <w:lvlText w:val="%1.%2.%3.%4.%5.%6.%7.%8.%9."/>
      <w:lvlJc w:val="left"/>
      <w:pPr>
        <w:ind w:left="1583" w:hanging="1583"/>
      </w:pPr>
      <w:rPr>
        <w:rFonts w:hint="default"/>
      </w:rPr>
    </w:lvl>
  </w:abstractNum>
  <w:abstractNum w:abstractNumId="4">
    <w:nsid w:val="5A128868"/>
    <w:multiLevelType w:val="multilevel"/>
    <w:tmpl w:val="5A128868"/>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5">
    <w:nsid w:val="5A5579E1"/>
    <w:multiLevelType w:val="singleLevel"/>
    <w:tmpl w:val="5A5579E1"/>
    <w:lvl w:ilvl="0" w:tentative="0">
      <w:start w:val="1"/>
      <w:numFmt w:val="bullet"/>
      <w:lvlText w:val=""/>
      <w:lvlJc w:val="left"/>
      <w:pPr>
        <w:ind w:left="420" w:hanging="420"/>
      </w:pPr>
      <w:rPr>
        <w:rFonts w:hint="default" w:ascii="Wingdings" w:hAnsi="Wingdings"/>
      </w:rPr>
    </w:lvl>
  </w:abstractNum>
  <w:num w:numId="1">
    <w:abstractNumId w:val="3"/>
  </w:num>
  <w:num w:numId="2">
    <w:abstractNumId w:val="0"/>
  </w:num>
  <w:num w:numId="3">
    <w:abstractNumId w:val="5"/>
  </w:num>
  <w:num w:numId="4">
    <w:abstractNumId w:val="4"/>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0"/>
  <w:bordersDoNotSurroundFooter w:val="0"/>
  <w:documentProtection w:enforcement="0"/>
  <w:defaultTabStop w:val="210"/>
  <w:drawingGridVerticalSpacing w:val="198"/>
  <w:displayHorizontalDrawingGridEvery w:val="1"/>
  <w:displayVerticalDrawingGridEvery w:val="2"/>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252B6"/>
    <w:rsid w:val="00032AF3"/>
    <w:rsid w:val="00044F05"/>
    <w:rsid w:val="00054869"/>
    <w:rsid w:val="00096171"/>
    <w:rsid w:val="000E668D"/>
    <w:rsid w:val="000F391F"/>
    <w:rsid w:val="00116D2B"/>
    <w:rsid w:val="00143117"/>
    <w:rsid w:val="00172A27"/>
    <w:rsid w:val="00176428"/>
    <w:rsid w:val="001A14E2"/>
    <w:rsid w:val="00206E23"/>
    <w:rsid w:val="00216713"/>
    <w:rsid w:val="00280E0D"/>
    <w:rsid w:val="002A144C"/>
    <w:rsid w:val="002C6AE9"/>
    <w:rsid w:val="00332E2F"/>
    <w:rsid w:val="003F17FC"/>
    <w:rsid w:val="004007B7"/>
    <w:rsid w:val="004C3186"/>
    <w:rsid w:val="00520778"/>
    <w:rsid w:val="00551FCC"/>
    <w:rsid w:val="005E4B63"/>
    <w:rsid w:val="00645D21"/>
    <w:rsid w:val="006637A3"/>
    <w:rsid w:val="006A61AA"/>
    <w:rsid w:val="006B3AC9"/>
    <w:rsid w:val="006B7FBF"/>
    <w:rsid w:val="006D2C6A"/>
    <w:rsid w:val="007119D5"/>
    <w:rsid w:val="007F7152"/>
    <w:rsid w:val="008956C6"/>
    <w:rsid w:val="008D15C1"/>
    <w:rsid w:val="008F2AC8"/>
    <w:rsid w:val="008F5FD4"/>
    <w:rsid w:val="00902AEC"/>
    <w:rsid w:val="00943FE2"/>
    <w:rsid w:val="00945BB5"/>
    <w:rsid w:val="009C213E"/>
    <w:rsid w:val="00A4708B"/>
    <w:rsid w:val="00A60A08"/>
    <w:rsid w:val="00A81F3E"/>
    <w:rsid w:val="00A96B9D"/>
    <w:rsid w:val="00AB4BA3"/>
    <w:rsid w:val="00AF53B8"/>
    <w:rsid w:val="00B42F66"/>
    <w:rsid w:val="00B945F7"/>
    <w:rsid w:val="00BC1F5E"/>
    <w:rsid w:val="00BC4DA5"/>
    <w:rsid w:val="00C71274"/>
    <w:rsid w:val="00CD0D4C"/>
    <w:rsid w:val="00CE0592"/>
    <w:rsid w:val="00CF3E72"/>
    <w:rsid w:val="00D42691"/>
    <w:rsid w:val="00D6480F"/>
    <w:rsid w:val="00DB4C78"/>
    <w:rsid w:val="00E14D23"/>
    <w:rsid w:val="00E2207F"/>
    <w:rsid w:val="00E65751"/>
    <w:rsid w:val="00EF6509"/>
    <w:rsid w:val="00F56C42"/>
    <w:rsid w:val="00F57258"/>
    <w:rsid w:val="014C2837"/>
    <w:rsid w:val="015655FA"/>
    <w:rsid w:val="01570D5D"/>
    <w:rsid w:val="015B3720"/>
    <w:rsid w:val="01646915"/>
    <w:rsid w:val="016D6CF1"/>
    <w:rsid w:val="016E562C"/>
    <w:rsid w:val="017F2CC6"/>
    <w:rsid w:val="01A30186"/>
    <w:rsid w:val="01B52F68"/>
    <w:rsid w:val="01DC17D5"/>
    <w:rsid w:val="022809D3"/>
    <w:rsid w:val="024E7788"/>
    <w:rsid w:val="02781AA3"/>
    <w:rsid w:val="02950311"/>
    <w:rsid w:val="029D0B1F"/>
    <w:rsid w:val="02A21F92"/>
    <w:rsid w:val="02B96DF8"/>
    <w:rsid w:val="02DD2E7D"/>
    <w:rsid w:val="02FF4C2D"/>
    <w:rsid w:val="0336483E"/>
    <w:rsid w:val="03645476"/>
    <w:rsid w:val="037816F6"/>
    <w:rsid w:val="03C621FA"/>
    <w:rsid w:val="03E37D3F"/>
    <w:rsid w:val="03E96D2D"/>
    <w:rsid w:val="0414584A"/>
    <w:rsid w:val="042E2F98"/>
    <w:rsid w:val="045C6AAA"/>
    <w:rsid w:val="047C6159"/>
    <w:rsid w:val="04A12891"/>
    <w:rsid w:val="04A1672B"/>
    <w:rsid w:val="04BA5B5E"/>
    <w:rsid w:val="04BE3F78"/>
    <w:rsid w:val="04C77B5B"/>
    <w:rsid w:val="04D270DE"/>
    <w:rsid w:val="04F358C8"/>
    <w:rsid w:val="04FF0498"/>
    <w:rsid w:val="051E35D6"/>
    <w:rsid w:val="051F0768"/>
    <w:rsid w:val="052B69BA"/>
    <w:rsid w:val="05354135"/>
    <w:rsid w:val="054B335C"/>
    <w:rsid w:val="055779A1"/>
    <w:rsid w:val="05AB513E"/>
    <w:rsid w:val="05B466FD"/>
    <w:rsid w:val="05BF7885"/>
    <w:rsid w:val="05DB5988"/>
    <w:rsid w:val="05FA70D5"/>
    <w:rsid w:val="06275EB7"/>
    <w:rsid w:val="063A1AF3"/>
    <w:rsid w:val="06A71595"/>
    <w:rsid w:val="06C72473"/>
    <w:rsid w:val="06D62EAB"/>
    <w:rsid w:val="06EE00DB"/>
    <w:rsid w:val="06F31023"/>
    <w:rsid w:val="06FC71A9"/>
    <w:rsid w:val="070F0E6A"/>
    <w:rsid w:val="071B2350"/>
    <w:rsid w:val="07216AA6"/>
    <w:rsid w:val="0733686C"/>
    <w:rsid w:val="073C69C7"/>
    <w:rsid w:val="078821EA"/>
    <w:rsid w:val="07891CF5"/>
    <w:rsid w:val="07A84945"/>
    <w:rsid w:val="07AB5026"/>
    <w:rsid w:val="07C4602B"/>
    <w:rsid w:val="07C71637"/>
    <w:rsid w:val="07E57C01"/>
    <w:rsid w:val="07E750A1"/>
    <w:rsid w:val="07ED38B1"/>
    <w:rsid w:val="080A390E"/>
    <w:rsid w:val="081436D7"/>
    <w:rsid w:val="08360EBD"/>
    <w:rsid w:val="0844731B"/>
    <w:rsid w:val="084A6B90"/>
    <w:rsid w:val="084F46A3"/>
    <w:rsid w:val="089030D1"/>
    <w:rsid w:val="08923A0A"/>
    <w:rsid w:val="08CA4371"/>
    <w:rsid w:val="08D213C3"/>
    <w:rsid w:val="08D423D7"/>
    <w:rsid w:val="08D770BD"/>
    <w:rsid w:val="08EE79F6"/>
    <w:rsid w:val="091306C8"/>
    <w:rsid w:val="092678D8"/>
    <w:rsid w:val="093A3BFB"/>
    <w:rsid w:val="096F20EA"/>
    <w:rsid w:val="09A401F8"/>
    <w:rsid w:val="09B7748A"/>
    <w:rsid w:val="09D569C0"/>
    <w:rsid w:val="09F65197"/>
    <w:rsid w:val="09F705A2"/>
    <w:rsid w:val="0A005681"/>
    <w:rsid w:val="0A101453"/>
    <w:rsid w:val="0A1C5163"/>
    <w:rsid w:val="0A3132BF"/>
    <w:rsid w:val="0A6173BA"/>
    <w:rsid w:val="0A651F22"/>
    <w:rsid w:val="0A6C1F16"/>
    <w:rsid w:val="0A756E5F"/>
    <w:rsid w:val="0A8E7AB8"/>
    <w:rsid w:val="0ACD7CE5"/>
    <w:rsid w:val="0AE22005"/>
    <w:rsid w:val="0AE5164D"/>
    <w:rsid w:val="0B0D34A8"/>
    <w:rsid w:val="0B2507CB"/>
    <w:rsid w:val="0B3271F6"/>
    <w:rsid w:val="0B341189"/>
    <w:rsid w:val="0B4657CF"/>
    <w:rsid w:val="0B4E210E"/>
    <w:rsid w:val="0B893CB3"/>
    <w:rsid w:val="0B9B7169"/>
    <w:rsid w:val="0BA65F9B"/>
    <w:rsid w:val="0BC97FC3"/>
    <w:rsid w:val="0BCC7675"/>
    <w:rsid w:val="0BD50A85"/>
    <w:rsid w:val="0BFA5244"/>
    <w:rsid w:val="0C2A4D93"/>
    <w:rsid w:val="0C3813C6"/>
    <w:rsid w:val="0C454130"/>
    <w:rsid w:val="0C52592B"/>
    <w:rsid w:val="0C53079F"/>
    <w:rsid w:val="0C62483F"/>
    <w:rsid w:val="0C8915C8"/>
    <w:rsid w:val="0CA60696"/>
    <w:rsid w:val="0CBD0A16"/>
    <w:rsid w:val="0CC933F5"/>
    <w:rsid w:val="0D0E1481"/>
    <w:rsid w:val="0D4E7F42"/>
    <w:rsid w:val="0D6E0B15"/>
    <w:rsid w:val="0DA20FDD"/>
    <w:rsid w:val="0DC8764A"/>
    <w:rsid w:val="0DE15C7F"/>
    <w:rsid w:val="0DEC3165"/>
    <w:rsid w:val="0DF76554"/>
    <w:rsid w:val="0DFF6038"/>
    <w:rsid w:val="0E365784"/>
    <w:rsid w:val="0E454909"/>
    <w:rsid w:val="0E503697"/>
    <w:rsid w:val="0E507B66"/>
    <w:rsid w:val="0E5967BE"/>
    <w:rsid w:val="0E5E5C3A"/>
    <w:rsid w:val="0E700D12"/>
    <w:rsid w:val="0E8107B8"/>
    <w:rsid w:val="0EA0312F"/>
    <w:rsid w:val="0EB16A61"/>
    <w:rsid w:val="0EB95A30"/>
    <w:rsid w:val="0EF71FEA"/>
    <w:rsid w:val="0EFB2D71"/>
    <w:rsid w:val="0F1A2FA8"/>
    <w:rsid w:val="0F2F2A33"/>
    <w:rsid w:val="0F334BC3"/>
    <w:rsid w:val="0F543F9E"/>
    <w:rsid w:val="0F5857BE"/>
    <w:rsid w:val="0F59485F"/>
    <w:rsid w:val="0F826673"/>
    <w:rsid w:val="0FC318A0"/>
    <w:rsid w:val="0FDF20D7"/>
    <w:rsid w:val="0FF379A2"/>
    <w:rsid w:val="0FF63BBF"/>
    <w:rsid w:val="10154A88"/>
    <w:rsid w:val="105852F3"/>
    <w:rsid w:val="109E7F25"/>
    <w:rsid w:val="10B41601"/>
    <w:rsid w:val="10E302DB"/>
    <w:rsid w:val="11095E02"/>
    <w:rsid w:val="112C3FE5"/>
    <w:rsid w:val="11300EFF"/>
    <w:rsid w:val="11431D3C"/>
    <w:rsid w:val="11506F19"/>
    <w:rsid w:val="116D107D"/>
    <w:rsid w:val="11754A92"/>
    <w:rsid w:val="119A1CCC"/>
    <w:rsid w:val="119D4E37"/>
    <w:rsid w:val="11AA4673"/>
    <w:rsid w:val="11BC6A08"/>
    <w:rsid w:val="11E85E4E"/>
    <w:rsid w:val="11F22252"/>
    <w:rsid w:val="122601CD"/>
    <w:rsid w:val="122D149A"/>
    <w:rsid w:val="1242711C"/>
    <w:rsid w:val="126D023F"/>
    <w:rsid w:val="1278117E"/>
    <w:rsid w:val="12825F7B"/>
    <w:rsid w:val="12C53D1A"/>
    <w:rsid w:val="12C619CF"/>
    <w:rsid w:val="12D53BA1"/>
    <w:rsid w:val="12F00C97"/>
    <w:rsid w:val="12F95DC6"/>
    <w:rsid w:val="13077DAB"/>
    <w:rsid w:val="134551AF"/>
    <w:rsid w:val="135E3B9F"/>
    <w:rsid w:val="13A52067"/>
    <w:rsid w:val="13C45183"/>
    <w:rsid w:val="13DB7CB6"/>
    <w:rsid w:val="13DD13FC"/>
    <w:rsid w:val="13E60F04"/>
    <w:rsid w:val="13E84F34"/>
    <w:rsid w:val="13F26926"/>
    <w:rsid w:val="13FA5E63"/>
    <w:rsid w:val="14043F29"/>
    <w:rsid w:val="14157025"/>
    <w:rsid w:val="14441C00"/>
    <w:rsid w:val="1487046B"/>
    <w:rsid w:val="14BA3E02"/>
    <w:rsid w:val="14F15E1C"/>
    <w:rsid w:val="14FC3FEF"/>
    <w:rsid w:val="15043981"/>
    <w:rsid w:val="151334BB"/>
    <w:rsid w:val="15191C22"/>
    <w:rsid w:val="15193238"/>
    <w:rsid w:val="151C2B49"/>
    <w:rsid w:val="15204BAD"/>
    <w:rsid w:val="15485403"/>
    <w:rsid w:val="157A7DCF"/>
    <w:rsid w:val="15A22285"/>
    <w:rsid w:val="15C50412"/>
    <w:rsid w:val="15E949D1"/>
    <w:rsid w:val="15F94027"/>
    <w:rsid w:val="16443EDA"/>
    <w:rsid w:val="166373E3"/>
    <w:rsid w:val="166B155C"/>
    <w:rsid w:val="16716F44"/>
    <w:rsid w:val="168B6417"/>
    <w:rsid w:val="16C4151E"/>
    <w:rsid w:val="16D3483C"/>
    <w:rsid w:val="16EE161B"/>
    <w:rsid w:val="16FE3877"/>
    <w:rsid w:val="17170AB9"/>
    <w:rsid w:val="1760725B"/>
    <w:rsid w:val="17825E9F"/>
    <w:rsid w:val="17CC0E51"/>
    <w:rsid w:val="17D875B5"/>
    <w:rsid w:val="17E55E55"/>
    <w:rsid w:val="17F15864"/>
    <w:rsid w:val="17FC0F19"/>
    <w:rsid w:val="17FD6228"/>
    <w:rsid w:val="180641A5"/>
    <w:rsid w:val="181B4E48"/>
    <w:rsid w:val="18202287"/>
    <w:rsid w:val="183E7578"/>
    <w:rsid w:val="18610970"/>
    <w:rsid w:val="1862351A"/>
    <w:rsid w:val="188C1B2F"/>
    <w:rsid w:val="18AE2BD6"/>
    <w:rsid w:val="18AE79C1"/>
    <w:rsid w:val="18DB623A"/>
    <w:rsid w:val="18E2277D"/>
    <w:rsid w:val="18F71A41"/>
    <w:rsid w:val="190E6B77"/>
    <w:rsid w:val="191126A6"/>
    <w:rsid w:val="192A2DCC"/>
    <w:rsid w:val="192E637B"/>
    <w:rsid w:val="193122C4"/>
    <w:rsid w:val="19367AE1"/>
    <w:rsid w:val="193E6156"/>
    <w:rsid w:val="1945010D"/>
    <w:rsid w:val="195A007D"/>
    <w:rsid w:val="19777E10"/>
    <w:rsid w:val="19823696"/>
    <w:rsid w:val="198A32AC"/>
    <w:rsid w:val="19911A5C"/>
    <w:rsid w:val="19AD680A"/>
    <w:rsid w:val="19B24AAB"/>
    <w:rsid w:val="19C52804"/>
    <w:rsid w:val="19DB477D"/>
    <w:rsid w:val="19DF60AB"/>
    <w:rsid w:val="19F53A23"/>
    <w:rsid w:val="1A2023CB"/>
    <w:rsid w:val="1A383815"/>
    <w:rsid w:val="1A3D2DC8"/>
    <w:rsid w:val="1A454D58"/>
    <w:rsid w:val="1A664D52"/>
    <w:rsid w:val="1AB40F4B"/>
    <w:rsid w:val="1AC31F65"/>
    <w:rsid w:val="1ACC2F90"/>
    <w:rsid w:val="1AD92C1A"/>
    <w:rsid w:val="1B000E3C"/>
    <w:rsid w:val="1B0A495A"/>
    <w:rsid w:val="1B1D2BE0"/>
    <w:rsid w:val="1B300FA8"/>
    <w:rsid w:val="1B511A26"/>
    <w:rsid w:val="1B61464C"/>
    <w:rsid w:val="1B6C4A2B"/>
    <w:rsid w:val="1B747453"/>
    <w:rsid w:val="1B783504"/>
    <w:rsid w:val="1B8A4536"/>
    <w:rsid w:val="1B965299"/>
    <w:rsid w:val="1B976449"/>
    <w:rsid w:val="1BC0449B"/>
    <w:rsid w:val="1BEC2AF5"/>
    <w:rsid w:val="1BFE4AE6"/>
    <w:rsid w:val="1C056233"/>
    <w:rsid w:val="1C290DE6"/>
    <w:rsid w:val="1C420D89"/>
    <w:rsid w:val="1C5125EB"/>
    <w:rsid w:val="1C633D83"/>
    <w:rsid w:val="1C663441"/>
    <w:rsid w:val="1C8B3255"/>
    <w:rsid w:val="1C8B6091"/>
    <w:rsid w:val="1CA54F25"/>
    <w:rsid w:val="1CAE5D87"/>
    <w:rsid w:val="1CB23D64"/>
    <w:rsid w:val="1CB93BEE"/>
    <w:rsid w:val="1CCD1173"/>
    <w:rsid w:val="1CD00DB8"/>
    <w:rsid w:val="1CF351CC"/>
    <w:rsid w:val="1D0F7AED"/>
    <w:rsid w:val="1D272C86"/>
    <w:rsid w:val="1D7D3985"/>
    <w:rsid w:val="1D85480E"/>
    <w:rsid w:val="1D8B62B3"/>
    <w:rsid w:val="1D9D5822"/>
    <w:rsid w:val="1DAA5E3D"/>
    <w:rsid w:val="1DAB299F"/>
    <w:rsid w:val="1DB14468"/>
    <w:rsid w:val="1DC3155C"/>
    <w:rsid w:val="1DE07A72"/>
    <w:rsid w:val="1E185B54"/>
    <w:rsid w:val="1E3E442A"/>
    <w:rsid w:val="1E4B3C8E"/>
    <w:rsid w:val="1E6123C8"/>
    <w:rsid w:val="1E786377"/>
    <w:rsid w:val="1EAB79A9"/>
    <w:rsid w:val="1EAD5C2B"/>
    <w:rsid w:val="1EB45F0B"/>
    <w:rsid w:val="1EB768D7"/>
    <w:rsid w:val="1EBE31D9"/>
    <w:rsid w:val="1EE84CA3"/>
    <w:rsid w:val="1F221553"/>
    <w:rsid w:val="1F2D7AA5"/>
    <w:rsid w:val="1F40253B"/>
    <w:rsid w:val="1F4D2D7D"/>
    <w:rsid w:val="1F726689"/>
    <w:rsid w:val="1F7537E1"/>
    <w:rsid w:val="1F936BED"/>
    <w:rsid w:val="1FF65427"/>
    <w:rsid w:val="20296996"/>
    <w:rsid w:val="203236C6"/>
    <w:rsid w:val="203A78F6"/>
    <w:rsid w:val="20420A1C"/>
    <w:rsid w:val="206150C6"/>
    <w:rsid w:val="20797C6A"/>
    <w:rsid w:val="207A6D42"/>
    <w:rsid w:val="208F6794"/>
    <w:rsid w:val="20922F39"/>
    <w:rsid w:val="20A570A9"/>
    <w:rsid w:val="20C652F9"/>
    <w:rsid w:val="21381A0E"/>
    <w:rsid w:val="21482A4B"/>
    <w:rsid w:val="2156655C"/>
    <w:rsid w:val="215E1CF8"/>
    <w:rsid w:val="21746648"/>
    <w:rsid w:val="219D2B1F"/>
    <w:rsid w:val="21CC2478"/>
    <w:rsid w:val="21DE51C6"/>
    <w:rsid w:val="21EF2AC2"/>
    <w:rsid w:val="21F92401"/>
    <w:rsid w:val="21F9507F"/>
    <w:rsid w:val="22093705"/>
    <w:rsid w:val="22123BD3"/>
    <w:rsid w:val="2214323E"/>
    <w:rsid w:val="22434B2C"/>
    <w:rsid w:val="22625888"/>
    <w:rsid w:val="22834E42"/>
    <w:rsid w:val="22FE1F9E"/>
    <w:rsid w:val="23111B1F"/>
    <w:rsid w:val="23595EFE"/>
    <w:rsid w:val="235E14DE"/>
    <w:rsid w:val="237D0DDC"/>
    <w:rsid w:val="23970112"/>
    <w:rsid w:val="2398537E"/>
    <w:rsid w:val="23A45388"/>
    <w:rsid w:val="23D25201"/>
    <w:rsid w:val="23DA0224"/>
    <w:rsid w:val="23EB6620"/>
    <w:rsid w:val="23EC07E6"/>
    <w:rsid w:val="244B3697"/>
    <w:rsid w:val="247D6642"/>
    <w:rsid w:val="24926B84"/>
    <w:rsid w:val="24950618"/>
    <w:rsid w:val="249E24E6"/>
    <w:rsid w:val="24A65EB9"/>
    <w:rsid w:val="24CA521E"/>
    <w:rsid w:val="24E109BC"/>
    <w:rsid w:val="24F52BB7"/>
    <w:rsid w:val="24F77E70"/>
    <w:rsid w:val="24F83E0D"/>
    <w:rsid w:val="24F9549F"/>
    <w:rsid w:val="252E1A56"/>
    <w:rsid w:val="25424CC7"/>
    <w:rsid w:val="25551519"/>
    <w:rsid w:val="25704194"/>
    <w:rsid w:val="257F0877"/>
    <w:rsid w:val="258261F6"/>
    <w:rsid w:val="25C1156B"/>
    <w:rsid w:val="25CC0C4D"/>
    <w:rsid w:val="25EC1E12"/>
    <w:rsid w:val="25F76959"/>
    <w:rsid w:val="25F84850"/>
    <w:rsid w:val="26052608"/>
    <w:rsid w:val="26580945"/>
    <w:rsid w:val="265E0C86"/>
    <w:rsid w:val="266D3C4E"/>
    <w:rsid w:val="26755E0B"/>
    <w:rsid w:val="26762E6F"/>
    <w:rsid w:val="26A5428F"/>
    <w:rsid w:val="26AC41BB"/>
    <w:rsid w:val="26BC75CF"/>
    <w:rsid w:val="26C91BC3"/>
    <w:rsid w:val="26CA500F"/>
    <w:rsid w:val="26CD2850"/>
    <w:rsid w:val="26DA7AD2"/>
    <w:rsid w:val="26E51A2D"/>
    <w:rsid w:val="26ED2FF9"/>
    <w:rsid w:val="27041887"/>
    <w:rsid w:val="2722060D"/>
    <w:rsid w:val="272C10A8"/>
    <w:rsid w:val="2758371B"/>
    <w:rsid w:val="27E3302F"/>
    <w:rsid w:val="28060208"/>
    <w:rsid w:val="283449E4"/>
    <w:rsid w:val="283556FC"/>
    <w:rsid w:val="284738FE"/>
    <w:rsid w:val="285F2BEA"/>
    <w:rsid w:val="287215CE"/>
    <w:rsid w:val="2875589C"/>
    <w:rsid w:val="288C6EC7"/>
    <w:rsid w:val="28D00B12"/>
    <w:rsid w:val="28D41370"/>
    <w:rsid w:val="28F43FA3"/>
    <w:rsid w:val="290D54E8"/>
    <w:rsid w:val="295047EF"/>
    <w:rsid w:val="296137EC"/>
    <w:rsid w:val="29660E4D"/>
    <w:rsid w:val="298861CD"/>
    <w:rsid w:val="298941C6"/>
    <w:rsid w:val="29B35E27"/>
    <w:rsid w:val="29B73089"/>
    <w:rsid w:val="29E71D26"/>
    <w:rsid w:val="2A02274B"/>
    <w:rsid w:val="2A15113F"/>
    <w:rsid w:val="2A317D0D"/>
    <w:rsid w:val="2A6B6A94"/>
    <w:rsid w:val="2A775458"/>
    <w:rsid w:val="2A8E17DA"/>
    <w:rsid w:val="2A904FD4"/>
    <w:rsid w:val="2AC94C7A"/>
    <w:rsid w:val="2ACC3E3A"/>
    <w:rsid w:val="2AE32517"/>
    <w:rsid w:val="2AF8638E"/>
    <w:rsid w:val="2AFC51A6"/>
    <w:rsid w:val="2B0A04D6"/>
    <w:rsid w:val="2B0E6D58"/>
    <w:rsid w:val="2B122D23"/>
    <w:rsid w:val="2B1A49A7"/>
    <w:rsid w:val="2B1E2966"/>
    <w:rsid w:val="2B547CEC"/>
    <w:rsid w:val="2B852CC8"/>
    <w:rsid w:val="2B8D6736"/>
    <w:rsid w:val="2B93460B"/>
    <w:rsid w:val="2B9F0029"/>
    <w:rsid w:val="2BA64322"/>
    <w:rsid w:val="2BD317B2"/>
    <w:rsid w:val="2BE41A11"/>
    <w:rsid w:val="2BFF34D9"/>
    <w:rsid w:val="2C2B147A"/>
    <w:rsid w:val="2C33457B"/>
    <w:rsid w:val="2C3446F5"/>
    <w:rsid w:val="2C6432A7"/>
    <w:rsid w:val="2C903C93"/>
    <w:rsid w:val="2CD10C13"/>
    <w:rsid w:val="2D4F7924"/>
    <w:rsid w:val="2D662C98"/>
    <w:rsid w:val="2D7C1036"/>
    <w:rsid w:val="2D8945BD"/>
    <w:rsid w:val="2D936FC8"/>
    <w:rsid w:val="2DA21687"/>
    <w:rsid w:val="2DB07448"/>
    <w:rsid w:val="2DBA7D65"/>
    <w:rsid w:val="2DBB7D13"/>
    <w:rsid w:val="2DC1666E"/>
    <w:rsid w:val="2DE8461A"/>
    <w:rsid w:val="2E242343"/>
    <w:rsid w:val="2E2E4D31"/>
    <w:rsid w:val="2E377DA7"/>
    <w:rsid w:val="2E5C11E0"/>
    <w:rsid w:val="2E5F1BD6"/>
    <w:rsid w:val="2E7C2D00"/>
    <w:rsid w:val="2EA95C79"/>
    <w:rsid w:val="2EB43B23"/>
    <w:rsid w:val="2EB74625"/>
    <w:rsid w:val="2EC8543E"/>
    <w:rsid w:val="2EE17F24"/>
    <w:rsid w:val="2F1A4FD3"/>
    <w:rsid w:val="2F262A53"/>
    <w:rsid w:val="2F2746C9"/>
    <w:rsid w:val="2F362291"/>
    <w:rsid w:val="2F39055F"/>
    <w:rsid w:val="2F3D2C94"/>
    <w:rsid w:val="2F48459C"/>
    <w:rsid w:val="2F6874D4"/>
    <w:rsid w:val="2F7A0DA1"/>
    <w:rsid w:val="2F8B1D01"/>
    <w:rsid w:val="2FA94C6C"/>
    <w:rsid w:val="2FA96533"/>
    <w:rsid w:val="2FD62ECD"/>
    <w:rsid w:val="2FD74B58"/>
    <w:rsid w:val="2FEE3E50"/>
    <w:rsid w:val="2FF23DB2"/>
    <w:rsid w:val="2FF278EA"/>
    <w:rsid w:val="3021738F"/>
    <w:rsid w:val="3070019B"/>
    <w:rsid w:val="307716D8"/>
    <w:rsid w:val="30E545E0"/>
    <w:rsid w:val="312A6BEF"/>
    <w:rsid w:val="314C5F45"/>
    <w:rsid w:val="31717130"/>
    <w:rsid w:val="31A65171"/>
    <w:rsid w:val="31AC0C17"/>
    <w:rsid w:val="31C011D8"/>
    <w:rsid w:val="31DB1AA3"/>
    <w:rsid w:val="31E6737F"/>
    <w:rsid w:val="31FC7367"/>
    <w:rsid w:val="32427F39"/>
    <w:rsid w:val="327973DF"/>
    <w:rsid w:val="328D52FD"/>
    <w:rsid w:val="32E623DF"/>
    <w:rsid w:val="32FF4674"/>
    <w:rsid w:val="33215C2E"/>
    <w:rsid w:val="333079CA"/>
    <w:rsid w:val="33315B86"/>
    <w:rsid w:val="3349755A"/>
    <w:rsid w:val="335F0808"/>
    <w:rsid w:val="336A5AEC"/>
    <w:rsid w:val="33CF1941"/>
    <w:rsid w:val="33FC1DF3"/>
    <w:rsid w:val="34194045"/>
    <w:rsid w:val="341958EC"/>
    <w:rsid w:val="341C4DA7"/>
    <w:rsid w:val="342C61B7"/>
    <w:rsid w:val="344A5E04"/>
    <w:rsid w:val="3455230A"/>
    <w:rsid w:val="34875A03"/>
    <w:rsid w:val="34892F5C"/>
    <w:rsid w:val="34923479"/>
    <w:rsid w:val="34AC2472"/>
    <w:rsid w:val="34C96C2C"/>
    <w:rsid w:val="34E63892"/>
    <w:rsid w:val="34F02C7C"/>
    <w:rsid w:val="350212F1"/>
    <w:rsid w:val="35232784"/>
    <w:rsid w:val="35244AC2"/>
    <w:rsid w:val="353D3A9C"/>
    <w:rsid w:val="35971390"/>
    <w:rsid w:val="35BA108A"/>
    <w:rsid w:val="35C14735"/>
    <w:rsid w:val="35C166D2"/>
    <w:rsid w:val="35E774F5"/>
    <w:rsid w:val="361D57C6"/>
    <w:rsid w:val="3626299F"/>
    <w:rsid w:val="362F65A8"/>
    <w:rsid w:val="363F4EFA"/>
    <w:rsid w:val="3643352D"/>
    <w:rsid w:val="36854CE8"/>
    <w:rsid w:val="368B7C3E"/>
    <w:rsid w:val="36BC248F"/>
    <w:rsid w:val="36E01456"/>
    <w:rsid w:val="36FF24D3"/>
    <w:rsid w:val="37002940"/>
    <w:rsid w:val="3726314F"/>
    <w:rsid w:val="372A6C7F"/>
    <w:rsid w:val="374240AD"/>
    <w:rsid w:val="37531041"/>
    <w:rsid w:val="37807C10"/>
    <w:rsid w:val="378E7E19"/>
    <w:rsid w:val="3791338C"/>
    <w:rsid w:val="37AD617B"/>
    <w:rsid w:val="37D07FCA"/>
    <w:rsid w:val="37EF1CBC"/>
    <w:rsid w:val="38070C89"/>
    <w:rsid w:val="380E16D4"/>
    <w:rsid w:val="382907FA"/>
    <w:rsid w:val="38424634"/>
    <w:rsid w:val="38690710"/>
    <w:rsid w:val="38921C3C"/>
    <w:rsid w:val="3892210A"/>
    <w:rsid w:val="38995082"/>
    <w:rsid w:val="38A603BF"/>
    <w:rsid w:val="39006B08"/>
    <w:rsid w:val="3918250F"/>
    <w:rsid w:val="391B5901"/>
    <w:rsid w:val="3927204A"/>
    <w:rsid w:val="39386131"/>
    <w:rsid w:val="396A5A4D"/>
    <w:rsid w:val="396D7394"/>
    <w:rsid w:val="39734BDC"/>
    <w:rsid w:val="399B627E"/>
    <w:rsid w:val="39AD1CA9"/>
    <w:rsid w:val="39DE6879"/>
    <w:rsid w:val="39F74D1D"/>
    <w:rsid w:val="3A116123"/>
    <w:rsid w:val="3A25389B"/>
    <w:rsid w:val="3A284967"/>
    <w:rsid w:val="3A2E1D8F"/>
    <w:rsid w:val="3A436A5E"/>
    <w:rsid w:val="3A5E0C64"/>
    <w:rsid w:val="3A6546E8"/>
    <w:rsid w:val="3A6D3F21"/>
    <w:rsid w:val="3A846E8E"/>
    <w:rsid w:val="3A9512AD"/>
    <w:rsid w:val="3AA3413A"/>
    <w:rsid w:val="3AB853B0"/>
    <w:rsid w:val="3ABF2040"/>
    <w:rsid w:val="3AFA628E"/>
    <w:rsid w:val="3B2F3A4E"/>
    <w:rsid w:val="3B417802"/>
    <w:rsid w:val="3B5B611D"/>
    <w:rsid w:val="3B873C42"/>
    <w:rsid w:val="3B885ACE"/>
    <w:rsid w:val="3B891CDD"/>
    <w:rsid w:val="3B971ABB"/>
    <w:rsid w:val="3BA328D1"/>
    <w:rsid w:val="3BB33CEA"/>
    <w:rsid w:val="3BE41052"/>
    <w:rsid w:val="3C182A47"/>
    <w:rsid w:val="3C215332"/>
    <w:rsid w:val="3C240AC6"/>
    <w:rsid w:val="3C435500"/>
    <w:rsid w:val="3C6C4C6B"/>
    <w:rsid w:val="3C6E0C8F"/>
    <w:rsid w:val="3C861138"/>
    <w:rsid w:val="3CA4641D"/>
    <w:rsid w:val="3CDA313A"/>
    <w:rsid w:val="3CF20973"/>
    <w:rsid w:val="3D1D7752"/>
    <w:rsid w:val="3D290FC1"/>
    <w:rsid w:val="3D2B2737"/>
    <w:rsid w:val="3D3F5136"/>
    <w:rsid w:val="3D437386"/>
    <w:rsid w:val="3D497CFF"/>
    <w:rsid w:val="3D655C18"/>
    <w:rsid w:val="3D6D7C7E"/>
    <w:rsid w:val="3D902B76"/>
    <w:rsid w:val="3D982634"/>
    <w:rsid w:val="3DB429D1"/>
    <w:rsid w:val="3E2014C7"/>
    <w:rsid w:val="3E695D41"/>
    <w:rsid w:val="3E802CCE"/>
    <w:rsid w:val="3E8C39C7"/>
    <w:rsid w:val="3E9426AA"/>
    <w:rsid w:val="3EA14040"/>
    <w:rsid w:val="3EB76A9F"/>
    <w:rsid w:val="3EDC34E1"/>
    <w:rsid w:val="3EF612F1"/>
    <w:rsid w:val="3F19179B"/>
    <w:rsid w:val="3F293F5E"/>
    <w:rsid w:val="3F74459E"/>
    <w:rsid w:val="3F815036"/>
    <w:rsid w:val="3F904973"/>
    <w:rsid w:val="3FB07732"/>
    <w:rsid w:val="3FBA6C41"/>
    <w:rsid w:val="3FDF3D35"/>
    <w:rsid w:val="3FED627E"/>
    <w:rsid w:val="401160EB"/>
    <w:rsid w:val="40334A09"/>
    <w:rsid w:val="4042358C"/>
    <w:rsid w:val="406C397C"/>
    <w:rsid w:val="40920FB0"/>
    <w:rsid w:val="40994D5B"/>
    <w:rsid w:val="40AD1871"/>
    <w:rsid w:val="40AF540A"/>
    <w:rsid w:val="40C449E1"/>
    <w:rsid w:val="41011B5A"/>
    <w:rsid w:val="41142374"/>
    <w:rsid w:val="412A1F9D"/>
    <w:rsid w:val="417741F5"/>
    <w:rsid w:val="41874A73"/>
    <w:rsid w:val="41AA6FDB"/>
    <w:rsid w:val="41B61EF5"/>
    <w:rsid w:val="41BB2216"/>
    <w:rsid w:val="41C6668F"/>
    <w:rsid w:val="41E50921"/>
    <w:rsid w:val="41E977D2"/>
    <w:rsid w:val="42007C61"/>
    <w:rsid w:val="427D3974"/>
    <w:rsid w:val="428E6EE7"/>
    <w:rsid w:val="42A01318"/>
    <w:rsid w:val="42AA13B9"/>
    <w:rsid w:val="4307208F"/>
    <w:rsid w:val="432D2ECF"/>
    <w:rsid w:val="43377BA0"/>
    <w:rsid w:val="434761FB"/>
    <w:rsid w:val="436E134D"/>
    <w:rsid w:val="43835160"/>
    <w:rsid w:val="44080DC3"/>
    <w:rsid w:val="440A1250"/>
    <w:rsid w:val="445D05A5"/>
    <w:rsid w:val="44791CC5"/>
    <w:rsid w:val="447A16A1"/>
    <w:rsid w:val="449D6F81"/>
    <w:rsid w:val="449E516B"/>
    <w:rsid w:val="44A05C5D"/>
    <w:rsid w:val="44A411E1"/>
    <w:rsid w:val="44A637FA"/>
    <w:rsid w:val="44BC5566"/>
    <w:rsid w:val="44F2720E"/>
    <w:rsid w:val="44F51C69"/>
    <w:rsid w:val="45371F1F"/>
    <w:rsid w:val="45511D9F"/>
    <w:rsid w:val="456C5D8B"/>
    <w:rsid w:val="456E5B3A"/>
    <w:rsid w:val="45806DFF"/>
    <w:rsid w:val="45A02CF6"/>
    <w:rsid w:val="45AE312D"/>
    <w:rsid w:val="45BE583D"/>
    <w:rsid w:val="45D445DA"/>
    <w:rsid w:val="461625F9"/>
    <w:rsid w:val="463278D0"/>
    <w:rsid w:val="464B2E28"/>
    <w:rsid w:val="46681F48"/>
    <w:rsid w:val="468074C3"/>
    <w:rsid w:val="46993FA4"/>
    <w:rsid w:val="46A1066D"/>
    <w:rsid w:val="46BD3F7E"/>
    <w:rsid w:val="46EF3B90"/>
    <w:rsid w:val="46F45446"/>
    <w:rsid w:val="472B04BD"/>
    <w:rsid w:val="47375CD8"/>
    <w:rsid w:val="474042B7"/>
    <w:rsid w:val="476A6CA0"/>
    <w:rsid w:val="478C7FD5"/>
    <w:rsid w:val="47967904"/>
    <w:rsid w:val="47B90907"/>
    <w:rsid w:val="47E02F14"/>
    <w:rsid w:val="47F307BA"/>
    <w:rsid w:val="48004FEE"/>
    <w:rsid w:val="48007583"/>
    <w:rsid w:val="482309A7"/>
    <w:rsid w:val="48525BF3"/>
    <w:rsid w:val="48622C5D"/>
    <w:rsid w:val="489D4DFD"/>
    <w:rsid w:val="48BC2F1C"/>
    <w:rsid w:val="48C71846"/>
    <w:rsid w:val="48DB5E9E"/>
    <w:rsid w:val="48DC5A04"/>
    <w:rsid w:val="48DD0796"/>
    <w:rsid w:val="49137AFC"/>
    <w:rsid w:val="492D744D"/>
    <w:rsid w:val="493521BE"/>
    <w:rsid w:val="493775ED"/>
    <w:rsid w:val="49437E72"/>
    <w:rsid w:val="494B61F6"/>
    <w:rsid w:val="49701DF0"/>
    <w:rsid w:val="497D2FFB"/>
    <w:rsid w:val="49946A0F"/>
    <w:rsid w:val="49B305A0"/>
    <w:rsid w:val="4A4103A5"/>
    <w:rsid w:val="4A620451"/>
    <w:rsid w:val="4A727303"/>
    <w:rsid w:val="4A85192C"/>
    <w:rsid w:val="4A865A3A"/>
    <w:rsid w:val="4A871374"/>
    <w:rsid w:val="4A89466A"/>
    <w:rsid w:val="4AC02D0F"/>
    <w:rsid w:val="4AD73867"/>
    <w:rsid w:val="4AFC152F"/>
    <w:rsid w:val="4AFE6F82"/>
    <w:rsid w:val="4B1457A6"/>
    <w:rsid w:val="4B295C57"/>
    <w:rsid w:val="4B5A7CB3"/>
    <w:rsid w:val="4B5B6BAC"/>
    <w:rsid w:val="4B7226B9"/>
    <w:rsid w:val="4BB15AA3"/>
    <w:rsid w:val="4BBC0282"/>
    <w:rsid w:val="4BD76A9E"/>
    <w:rsid w:val="4BF040A7"/>
    <w:rsid w:val="4BFD3E4C"/>
    <w:rsid w:val="4C0D6273"/>
    <w:rsid w:val="4C2E6AD5"/>
    <w:rsid w:val="4C535B09"/>
    <w:rsid w:val="4C627B8E"/>
    <w:rsid w:val="4CBC4F6C"/>
    <w:rsid w:val="4CC06E9E"/>
    <w:rsid w:val="4CD6788D"/>
    <w:rsid w:val="4CE71B38"/>
    <w:rsid w:val="4D40291E"/>
    <w:rsid w:val="4D452560"/>
    <w:rsid w:val="4D4870DF"/>
    <w:rsid w:val="4D80363C"/>
    <w:rsid w:val="4D914104"/>
    <w:rsid w:val="4D962404"/>
    <w:rsid w:val="4DA1221B"/>
    <w:rsid w:val="4DB8462F"/>
    <w:rsid w:val="4DDB4AF0"/>
    <w:rsid w:val="4DDC1CC2"/>
    <w:rsid w:val="4E04028C"/>
    <w:rsid w:val="4E081CA6"/>
    <w:rsid w:val="4E267095"/>
    <w:rsid w:val="4E327F8C"/>
    <w:rsid w:val="4E4553B5"/>
    <w:rsid w:val="4E5B5F4C"/>
    <w:rsid w:val="4E5D0F4A"/>
    <w:rsid w:val="4E797646"/>
    <w:rsid w:val="4E7C1D33"/>
    <w:rsid w:val="4EB02941"/>
    <w:rsid w:val="4F100462"/>
    <w:rsid w:val="4F181543"/>
    <w:rsid w:val="4F2352B8"/>
    <w:rsid w:val="4F2A1776"/>
    <w:rsid w:val="4F3147CF"/>
    <w:rsid w:val="4F375579"/>
    <w:rsid w:val="4F4305DB"/>
    <w:rsid w:val="4F6C4777"/>
    <w:rsid w:val="4F8E100A"/>
    <w:rsid w:val="4FAC5779"/>
    <w:rsid w:val="4FCF30F4"/>
    <w:rsid w:val="4FE3225B"/>
    <w:rsid w:val="4FE74434"/>
    <w:rsid w:val="4FE8459D"/>
    <w:rsid w:val="501A164E"/>
    <w:rsid w:val="50273655"/>
    <w:rsid w:val="502B72BE"/>
    <w:rsid w:val="50340049"/>
    <w:rsid w:val="503560C9"/>
    <w:rsid w:val="50542A8D"/>
    <w:rsid w:val="506C1BC0"/>
    <w:rsid w:val="506D4E5B"/>
    <w:rsid w:val="507E1501"/>
    <w:rsid w:val="509436A8"/>
    <w:rsid w:val="509D0136"/>
    <w:rsid w:val="50B053E8"/>
    <w:rsid w:val="51B3369E"/>
    <w:rsid w:val="51C50EFD"/>
    <w:rsid w:val="51C57430"/>
    <w:rsid w:val="52055794"/>
    <w:rsid w:val="5209155B"/>
    <w:rsid w:val="524735F6"/>
    <w:rsid w:val="525063A3"/>
    <w:rsid w:val="52902BDF"/>
    <w:rsid w:val="52A7745D"/>
    <w:rsid w:val="52C82A45"/>
    <w:rsid w:val="52DF282E"/>
    <w:rsid w:val="52FA19F2"/>
    <w:rsid w:val="53103798"/>
    <w:rsid w:val="53243CF3"/>
    <w:rsid w:val="53AA6DB4"/>
    <w:rsid w:val="53B41FBD"/>
    <w:rsid w:val="53E023B4"/>
    <w:rsid w:val="53EF051D"/>
    <w:rsid w:val="53EF3529"/>
    <w:rsid w:val="53F51FE3"/>
    <w:rsid w:val="54085B32"/>
    <w:rsid w:val="543D645A"/>
    <w:rsid w:val="546E7616"/>
    <w:rsid w:val="54A62565"/>
    <w:rsid w:val="54C01FDA"/>
    <w:rsid w:val="54C76291"/>
    <w:rsid w:val="55040189"/>
    <w:rsid w:val="555439F3"/>
    <w:rsid w:val="5558077C"/>
    <w:rsid w:val="558D3DAF"/>
    <w:rsid w:val="55A77E93"/>
    <w:rsid w:val="55AC495B"/>
    <w:rsid w:val="55DD49B0"/>
    <w:rsid w:val="56011A8F"/>
    <w:rsid w:val="560D0AC5"/>
    <w:rsid w:val="56266959"/>
    <w:rsid w:val="563A7F6A"/>
    <w:rsid w:val="564D640A"/>
    <w:rsid w:val="56585CE4"/>
    <w:rsid w:val="565B216C"/>
    <w:rsid w:val="56605162"/>
    <w:rsid w:val="566E3505"/>
    <w:rsid w:val="567A580B"/>
    <w:rsid w:val="567B2E00"/>
    <w:rsid w:val="56A3602C"/>
    <w:rsid w:val="56EE0C03"/>
    <w:rsid w:val="56F145C9"/>
    <w:rsid w:val="573B0EDC"/>
    <w:rsid w:val="57413AA2"/>
    <w:rsid w:val="576C2915"/>
    <w:rsid w:val="57901D09"/>
    <w:rsid w:val="579839D8"/>
    <w:rsid w:val="57DE6372"/>
    <w:rsid w:val="57E47442"/>
    <w:rsid w:val="57ED3AF6"/>
    <w:rsid w:val="57EF4304"/>
    <w:rsid w:val="57F46A6C"/>
    <w:rsid w:val="58004FE9"/>
    <w:rsid w:val="58031103"/>
    <w:rsid w:val="580E2D95"/>
    <w:rsid w:val="581F6BA3"/>
    <w:rsid w:val="584C3D4D"/>
    <w:rsid w:val="584E1E55"/>
    <w:rsid w:val="587816CA"/>
    <w:rsid w:val="589259D4"/>
    <w:rsid w:val="58AB6875"/>
    <w:rsid w:val="58B41FCA"/>
    <w:rsid w:val="58F31780"/>
    <w:rsid w:val="58F71328"/>
    <w:rsid w:val="58FC616A"/>
    <w:rsid w:val="58FD5F90"/>
    <w:rsid w:val="5911030C"/>
    <w:rsid w:val="59317633"/>
    <w:rsid w:val="596D40D8"/>
    <w:rsid w:val="598710B0"/>
    <w:rsid w:val="59A040FF"/>
    <w:rsid w:val="59C0328D"/>
    <w:rsid w:val="59E05D5E"/>
    <w:rsid w:val="5A3336F8"/>
    <w:rsid w:val="5A562C50"/>
    <w:rsid w:val="5A7C59B2"/>
    <w:rsid w:val="5A801461"/>
    <w:rsid w:val="5A832770"/>
    <w:rsid w:val="5A9E2AF3"/>
    <w:rsid w:val="5AA7048C"/>
    <w:rsid w:val="5ADD57E0"/>
    <w:rsid w:val="5B1F5BD9"/>
    <w:rsid w:val="5B26533C"/>
    <w:rsid w:val="5B2669D7"/>
    <w:rsid w:val="5B5447EF"/>
    <w:rsid w:val="5B61735E"/>
    <w:rsid w:val="5BA81363"/>
    <w:rsid w:val="5BB70689"/>
    <w:rsid w:val="5BB83152"/>
    <w:rsid w:val="5BF5028D"/>
    <w:rsid w:val="5C013861"/>
    <w:rsid w:val="5C1B03C2"/>
    <w:rsid w:val="5C1F5B01"/>
    <w:rsid w:val="5C55270E"/>
    <w:rsid w:val="5C561637"/>
    <w:rsid w:val="5C56553A"/>
    <w:rsid w:val="5C603148"/>
    <w:rsid w:val="5C7F1F34"/>
    <w:rsid w:val="5CBC374B"/>
    <w:rsid w:val="5D3E0BA4"/>
    <w:rsid w:val="5D3E1552"/>
    <w:rsid w:val="5D577835"/>
    <w:rsid w:val="5D6B5E2C"/>
    <w:rsid w:val="5D761279"/>
    <w:rsid w:val="5D803C3C"/>
    <w:rsid w:val="5D890B74"/>
    <w:rsid w:val="5D8D33E9"/>
    <w:rsid w:val="5DBD639D"/>
    <w:rsid w:val="5DC72D00"/>
    <w:rsid w:val="5DD76EB5"/>
    <w:rsid w:val="5E1A6986"/>
    <w:rsid w:val="5E303B7B"/>
    <w:rsid w:val="5E41718A"/>
    <w:rsid w:val="5E675A61"/>
    <w:rsid w:val="5E6B7B12"/>
    <w:rsid w:val="5E957BD3"/>
    <w:rsid w:val="5E976757"/>
    <w:rsid w:val="5EB119B5"/>
    <w:rsid w:val="5EF164E6"/>
    <w:rsid w:val="5EF444C5"/>
    <w:rsid w:val="5F4A51AA"/>
    <w:rsid w:val="5F625ED9"/>
    <w:rsid w:val="5F851ACA"/>
    <w:rsid w:val="5F9E28F5"/>
    <w:rsid w:val="5FB202B1"/>
    <w:rsid w:val="5FBC0E94"/>
    <w:rsid w:val="5FC37E9B"/>
    <w:rsid w:val="5FD00A3A"/>
    <w:rsid w:val="5FD04C8A"/>
    <w:rsid w:val="5FFE32DC"/>
    <w:rsid w:val="60032DA3"/>
    <w:rsid w:val="60253EDE"/>
    <w:rsid w:val="607046D5"/>
    <w:rsid w:val="607F4D15"/>
    <w:rsid w:val="608E7D4C"/>
    <w:rsid w:val="6096280C"/>
    <w:rsid w:val="60A30284"/>
    <w:rsid w:val="60AD34DC"/>
    <w:rsid w:val="610E1728"/>
    <w:rsid w:val="61545BDE"/>
    <w:rsid w:val="61597F1A"/>
    <w:rsid w:val="617650B4"/>
    <w:rsid w:val="61AC74A0"/>
    <w:rsid w:val="61B95B58"/>
    <w:rsid w:val="620A710A"/>
    <w:rsid w:val="622A208B"/>
    <w:rsid w:val="62451602"/>
    <w:rsid w:val="62507D76"/>
    <w:rsid w:val="628478EA"/>
    <w:rsid w:val="62874EB2"/>
    <w:rsid w:val="628B0FC9"/>
    <w:rsid w:val="62B60795"/>
    <w:rsid w:val="63074981"/>
    <w:rsid w:val="63121D6E"/>
    <w:rsid w:val="631E4483"/>
    <w:rsid w:val="631E7CB8"/>
    <w:rsid w:val="6320599F"/>
    <w:rsid w:val="63397E5C"/>
    <w:rsid w:val="633F42A4"/>
    <w:rsid w:val="63853516"/>
    <w:rsid w:val="63BC4C61"/>
    <w:rsid w:val="63C81FDF"/>
    <w:rsid w:val="63D512C2"/>
    <w:rsid w:val="63F67640"/>
    <w:rsid w:val="63F76EA1"/>
    <w:rsid w:val="63FF5004"/>
    <w:rsid w:val="64103466"/>
    <w:rsid w:val="64442F61"/>
    <w:rsid w:val="646311BA"/>
    <w:rsid w:val="6465341E"/>
    <w:rsid w:val="646B4BA9"/>
    <w:rsid w:val="648B092D"/>
    <w:rsid w:val="64B61ADE"/>
    <w:rsid w:val="64BE23EC"/>
    <w:rsid w:val="64E07BE9"/>
    <w:rsid w:val="64E52967"/>
    <w:rsid w:val="650A3361"/>
    <w:rsid w:val="653025AE"/>
    <w:rsid w:val="65382D9D"/>
    <w:rsid w:val="65837F64"/>
    <w:rsid w:val="65BF13F8"/>
    <w:rsid w:val="65DB7CC4"/>
    <w:rsid w:val="65E03C2D"/>
    <w:rsid w:val="65E868EF"/>
    <w:rsid w:val="66203908"/>
    <w:rsid w:val="662948CC"/>
    <w:rsid w:val="66645F8A"/>
    <w:rsid w:val="667062F2"/>
    <w:rsid w:val="6678223B"/>
    <w:rsid w:val="668809FE"/>
    <w:rsid w:val="66B92BB3"/>
    <w:rsid w:val="66CE22E2"/>
    <w:rsid w:val="66E73FAD"/>
    <w:rsid w:val="66F35734"/>
    <w:rsid w:val="67131EC4"/>
    <w:rsid w:val="67165E63"/>
    <w:rsid w:val="67172BC1"/>
    <w:rsid w:val="672352B4"/>
    <w:rsid w:val="672461D6"/>
    <w:rsid w:val="67317427"/>
    <w:rsid w:val="67376F28"/>
    <w:rsid w:val="673E740F"/>
    <w:rsid w:val="67416127"/>
    <w:rsid w:val="67507233"/>
    <w:rsid w:val="677632AD"/>
    <w:rsid w:val="67810A3C"/>
    <w:rsid w:val="67BD0089"/>
    <w:rsid w:val="67C248F4"/>
    <w:rsid w:val="67EC2B52"/>
    <w:rsid w:val="6828639F"/>
    <w:rsid w:val="68472127"/>
    <w:rsid w:val="6856147B"/>
    <w:rsid w:val="68625C6E"/>
    <w:rsid w:val="68687783"/>
    <w:rsid w:val="68830ED0"/>
    <w:rsid w:val="68896E9A"/>
    <w:rsid w:val="68D33A71"/>
    <w:rsid w:val="68EA50B3"/>
    <w:rsid w:val="68F9148D"/>
    <w:rsid w:val="692C5178"/>
    <w:rsid w:val="6936297E"/>
    <w:rsid w:val="69466352"/>
    <w:rsid w:val="694A3F57"/>
    <w:rsid w:val="695C40F9"/>
    <w:rsid w:val="69785450"/>
    <w:rsid w:val="698224FA"/>
    <w:rsid w:val="69A84DAC"/>
    <w:rsid w:val="69C1580C"/>
    <w:rsid w:val="69C85913"/>
    <w:rsid w:val="69CF47A2"/>
    <w:rsid w:val="6A071116"/>
    <w:rsid w:val="6A2C7E8C"/>
    <w:rsid w:val="6A486C45"/>
    <w:rsid w:val="6A560C02"/>
    <w:rsid w:val="6A855E23"/>
    <w:rsid w:val="6A861F4F"/>
    <w:rsid w:val="6A9041EE"/>
    <w:rsid w:val="6A920613"/>
    <w:rsid w:val="6ABF6C4B"/>
    <w:rsid w:val="6AEE75B3"/>
    <w:rsid w:val="6B0F6D03"/>
    <w:rsid w:val="6B325A8B"/>
    <w:rsid w:val="6B4F302B"/>
    <w:rsid w:val="6B965869"/>
    <w:rsid w:val="6BA2105A"/>
    <w:rsid w:val="6BA359BC"/>
    <w:rsid w:val="6BAD0349"/>
    <w:rsid w:val="6BC03D33"/>
    <w:rsid w:val="6BC33B75"/>
    <w:rsid w:val="6BE35501"/>
    <w:rsid w:val="6C145B3D"/>
    <w:rsid w:val="6C180265"/>
    <w:rsid w:val="6C1D2067"/>
    <w:rsid w:val="6C1F2A7C"/>
    <w:rsid w:val="6C2D5A0B"/>
    <w:rsid w:val="6C871C71"/>
    <w:rsid w:val="6C8B3470"/>
    <w:rsid w:val="6CAC0507"/>
    <w:rsid w:val="6CBC5831"/>
    <w:rsid w:val="6CD41620"/>
    <w:rsid w:val="6CD47B9F"/>
    <w:rsid w:val="6CD77D8C"/>
    <w:rsid w:val="6CE909F7"/>
    <w:rsid w:val="6D08478D"/>
    <w:rsid w:val="6D0C1D62"/>
    <w:rsid w:val="6D2D541E"/>
    <w:rsid w:val="6D7A58CD"/>
    <w:rsid w:val="6D7F3338"/>
    <w:rsid w:val="6D9136EF"/>
    <w:rsid w:val="6DCB397D"/>
    <w:rsid w:val="6DE03907"/>
    <w:rsid w:val="6E17756C"/>
    <w:rsid w:val="6E1D0C7A"/>
    <w:rsid w:val="6E432549"/>
    <w:rsid w:val="6E877BA9"/>
    <w:rsid w:val="6EA72A27"/>
    <w:rsid w:val="6ECA513D"/>
    <w:rsid w:val="6ECF6A81"/>
    <w:rsid w:val="6ED161F7"/>
    <w:rsid w:val="6ED9091E"/>
    <w:rsid w:val="6F095A1A"/>
    <w:rsid w:val="6F353900"/>
    <w:rsid w:val="6F6B797D"/>
    <w:rsid w:val="6F7A556B"/>
    <w:rsid w:val="6FA40BD4"/>
    <w:rsid w:val="6FCB4887"/>
    <w:rsid w:val="6FE86EB0"/>
    <w:rsid w:val="70415022"/>
    <w:rsid w:val="70717A81"/>
    <w:rsid w:val="70796BA1"/>
    <w:rsid w:val="708C4EEC"/>
    <w:rsid w:val="709333C6"/>
    <w:rsid w:val="70B80FF5"/>
    <w:rsid w:val="70C51B23"/>
    <w:rsid w:val="70D15D2D"/>
    <w:rsid w:val="70EC27B8"/>
    <w:rsid w:val="7110423E"/>
    <w:rsid w:val="71211258"/>
    <w:rsid w:val="719E706A"/>
    <w:rsid w:val="71BA37B5"/>
    <w:rsid w:val="71CA1048"/>
    <w:rsid w:val="71CE4F40"/>
    <w:rsid w:val="71D42DB4"/>
    <w:rsid w:val="722B1A3E"/>
    <w:rsid w:val="722F4BA9"/>
    <w:rsid w:val="7264030A"/>
    <w:rsid w:val="72E91BCE"/>
    <w:rsid w:val="72EE1BB8"/>
    <w:rsid w:val="72FB0717"/>
    <w:rsid w:val="7315738A"/>
    <w:rsid w:val="732461C5"/>
    <w:rsid w:val="73274520"/>
    <w:rsid w:val="73411618"/>
    <w:rsid w:val="734421B0"/>
    <w:rsid w:val="73534E19"/>
    <w:rsid w:val="73A31210"/>
    <w:rsid w:val="73A97011"/>
    <w:rsid w:val="73AF4AC1"/>
    <w:rsid w:val="73B52A84"/>
    <w:rsid w:val="73E37D09"/>
    <w:rsid w:val="73FE4E58"/>
    <w:rsid w:val="74010178"/>
    <w:rsid w:val="74233357"/>
    <w:rsid w:val="74357BEB"/>
    <w:rsid w:val="744377E2"/>
    <w:rsid w:val="744576C5"/>
    <w:rsid w:val="74503770"/>
    <w:rsid w:val="745864B2"/>
    <w:rsid w:val="74664581"/>
    <w:rsid w:val="748E7387"/>
    <w:rsid w:val="74AC455A"/>
    <w:rsid w:val="74B126FF"/>
    <w:rsid w:val="74D52A94"/>
    <w:rsid w:val="750D696A"/>
    <w:rsid w:val="75452102"/>
    <w:rsid w:val="754F00EA"/>
    <w:rsid w:val="754F399B"/>
    <w:rsid w:val="75566733"/>
    <w:rsid w:val="75610AFC"/>
    <w:rsid w:val="75B0710D"/>
    <w:rsid w:val="75C41F13"/>
    <w:rsid w:val="75D11E4E"/>
    <w:rsid w:val="76035150"/>
    <w:rsid w:val="761046A1"/>
    <w:rsid w:val="763F0D99"/>
    <w:rsid w:val="767759BD"/>
    <w:rsid w:val="767F4521"/>
    <w:rsid w:val="7697714B"/>
    <w:rsid w:val="76D60F76"/>
    <w:rsid w:val="76F159CA"/>
    <w:rsid w:val="771E4F95"/>
    <w:rsid w:val="773B16CD"/>
    <w:rsid w:val="77521444"/>
    <w:rsid w:val="7764435C"/>
    <w:rsid w:val="77677AC8"/>
    <w:rsid w:val="77734AE4"/>
    <w:rsid w:val="7776091A"/>
    <w:rsid w:val="77AD204A"/>
    <w:rsid w:val="78110741"/>
    <w:rsid w:val="78132769"/>
    <w:rsid w:val="7833711D"/>
    <w:rsid w:val="78394D77"/>
    <w:rsid w:val="784E18E8"/>
    <w:rsid w:val="786926BC"/>
    <w:rsid w:val="787648FD"/>
    <w:rsid w:val="78896A47"/>
    <w:rsid w:val="78B64689"/>
    <w:rsid w:val="78E617AB"/>
    <w:rsid w:val="79151EF4"/>
    <w:rsid w:val="791A7255"/>
    <w:rsid w:val="793F1B72"/>
    <w:rsid w:val="795D3597"/>
    <w:rsid w:val="79A81FD4"/>
    <w:rsid w:val="79BF0486"/>
    <w:rsid w:val="79C0207C"/>
    <w:rsid w:val="7A0A2874"/>
    <w:rsid w:val="7A275CBA"/>
    <w:rsid w:val="7A462D46"/>
    <w:rsid w:val="7A6430A7"/>
    <w:rsid w:val="7AB3687D"/>
    <w:rsid w:val="7AB7363D"/>
    <w:rsid w:val="7ADE2BE4"/>
    <w:rsid w:val="7B17166A"/>
    <w:rsid w:val="7B2367CD"/>
    <w:rsid w:val="7B3E4F4E"/>
    <w:rsid w:val="7B617E11"/>
    <w:rsid w:val="7B9D5474"/>
    <w:rsid w:val="7BD81A70"/>
    <w:rsid w:val="7C055359"/>
    <w:rsid w:val="7C1C46FA"/>
    <w:rsid w:val="7C380791"/>
    <w:rsid w:val="7C5B5C33"/>
    <w:rsid w:val="7C5D0B66"/>
    <w:rsid w:val="7C6302E6"/>
    <w:rsid w:val="7C880667"/>
    <w:rsid w:val="7C9C517D"/>
    <w:rsid w:val="7CD452B6"/>
    <w:rsid w:val="7CE06898"/>
    <w:rsid w:val="7CEA272C"/>
    <w:rsid w:val="7CFC06F8"/>
    <w:rsid w:val="7D1F03AA"/>
    <w:rsid w:val="7D3E1557"/>
    <w:rsid w:val="7D417D7F"/>
    <w:rsid w:val="7D4230DE"/>
    <w:rsid w:val="7D4B4FD0"/>
    <w:rsid w:val="7D65134B"/>
    <w:rsid w:val="7D691A5D"/>
    <w:rsid w:val="7D6D69CE"/>
    <w:rsid w:val="7D904B8C"/>
    <w:rsid w:val="7DBD0933"/>
    <w:rsid w:val="7DD81667"/>
    <w:rsid w:val="7E0D3C7C"/>
    <w:rsid w:val="7E464DDA"/>
    <w:rsid w:val="7E4C48DD"/>
    <w:rsid w:val="7E5622DE"/>
    <w:rsid w:val="7EA14F3A"/>
    <w:rsid w:val="7EC40D20"/>
    <w:rsid w:val="7EE0685A"/>
    <w:rsid w:val="7EF02D7D"/>
    <w:rsid w:val="7EF304DC"/>
    <w:rsid w:val="7EF51293"/>
    <w:rsid w:val="7EFB4BDE"/>
    <w:rsid w:val="7F0356E3"/>
    <w:rsid w:val="7F4560B5"/>
    <w:rsid w:val="7F5472BA"/>
    <w:rsid w:val="7F66103B"/>
    <w:rsid w:val="7F674A76"/>
    <w:rsid w:val="7F836467"/>
    <w:rsid w:val="7FBE42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20" w:lineRule="exact"/>
      <w:ind w:firstLine="200" w:firstLineChars="200"/>
      <w:jc w:val="both"/>
    </w:pPr>
    <w:rPr>
      <w:rFonts w:ascii="Arial" w:hAnsi="Arial" w:eastAsia="仿宋" w:cs="Arial"/>
      <w:kern w:val="2"/>
      <w:sz w:val="28"/>
      <w:szCs w:val="22"/>
      <w:lang w:val="en-US" w:eastAsia="zh-CN" w:bidi="ar-SA"/>
    </w:rPr>
  </w:style>
  <w:style w:type="paragraph" w:styleId="2">
    <w:name w:val="heading 1"/>
    <w:basedOn w:val="1"/>
    <w:next w:val="1"/>
    <w:qFormat/>
    <w:uiPriority w:val="0"/>
    <w:pPr>
      <w:keepNext/>
      <w:keepLines/>
      <w:numPr>
        <w:ilvl w:val="0"/>
        <w:numId w:val="1"/>
      </w:numPr>
      <w:spacing w:before="340" w:after="330" w:line="578" w:lineRule="auto"/>
      <w:ind w:firstLine="723"/>
      <w:outlineLvl w:val="0"/>
    </w:pPr>
    <w:rPr>
      <w:rFonts w:ascii="Times New Roman" w:hAnsi="Times New Roman" w:eastAsia="宋体" w:cs="Times New Roman"/>
      <w:b/>
      <w:bCs/>
      <w:kern w:val="44"/>
      <w:sz w:val="36"/>
      <w:szCs w:val="44"/>
    </w:rPr>
  </w:style>
  <w:style w:type="paragraph" w:styleId="3">
    <w:name w:val="heading 2"/>
    <w:basedOn w:val="1"/>
    <w:next w:val="1"/>
    <w:unhideWhenUsed/>
    <w:qFormat/>
    <w:uiPriority w:val="0"/>
    <w:pPr>
      <w:keepNext/>
      <w:keepLines/>
      <w:numPr>
        <w:ilvl w:val="1"/>
        <w:numId w:val="1"/>
      </w:numPr>
      <w:spacing w:line="480" w:lineRule="auto"/>
      <w:ind w:firstLineChars="0"/>
      <w:outlineLvl w:val="1"/>
    </w:pPr>
    <w:rPr>
      <w:rFonts w:ascii="黑体" w:hAnsi="黑体" w:eastAsia="黑体" w:cs="黑体"/>
      <w:b/>
      <w:bCs/>
      <w:sz w:val="30"/>
      <w:szCs w:val="28"/>
    </w:rPr>
  </w:style>
  <w:style w:type="paragraph" w:styleId="4">
    <w:name w:val="heading 3"/>
    <w:basedOn w:val="1"/>
    <w:next w:val="1"/>
    <w:link w:val="35"/>
    <w:unhideWhenUsed/>
    <w:qFormat/>
    <w:uiPriority w:val="0"/>
    <w:pPr>
      <w:keepNext/>
      <w:keepLines/>
      <w:numPr>
        <w:ilvl w:val="2"/>
        <w:numId w:val="1"/>
      </w:numPr>
      <w:spacing w:before="260" w:after="260" w:line="413" w:lineRule="auto"/>
      <w:ind w:firstLine="0" w:firstLineChars="0"/>
      <w:outlineLvl w:val="2"/>
    </w:pPr>
    <w:rPr>
      <w:b/>
    </w:rPr>
  </w:style>
  <w:style w:type="paragraph" w:styleId="5">
    <w:name w:val="heading 4"/>
    <w:basedOn w:val="1"/>
    <w:next w:val="1"/>
    <w:unhideWhenUsed/>
    <w:qFormat/>
    <w:uiPriority w:val="0"/>
    <w:pPr>
      <w:keepNext/>
      <w:keepLines/>
      <w:numPr>
        <w:ilvl w:val="3"/>
        <w:numId w:val="1"/>
      </w:numPr>
      <w:spacing w:line="360" w:lineRule="auto"/>
      <w:ind w:left="0" w:firstLine="480"/>
      <w:outlineLvl w:val="3"/>
    </w:pPr>
    <w:rPr>
      <w:rFonts w:eastAsia="黑体"/>
      <w:sz w:val="24"/>
      <w:szCs w:val="24"/>
      <w:lang w:val="en-GB"/>
    </w:rPr>
  </w:style>
  <w:style w:type="paragraph" w:styleId="6">
    <w:name w:val="heading 5"/>
    <w:basedOn w:val="1"/>
    <w:next w:val="1"/>
    <w:unhideWhenUsed/>
    <w:qFormat/>
    <w:uiPriority w:val="0"/>
    <w:pPr>
      <w:keepNext/>
      <w:keepLines/>
      <w:numPr>
        <w:ilvl w:val="4"/>
        <w:numId w:val="1"/>
      </w:numPr>
      <w:spacing w:before="280" w:after="290" w:line="372" w:lineRule="auto"/>
      <w:outlineLvl w:val="4"/>
    </w:pPr>
    <w:rPr>
      <w:b/>
    </w:rPr>
  </w:style>
  <w:style w:type="paragraph" w:styleId="7">
    <w:name w:val="heading 6"/>
    <w:basedOn w:val="1"/>
    <w:next w:val="1"/>
    <w:unhideWhenUsed/>
    <w:qFormat/>
    <w:uiPriority w:val="0"/>
    <w:pPr>
      <w:keepNext/>
      <w:keepLines/>
      <w:numPr>
        <w:ilvl w:val="5"/>
        <w:numId w:val="1"/>
      </w:numPr>
      <w:spacing w:before="240" w:after="64" w:line="317" w:lineRule="auto"/>
      <w:outlineLvl w:val="5"/>
    </w:pPr>
    <w:rPr>
      <w:rFonts w:eastAsia="黑体"/>
      <w:b/>
      <w:sz w:val="24"/>
    </w:rPr>
  </w:style>
  <w:style w:type="paragraph" w:styleId="8">
    <w:name w:val="heading 7"/>
    <w:basedOn w:val="1"/>
    <w:next w:val="1"/>
    <w:unhideWhenUsed/>
    <w:qFormat/>
    <w:uiPriority w:val="0"/>
    <w:pPr>
      <w:keepNext/>
      <w:keepLines/>
      <w:numPr>
        <w:ilvl w:val="6"/>
        <w:numId w:val="1"/>
      </w:numPr>
      <w:spacing w:before="240" w:after="64" w:line="317" w:lineRule="auto"/>
      <w:outlineLvl w:val="6"/>
    </w:pPr>
    <w:rPr>
      <w:b/>
      <w:sz w:val="24"/>
    </w:rPr>
  </w:style>
  <w:style w:type="paragraph" w:styleId="9">
    <w:name w:val="heading 8"/>
    <w:basedOn w:val="1"/>
    <w:next w:val="1"/>
    <w:unhideWhenUsed/>
    <w:qFormat/>
    <w:uiPriority w:val="0"/>
    <w:pPr>
      <w:keepNext/>
      <w:keepLines/>
      <w:numPr>
        <w:ilvl w:val="7"/>
        <w:numId w:val="1"/>
      </w:numPr>
      <w:spacing w:before="240" w:after="64" w:line="317" w:lineRule="auto"/>
      <w:outlineLvl w:val="7"/>
    </w:pPr>
    <w:rPr>
      <w:rFonts w:eastAsia="黑体"/>
      <w:sz w:val="24"/>
    </w:rPr>
  </w:style>
  <w:style w:type="paragraph" w:styleId="10">
    <w:name w:val="heading 9"/>
    <w:basedOn w:val="1"/>
    <w:next w:val="1"/>
    <w:unhideWhenUsed/>
    <w:qFormat/>
    <w:uiPriority w:val="0"/>
    <w:pPr>
      <w:keepNext/>
      <w:keepLines/>
      <w:numPr>
        <w:ilvl w:val="8"/>
        <w:numId w:val="1"/>
      </w:numPr>
      <w:spacing w:before="240" w:after="64" w:line="317" w:lineRule="auto"/>
      <w:outlineLvl w:val="8"/>
    </w:pPr>
    <w:rPr>
      <w:rFonts w:eastAsia="黑体"/>
      <w:sz w:val="21"/>
    </w:rPr>
  </w:style>
  <w:style w:type="character" w:default="1" w:styleId="29">
    <w:name w:val="Default Paragraph Font"/>
    <w:unhideWhenUsed/>
    <w:qFormat/>
    <w:uiPriority w:val="1"/>
  </w:style>
  <w:style w:type="table" w:default="1" w:styleId="33">
    <w:name w:val="Normal Table"/>
    <w:unhideWhenUsed/>
    <w:qFormat/>
    <w:uiPriority w:val="99"/>
    <w:tblPr>
      <w:tblLayout w:type="fixed"/>
      <w:tblCellMar>
        <w:top w:w="0" w:type="dxa"/>
        <w:left w:w="108" w:type="dxa"/>
        <w:bottom w:w="0" w:type="dxa"/>
        <w:right w:w="108" w:type="dxa"/>
      </w:tblCellMar>
    </w:tblPr>
  </w:style>
  <w:style w:type="paragraph" w:styleId="11">
    <w:name w:val="toc 7"/>
    <w:basedOn w:val="1"/>
    <w:next w:val="1"/>
    <w:qFormat/>
    <w:uiPriority w:val="0"/>
    <w:pPr>
      <w:ind w:left="2520" w:leftChars="1200"/>
    </w:pPr>
  </w:style>
  <w:style w:type="paragraph" w:styleId="12">
    <w:name w:val="Normal Indent"/>
    <w:basedOn w:val="1"/>
    <w:qFormat/>
    <w:uiPriority w:val="0"/>
    <w:pPr>
      <w:ind w:firstLine="420"/>
    </w:pPr>
  </w:style>
  <w:style w:type="paragraph" w:styleId="13">
    <w:name w:val="caption"/>
    <w:basedOn w:val="1"/>
    <w:next w:val="1"/>
    <w:unhideWhenUsed/>
    <w:qFormat/>
    <w:uiPriority w:val="0"/>
    <w:rPr>
      <w:rFonts w:eastAsia="黑体"/>
      <w:sz w:val="20"/>
    </w:rPr>
  </w:style>
  <w:style w:type="paragraph" w:styleId="14">
    <w:name w:val="annotation text"/>
    <w:basedOn w:val="1"/>
    <w:qFormat/>
    <w:uiPriority w:val="0"/>
    <w:pPr>
      <w:jc w:val="left"/>
    </w:pPr>
    <w:rPr>
      <w:rFonts w:cs="Times New Roman"/>
    </w:rPr>
  </w:style>
  <w:style w:type="paragraph" w:styleId="15">
    <w:name w:val="toc 5"/>
    <w:basedOn w:val="1"/>
    <w:next w:val="1"/>
    <w:qFormat/>
    <w:uiPriority w:val="0"/>
    <w:pPr>
      <w:ind w:left="1680" w:leftChars="800"/>
    </w:pPr>
  </w:style>
  <w:style w:type="paragraph" w:styleId="16">
    <w:name w:val="toc 3"/>
    <w:basedOn w:val="1"/>
    <w:next w:val="1"/>
    <w:qFormat/>
    <w:uiPriority w:val="0"/>
    <w:pPr>
      <w:ind w:left="840" w:leftChars="400"/>
    </w:pPr>
  </w:style>
  <w:style w:type="paragraph" w:styleId="17">
    <w:name w:val="toc 8"/>
    <w:basedOn w:val="1"/>
    <w:next w:val="1"/>
    <w:qFormat/>
    <w:uiPriority w:val="0"/>
    <w:pPr>
      <w:ind w:left="2940" w:leftChars="1400"/>
    </w:pPr>
  </w:style>
  <w:style w:type="paragraph" w:styleId="18">
    <w:name w:val="Body Text Indent 2"/>
    <w:basedOn w:val="1"/>
    <w:qFormat/>
    <w:uiPriority w:val="0"/>
    <w:pPr>
      <w:ind w:firstLine="403"/>
    </w:pPr>
    <w:rPr>
      <w:rFonts w:ascii="宋体" w:hAnsi="宋体"/>
      <w:szCs w:val="20"/>
    </w:rPr>
  </w:style>
  <w:style w:type="paragraph" w:styleId="19">
    <w:name w:val="Balloon Text"/>
    <w:basedOn w:val="1"/>
    <w:link w:val="52"/>
    <w:qFormat/>
    <w:uiPriority w:val="0"/>
    <w:pPr>
      <w:spacing w:line="240" w:lineRule="auto"/>
    </w:pPr>
    <w:rPr>
      <w:sz w:val="18"/>
      <w:szCs w:val="18"/>
    </w:rPr>
  </w:style>
  <w:style w:type="paragraph" w:styleId="20">
    <w:name w:val="footer"/>
    <w:basedOn w:val="1"/>
    <w:qFormat/>
    <w:uiPriority w:val="0"/>
    <w:pPr>
      <w:tabs>
        <w:tab w:val="center" w:pos="4153"/>
        <w:tab w:val="right" w:pos="8306"/>
      </w:tabs>
      <w:snapToGrid w:val="0"/>
      <w:jc w:val="left"/>
    </w:pPr>
    <w:rPr>
      <w:sz w:val="18"/>
    </w:rPr>
  </w:style>
  <w:style w:type="paragraph" w:styleId="2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paragraph" w:styleId="22">
    <w:name w:val="toc 1"/>
    <w:basedOn w:val="1"/>
    <w:next w:val="1"/>
    <w:qFormat/>
    <w:uiPriority w:val="0"/>
  </w:style>
  <w:style w:type="paragraph" w:styleId="23">
    <w:name w:val="toc 4"/>
    <w:basedOn w:val="1"/>
    <w:next w:val="1"/>
    <w:qFormat/>
    <w:uiPriority w:val="0"/>
    <w:pPr>
      <w:ind w:left="1260" w:leftChars="600"/>
    </w:pPr>
  </w:style>
  <w:style w:type="paragraph" w:styleId="24">
    <w:name w:val="toc 6"/>
    <w:basedOn w:val="1"/>
    <w:next w:val="1"/>
    <w:qFormat/>
    <w:uiPriority w:val="0"/>
    <w:pPr>
      <w:ind w:left="2100" w:leftChars="1000"/>
    </w:pPr>
  </w:style>
  <w:style w:type="paragraph" w:styleId="25">
    <w:name w:val="toc 2"/>
    <w:basedOn w:val="1"/>
    <w:next w:val="1"/>
    <w:qFormat/>
    <w:uiPriority w:val="0"/>
    <w:pPr>
      <w:ind w:left="420" w:leftChars="200"/>
    </w:pPr>
  </w:style>
  <w:style w:type="paragraph" w:styleId="26">
    <w:name w:val="toc 9"/>
    <w:basedOn w:val="1"/>
    <w:next w:val="1"/>
    <w:qFormat/>
    <w:uiPriority w:val="0"/>
    <w:pPr>
      <w:ind w:left="3360" w:leftChars="1600"/>
    </w:pPr>
  </w:style>
  <w:style w:type="paragraph" w:styleId="27">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firstLineChars="0"/>
      <w:jc w:val="left"/>
    </w:pPr>
    <w:rPr>
      <w:rFonts w:ascii="宋体" w:hAnsi="宋体" w:eastAsia="宋体" w:cs="宋体"/>
      <w:kern w:val="0"/>
      <w:sz w:val="24"/>
      <w:szCs w:val="24"/>
    </w:rPr>
  </w:style>
  <w:style w:type="paragraph" w:styleId="28">
    <w:name w:val="Normal (Web)"/>
    <w:basedOn w:val="1"/>
    <w:qFormat/>
    <w:uiPriority w:val="0"/>
    <w:pPr>
      <w:widowControl/>
      <w:spacing w:before="100" w:beforeAutospacing="1" w:after="100" w:afterAutospacing="1" w:line="240" w:lineRule="auto"/>
      <w:ind w:firstLine="0" w:firstLineChars="0"/>
      <w:jc w:val="left"/>
    </w:pPr>
    <w:rPr>
      <w:rFonts w:ascii="宋体" w:eastAsia="宋体" w:cs="Times New Roman"/>
      <w:kern w:val="0"/>
      <w:sz w:val="24"/>
      <w:szCs w:val="24"/>
    </w:rPr>
  </w:style>
  <w:style w:type="character" w:styleId="30">
    <w:name w:val="Strong"/>
    <w:basedOn w:val="29"/>
    <w:qFormat/>
    <w:uiPriority w:val="0"/>
    <w:rPr>
      <w:b/>
    </w:rPr>
  </w:style>
  <w:style w:type="character" w:styleId="31">
    <w:name w:val="page number"/>
    <w:basedOn w:val="29"/>
    <w:qFormat/>
    <w:uiPriority w:val="0"/>
  </w:style>
  <w:style w:type="character" w:styleId="32">
    <w:name w:val="annotation reference"/>
    <w:qFormat/>
    <w:uiPriority w:val="0"/>
    <w:rPr>
      <w:sz w:val="21"/>
      <w:szCs w:val="21"/>
    </w:rPr>
  </w:style>
  <w:style w:type="table" w:styleId="34">
    <w:name w:val="Table Grid"/>
    <w:basedOn w:val="3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35">
    <w:name w:val="标题 3 Char"/>
    <w:basedOn w:val="29"/>
    <w:link w:val="4"/>
    <w:qFormat/>
    <w:uiPriority w:val="0"/>
    <w:rPr>
      <w:rFonts w:ascii="Arial" w:hAnsi="Arial" w:eastAsia="仿宋" w:cs="Arial"/>
      <w:b/>
      <w:kern w:val="2"/>
      <w:sz w:val="28"/>
      <w:szCs w:val="22"/>
    </w:rPr>
  </w:style>
  <w:style w:type="paragraph" w:customStyle="1" w:styleId="36">
    <w:name w:val="_Style 2"/>
    <w:basedOn w:val="1"/>
    <w:qFormat/>
    <w:uiPriority w:val="99"/>
    <w:pPr>
      <w:widowControl/>
      <w:kinsoku w:val="0"/>
      <w:autoSpaceDE w:val="0"/>
      <w:autoSpaceDN w:val="0"/>
      <w:spacing w:line="360" w:lineRule="auto"/>
      <w:ind w:left="720" w:firstLine="576" w:firstLineChars="0"/>
      <w:contextualSpacing/>
      <w:jc w:val="left"/>
    </w:pPr>
    <w:rPr>
      <w:rFonts w:ascii="华文仿宋" w:hAnsi="华文仿宋"/>
      <w:kern w:val="0"/>
      <w:sz w:val="24"/>
      <w:lang w:eastAsia="en-US" w:bidi="en-US"/>
    </w:rPr>
  </w:style>
  <w:style w:type="paragraph" w:customStyle="1" w:styleId="37">
    <w:name w:val="_Style 3"/>
    <w:basedOn w:val="1"/>
    <w:qFormat/>
    <w:uiPriority w:val="99"/>
    <w:pPr>
      <w:widowControl/>
      <w:kinsoku w:val="0"/>
      <w:autoSpaceDE w:val="0"/>
      <w:autoSpaceDN w:val="0"/>
      <w:spacing w:line="360" w:lineRule="auto"/>
      <w:ind w:left="720" w:firstLine="576" w:firstLineChars="0"/>
      <w:contextualSpacing/>
      <w:jc w:val="left"/>
    </w:pPr>
    <w:rPr>
      <w:rFonts w:ascii="华文仿宋" w:hAnsi="华文仿宋"/>
      <w:kern w:val="0"/>
      <w:sz w:val="24"/>
      <w:lang w:eastAsia="en-US" w:bidi="en-US"/>
    </w:rPr>
  </w:style>
  <w:style w:type="paragraph" w:customStyle="1" w:styleId="38">
    <w:name w:val="_Style 1"/>
    <w:basedOn w:val="1"/>
    <w:qFormat/>
    <w:uiPriority w:val="99"/>
    <w:pPr>
      <w:widowControl/>
      <w:kinsoku w:val="0"/>
      <w:autoSpaceDE w:val="0"/>
      <w:autoSpaceDN w:val="0"/>
      <w:spacing w:line="360" w:lineRule="auto"/>
      <w:ind w:left="720" w:firstLine="576" w:firstLineChars="0"/>
      <w:contextualSpacing/>
      <w:jc w:val="left"/>
    </w:pPr>
    <w:rPr>
      <w:rFonts w:ascii="华文仿宋" w:hAnsi="华文仿宋"/>
      <w:kern w:val="0"/>
      <w:sz w:val="24"/>
      <w:lang w:eastAsia="en-US" w:bidi="en-US"/>
    </w:rPr>
  </w:style>
  <w:style w:type="paragraph" w:customStyle="1" w:styleId="39">
    <w:name w:val="_Style 6"/>
    <w:basedOn w:val="1"/>
    <w:qFormat/>
    <w:uiPriority w:val="99"/>
    <w:pPr>
      <w:widowControl/>
      <w:kinsoku w:val="0"/>
      <w:autoSpaceDE w:val="0"/>
      <w:autoSpaceDN w:val="0"/>
      <w:spacing w:line="360" w:lineRule="auto"/>
      <w:ind w:left="720" w:firstLine="576" w:firstLineChars="0"/>
      <w:contextualSpacing/>
      <w:jc w:val="left"/>
    </w:pPr>
    <w:rPr>
      <w:rFonts w:ascii="华文仿宋" w:hAnsi="华文仿宋"/>
      <w:kern w:val="0"/>
      <w:sz w:val="24"/>
      <w:lang w:eastAsia="en-US" w:bidi="en-US"/>
    </w:rPr>
  </w:style>
  <w:style w:type="paragraph" w:customStyle="1" w:styleId="40">
    <w:name w:val="样式1"/>
    <w:basedOn w:val="1"/>
    <w:qFormat/>
    <w:uiPriority w:val="0"/>
    <w:pPr>
      <w:spacing w:before="100" w:beforeAutospacing="1" w:after="100" w:afterAutospacing="1" w:line="360" w:lineRule="auto"/>
      <w:ind w:left="600" w:hanging="420"/>
    </w:pPr>
    <w:rPr>
      <w:b/>
      <w:bCs/>
      <w:sz w:val="24"/>
      <w:szCs w:val="24"/>
    </w:rPr>
  </w:style>
  <w:style w:type="paragraph" w:customStyle="1" w:styleId="41">
    <w:name w:val="p19"/>
    <w:basedOn w:val="1"/>
    <w:qFormat/>
    <w:uiPriority w:val="0"/>
    <w:pPr>
      <w:widowControl/>
      <w:spacing w:before="100" w:after="100" w:line="240" w:lineRule="auto"/>
      <w:ind w:firstLine="0" w:firstLineChars="0"/>
      <w:jc w:val="left"/>
    </w:pPr>
    <w:rPr>
      <w:rFonts w:ascii="宋体" w:hAnsi="宋体" w:eastAsia="宋体" w:cs="宋体"/>
      <w:kern w:val="0"/>
      <w:sz w:val="24"/>
      <w:szCs w:val="24"/>
    </w:rPr>
  </w:style>
  <w:style w:type="paragraph" w:customStyle="1" w:styleId="42">
    <w:name w:val="_Style 7"/>
    <w:basedOn w:val="1"/>
    <w:qFormat/>
    <w:uiPriority w:val="99"/>
    <w:pPr>
      <w:widowControl/>
      <w:kinsoku w:val="0"/>
      <w:autoSpaceDE w:val="0"/>
      <w:autoSpaceDN w:val="0"/>
      <w:spacing w:line="360" w:lineRule="auto"/>
      <w:ind w:left="720" w:firstLine="576" w:firstLineChars="0"/>
      <w:contextualSpacing/>
      <w:jc w:val="left"/>
    </w:pPr>
    <w:rPr>
      <w:rFonts w:ascii="华文仿宋" w:hAnsi="华文仿宋"/>
      <w:kern w:val="0"/>
      <w:sz w:val="24"/>
      <w:lang w:eastAsia="en-US" w:bidi="en-US"/>
    </w:rPr>
  </w:style>
  <w:style w:type="paragraph" w:customStyle="1" w:styleId="43">
    <w:name w:val="_Style 4"/>
    <w:basedOn w:val="1"/>
    <w:qFormat/>
    <w:uiPriority w:val="99"/>
    <w:pPr>
      <w:widowControl/>
      <w:kinsoku w:val="0"/>
      <w:autoSpaceDE w:val="0"/>
      <w:autoSpaceDN w:val="0"/>
      <w:spacing w:line="360" w:lineRule="auto"/>
      <w:ind w:left="720" w:firstLine="576" w:firstLineChars="0"/>
      <w:contextualSpacing/>
      <w:jc w:val="left"/>
    </w:pPr>
    <w:rPr>
      <w:rFonts w:ascii="华文仿宋" w:hAnsi="华文仿宋"/>
      <w:kern w:val="0"/>
      <w:sz w:val="24"/>
      <w:lang w:eastAsia="en-US" w:bidi="en-US"/>
    </w:rPr>
  </w:style>
  <w:style w:type="paragraph" w:customStyle="1" w:styleId="44">
    <w:name w:val="YS7-附件标题"/>
    <w:basedOn w:val="1"/>
    <w:qFormat/>
    <w:uiPriority w:val="0"/>
    <w:pPr>
      <w:ind w:firstLine="0" w:firstLineChars="0"/>
      <w:jc w:val="center"/>
    </w:pPr>
    <w:rPr>
      <w:rFonts w:eastAsia="黑体"/>
      <w:sz w:val="30"/>
      <w:szCs w:val="30"/>
    </w:rPr>
  </w:style>
  <w:style w:type="paragraph" w:customStyle="1" w:styleId="45">
    <w:name w:val="列出段落1"/>
    <w:basedOn w:val="1"/>
    <w:qFormat/>
    <w:uiPriority w:val="99"/>
    <w:pPr>
      <w:ind w:firstLine="420"/>
    </w:pPr>
  </w:style>
  <w:style w:type="table" w:customStyle="1" w:styleId="46">
    <w:name w:val="Table Grid1"/>
    <w:basedOn w:val="33"/>
    <w:qFormat/>
    <w:uiPriority w:val="59"/>
    <w:rPr>
      <w:rFonts w:asciiTheme="minorHAnsi" w:hAnsiTheme="minorHAnsi" w:eastAsiaTheme="minorEastAsia" w:cstheme="minorBid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47">
    <w:name w:val="正文标准"/>
    <w:basedOn w:val="1"/>
    <w:qFormat/>
    <w:uiPriority w:val="0"/>
    <w:pPr>
      <w:spacing w:line="300" w:lineRule="auto"/>
      <w:ind w:firstLine="420"/>
    </w:pPr>
    <w:rPr>
      <w:rFonts w:ascii="Times New Roman" w:hAnsi="Times New Roman"/>
      <w:sz w:val="21"/>
    </w:rPr>
  </w:style>
  <w:style w:type="character" w:customStyle="1" w:styleId="48">
    <w:name w:val="font41"/>
    <w:qFormat/>
    <w:uiPriority w:val="0"/>
    <w:rPr>
      <w:rFonts w:hint="eastAsia" w:ascii="宋体" w:hAnsi="宋体" w:eastAsia="宋体" w:cs="宋体"/>
      <w:color w:val="000000"/>
      <w:sz w:val="21"/>
      <w:szCs w:val="21"/>
      <w:u w:val="none"/>
    </w:rPr>
  </w:style>
  <w:style w:type="character" w:customStyle="1" w:styleId="49">
    <w:name w:val="font31"/>
    <w:qFormat/>
    <w:uiPriority w:val="0"/>
    <w:rPr>
      <w:rFonts w:hint="eastAsia" w:ascii="宋体" w:hAnsi="宋体" w:eastAsia="宋体"/>
      <w:color w:val="000000"/>
      <w:sz w:val="22"/>
      <w:szCs w:val="22"/>
      <w:u w:val="none"/>
    </w:rPr>
  </w:style>
  <w:style w:type="character" w:customStyle="1" w:styleId="50">
    <w:name w:val="font11"/>
    <w:qFormat/>
    <w:uiPriority w:val="0"/>
    <w:rPr>
      <w:rFonts w:hint="eastAsia" w:ascii="宋体" w:hAnsi="宋体" w:eastAsia="宋体"/>
      <w:color w:val="000000"/>
      <w:sz w:val="22"/>
      <w:szCs w:val="22"/>
      <w:u w:val="none"/>
    </w:rPr>
  </w:style>
  <w:style w:type="paragraph" w:customStyle="1" w:styleId="51">
    <w:name w:val="my正文"/>
    <w:basedOn w:val="1"/>
    <w:qFormat/>
    <w:uiPriority w:val="0"/>
    <w:pPr>
      <w:spacing w:line="360" w:lineRule="auto"/>
      <w:ind w:firstLine="540" w:firstLineChars="225"/>
    </w:pPr>
    <w:rPr>
      <w:rFonts w:ascii="宋体" w:hAnsi="宋体" w:cs="宋体"/>
      <w:kern w:val="0"/>
      <w:sz w:val="24"/>
      <w:szCs w:val="20"/>
    </w:rPr>
  </w:style>
  <w:style w:type="character" w:customStyle="1" w:styleId="52">
    <w:name w:val="批注框文本 Char"/>
    <w:basedOn w:val="29"/>
    <w:link w:val="19"/>
    <w:qFormat/>
    <w:uiPriority w:val="0"/>
    <w:rPr>
      <w:rFonts w:ascii="Arial" w:hAnsi="Arial" w:eastAsia="仿宋" w:cs="Arial"/>
      <w:kern w:val="2"/>
      <w:sz w:val="18"/>
      <w:szCs w:val="18"/>
    </w:rPr>
  </w:style>
  <w:style w:type="character" w:customStyle="1" w:styleId="53">
    <w:name w:val="font21"/>
    <w:basedOn w:val="29"/>
    <w:qFormat/>
    <w:uiPriority w:val="0"/>
    <w:rPr>
      <w:rFonts w:hint="eastAsia" w:ascii="宋体" w:hAnsi="宋体" w:eastAsia="宋体" w:cs="宋体"/>
      <w:color w:val="000000"/>
      <w:sz w:val="20"/>
      <w:szCs w:val="20"/>
      <w:u w:val="none"/>
    </w:rPr>
  </w:style>
  <w:style w:type="character" w:customStyle="1" w:styleId="54">
    <w:name w:val="font51"/>
    <w:basedOn w:val="29"/>
    <w:qFormat/>
    <w:uiPriority w:val="0"/>
    <w:rPr>
      <w:rFonts w:hint="default" w:ascii="Arial Narrow" w:hAnsi="Arial Narrow" w:eastAsia="Arial Narrow" w:cs="Arial Narrow"/>
      <w:color w:val="000000"/>
      <w:sz w:val="20"/>
      <w:szCs w:val="20"/>
      <w:u w:val="none"/>
    </w:rPr>
  </w:style>
  <w:style w:type="paragraph" w:customStyle="1" w:styleId="55">
    <w:name w:val="样式 样式 正文首行缩进 + 首行缩进:  1 字符 + 首行缩进:  2 字符"/>
    <w:basedOn w:val="1"/>
    <w:qFormat/>
    <w:uiPriority w:val="0"/>
    <w:pPr>
      <w:spacing w:line="360" w:lineRule="auto"/>
    </w:pPr>
    <w:rPr>
      <w:rFonts w:cs="宋体"/>
      <w:szCs w:val="20"/>
    </w:rPr>
  </w:style>
  <w:style w:type="paragraph" w:customStyle="1" w:styleId="56">
    <w:name w:val="01.正文小四宋体"/>
    <w:qFormat/>
    <w:uiPriority w:val="0"/>
    <w:pPr>
      <w:widowControl w:val="0"/>
      <w:spacing w:before="60" w:after="60" w:line="360" w:lineRule="auto"/>
      <w:ind w:firstLine="200" w:firstLineChars="200"/>
      <w:jc w:val="both"/>
    </w:pPr>
    <w:rPr>
      <w:rFonts w:ascii="Times New Roman" w:hAnsi="Times New Roman" w:eastAsia="宋体" w:cs="Times New Roman"/>
      <w:kern w:val="24"/>
      <w:sz w:val="24"/>
      <w:szCs w:val="24"/>
      <w:lang w:val="en-US" w:eastAsia="zh-CN" w:bidi="ar-SA"/>
    </w:rPr>
  </w:style>
  <w:style w:type="paragraph" w:customStyle="1" w:styleId="57">
    <w:name w:val="样式3"/>
    <w:basedOn w:val="58"/>
    <w:qFormat/>
    <w:uiPriority w:val="0"/>
    <w:pPr>
      <w:pBdr>
        <w:bottom w:val="single" w:color="auto" w:sz="4" w:space="1"/>
      </w:pBdr>
      <w:tabs>
        <w:tab w:val="center" w:pos="4153"/>
        <w:tab w:val="right" w:pos="8306"/>
      </w:tabs>
    </w:pPr>
  </w:style>
  <w:style w:type="paragraph" w:customStyle="1" w:styleId="58">
    <w:name w:val="样式2"/>
    <w:basedOn w:val="21"/>
    <w:qFormat/>
    <w:uiPriority w:val="0"/>
    <w:pPr>
      <w:spacing w:line="360" w:lineRule="auto"/>
    </w:pPr>
    <w:rPr>
      <w:rFonts w:ascii="Times New Roman"/>
      <w:kern w:val="0"/>
      <w:sz w:val="28"/>
      <w:szCs w:val="28"/>
    </w:rPr>
  </w:style>
  <w:style w:type="paragraph" w:customStyle="1" w:styleId="59">
    <w:name w:val="H正文 Char"/>
    <w:basedOn w:val="18"/>
    <w:qFormat/>
    <w:uiPriority w:val="0"/>
    <w:pPr>
      <w:widowControl/>
      <w:adjustRightInd w:val="0"/>
      <w:spacing w:line="360" w:lineRule="auto"/>
      <w:ind w:firstLine="0"/>
      <w:textAlignment w:val="baseline"/>
    </w:pPr>
    <w:rPr>
      <w:kern w:val="24"/>
      <w:sz w:val="24"/>
      <w:lang w:val="sv-SE"/>
    </w:rPr>
  </w:style>
  <w:style w:type="character" w:customStyle="1" w:styleId="60">
    <w:name w:val="info"/>
    <w:basedOn w:val="29"/>
    <w:qFormat/>
    <w:uiPriority w:val="0"/>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54</Pages>
  <Words>4182</Words>
  <Characters>23838</Characters>
  <Lines>198</Lines>
  <Paragraphs>55</Paragraphs>
  <TotalTime>17</TotalTime>
  <ScaleCrop>false</ScaleCrop>
  <LinksUpToDate>false</LinksUpToDate>
  <CharactersWithSpaces>27965</CharactersWithSpaces>
  <Application>WPS Office_10.8.2.6784_F1E327BC-269C-435d-A152-05C5408002CA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2018-06-27T02:25:00Z</dcterms:created>
  <dc:creator>DJ</dc:creator>
  <cp:lastModifiedBy>杨琳玮</cp:lastModifiedBy>
  <dcterms:modified xsi:type="dcterms:W3CDTF">2018-09-30T02:46:07Z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2052-10.8.2.6784</vt:lpwstr>
  </property>
</Properties>
</file>