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361" w:firstLineChars="100"/>
        <w:jc w:val="center"/>
        <w:rPr>
          <w:rFonts w:hint="eastAsia" w:ascii="仿宋_GB2312" w:hAnsi="仿宋_GB2312" w:eastAsia="仿宋_GB2312" w:cs="仿宋_GB2312"/>
          <w:b/>
          <w:sz w:val="36"/>
          <w:szCs w:val="36"/>
        </w:rPr>
      </w:pPr>
      <w:r>
        <w:rPr>
          <w:rFonts w:hint="eastAsia" w:ascii="仿宋_GB2312" w:eastAsia="仿宋_GB2312"/>
          <w:b/>
          <w:sz w:val="36"/>
          <w:szCs w:val="36"/>
        </w:rPr>
        <w:t>停车位安全标线明细表</w:t>
      </w:r>
      <w:r>
        <w:rPr>
          <w:rFonts w:hint="eastAsia" w:ascii="仿宋_GB2312" w:eastAsia="仿宋_GB2312"/>
          <w:b/>
          <w:sz w:val="36"/>
          <w:szCs w:val="36"/>
          <w:lang w:eastAsia="zh-CN"/>
        </w:rPr>
        <w:t>及技术要求</w:t>
      </w:r>
    </w:p>
    <w:tbl>
      <w:tblPr>
        <w:tblStyle w:val="3"/>
        <w:tblW w:w="8394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28"/>
        <w:gridCol w:w="600"/>
        <w:gridCol w:w="2190"/>
        <w:gridCol w:w="690"/>
        <w:gridCol w:w="521"/>
        <w:gridCol w:w="540"/>
        <w:gridCol w:w="322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0" w:hRule="atLeast"/>
        </w:trPr>
        <w:tc>
          <w:tcPr>
            <w:tcW w:w="628" w:type="dxa"/>
            <w:vMerge w:val="restart"/>
            <w:tcBorders>
              <w:top w:val="single" w:color="000000" w:sz="12" w:space="0"/>
              <w:left w:val="single" w:color="000000" w:sz="12" w:space="0"/>
              <w:right w:val="single" w:color="000000" w:sz="1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600" w:type="dxa"/>
            <w:vMerge w:val="restart"/>
            <w:tcBorders>
              <w:top w:val="single" w:color="000000" w:sz="1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区域</w:t>
            </w:r>
          </w:p>
        </w:tc>
        <w:tc>
          <w:tcPr>
            <w:tcW w:w="2190" w:type="dxa"/>
            <w:vMerge w:val="restart"/>
            <w:tcBorders>
              <w:top w:val="single" w:color="000000" w:sz="1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690" w:type="dxa"/>
            <w:vMerge w:val="restart"/>
            <w:tcBorders>
              <w:top w:val="single" w:color="000000" w:sz="12" w:space="0"/>
              <w:right w:val="single" w:color="000000" w:sz="1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单位</w:t>
            </w:r>
          </w:p>
        </w:tc>
        <w:tc>
          <w:tcPr>
            <w:tcW w:w="1061" w:type="dxa"/>
            <w:gridSpan w:val="2"/>
            <w:tcBorders>
              <w:top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工程量</w:t>
            </w:r>
          </w:p>
        </w:tc>
        <w:tc>
          <w:tcPr>
            <w:tcW w:w="3225" w:type="dxa"/>
            <w:vMerge w:val="restart"/>
            <w:tcBorders>
              <w:top w:val="single" w:color="000000" w:sz="12" w:space="0"/>
              <w:right w:val="single" w:color="000000" w:sz="1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0" w:hRule="atLeast"/>
        </w:trPr>
        <w:tc>
          <w:tcPr>
            <w:tcW w:w="628" w:type="dxa"/>
            <w:vMerge w:val="continue"/>
            <w:tcBorders>
              <w:top w:val="single" w:color="000000" w:sz="12" w:space="0"/>
              <w:left w:val="single" w:color="000000" w:sz="12" w:space="0"/>
              <w:right w:val="single" w:color="000000" w:sz="12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00" w:type="dxa"/>
            <w:vMerge w:val="continue"/>
            <w:tcBorders>
              <w:top w:val="single" w:color="000000" w:sz="12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190" w:type="dxa"/>
            <w:vMerge w:val="continue"/>
            <w:tcBorders>
              <w:top w:val="single" w:color="000000" w:sz="12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90" w:type="dxa"/>
            <w:vMerge w:val="continue"/>
            <w:tcBorders>
              <w:top w:val="single" w:color="000000" w:sz="12" w:space="0"/>
              <w:right w:val="single" w:color="000000" w:sz="12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21" w:type="dxa"/>
            <w:tcBorders>
              <w:right w:val="single" w:color="000000" w:sz="1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车位</w:t>
            </w:r>
          </w:p>
        </w:tc>
        <w:tc>
          <w:tcPr>
            <w:tcW w:w="540" w:type="dxa"/>
            <w:tcBorders>
              <w:right w:val="single" w:color="000000" w:sz="1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箭头</w:t>
            </w:r>
          </w:p>
        </w:tc>
        <w:tc>
          <w:tcPr>
            <w:tcW w:w="3225" w:type="dxa"/>
            <w:vMerge w:val="continue"/>
            <w:tcBorders>
              <w:top w:val="single" w:color="000000" w:sz="12" w:space="0"/>
              <w:right w:val="single" w:color="000000" w:sz="12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0" w:hRule="atLeast"/>
        </w:trPr>
        <w:tc>
          <w:tcPr>
            <w:tcW w:w="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60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东生活区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东围墙老篮球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场（补漆）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5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  <w:lang w:val="en-US" w:eastAsia="zh-CN"/>
              </w:rPr>
              <w:t>52</w:t>
            </w: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52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4.8M*2.5M，线宽0.15M，黄色实线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0" w:hRule="atLeast"/>
        </w:trPr>
        <w:tc>
          <w:tcPr>
            <w:tcW w:w="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6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垃圾箱前禁停线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5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5M*2.5M，线宽0.15M，黄色实线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0" w:hRule="atLeast"/>
        </w:trPr>
        <w:tc>
          <w:tcPr>
            <w:tcW w:w="628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6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10号楼前（补漆）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5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4.8M*3M，线宽0.15M，黄色实线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0" w:hRule="atLeast"/>
        </w:trPr>
        <w:tc>
          <w:tcPr>
            <w:tcW w:w="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60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西生活区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  <w:t>车辆行驶导线（含箭头）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5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  <w:lang w:val="en-US" w:eastAsia="zh-CN"/>
              </w:rPr>
              <w:t>12</w:t>
            </w: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  <w:t>长4.5M，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线宽0.2M，箭头方向现场指导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  <w:t>；白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色实线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eastAsia="zh-CN"/>
              </w:rPr>
              <w:t>；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  <w:t>按行业技术要求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0" w:hRule="atLeast"/>
        </w:trPr>
        <w:tc>
          <w:tcPr>
            <w:tcW w:w="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60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环岛行驶指示牌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5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  <w:lang w:val="en-US" w:eastAsia="zh-CN"/>
              </w:rPr>
              <w:t>2</w:t>
            </w: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0.5M*0.4M，厚8MM，铝板，镀锌管预埋支撑，指示牌距地面高度1.5M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0" w:hRule="atLeast"/>
        </w:trPr>
        <w:tc>
          <w:tcPr>
            <w:tcW w:w="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60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环岛行驶告知牌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5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  <w:lang w:val="en-US" w:eastAsia="zh-CN"/>
              </w:rPr>
              <w:t>1</w:t>
            </w: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0.5M*0.4M，厚8MM，铝板，镀锌管预埋支撑，指示牌距地面高度1.5M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0" w:hRule="atLeast"/>
        </w:trPr>
        <w:tc>
          <w:tcPr>
            <w:tcW w:w="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60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禁止逆行提示牌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5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  <w:lang w:val="en-US" w:eastAsia="zh-CN"/>
              </w:rPr>
              <w:t>2</w:t>
            </w: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0.5M*0.4M，厚8MM，铝板，镀锌管预埋支撑，指示牌距地面高度1.5M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0" w:hRule="atLeast"/>
        </w:trPr>
        <w:tc>
          <w:tcPr>
            <w:tcW w:w="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8</w:t>
            </w:r>
          </w:p>
        </w:tc>
        <w:tc>
          <w:tcPr>
            <w:tcW w:w="60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北生活区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单身公寓楼前北围墙及东围墙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5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46</w:t>
            </w: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46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4.8M*2.5M，线宽0.15M，黄色实线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0" w:hRule="atLeast"/>
        </w:trPr>
        <w:tc>
          <w:tcPr>
            <w:tcW w:w="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9</w:t>
            </w:r>
          </w:p>
        </w:tc>
        <w:tc>
          <w:tcPr>
            <w:tcW w:w="60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地上车棚（小车位）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5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68</w:t>
            </w: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68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4.8M*3M，线宽0.15M，黄色实线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0" w:hRule="atLeast"/>
        </w:trPr>
        <w:tc>
          <w:tcPr>
            <w:tcW w:w="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10</w:t>
            </w:r>
          </w:p>
        </w:tc>
        <w:tc>
          <w:tcPr>
            <w:tcW w:w="60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地上车棚（大车位）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5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11.6M*6M，线宽0.15M，黄色实线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0" w:hRule="atLeast"/>
        </w:trPr>
        <w:tc>
          <w:tcPr>
            <w:tcW w:w="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11</w:t>
            </w:r>
          </w:p>
        </w:tc>
        <w:tc>
          <w:tcPr>
            <w:tcW w:w="60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地上车棚（大车位）喷涂“班车专用”字样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5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单字0.45M*0.25M，白色实线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0" w:hRule="atLeast"/>
        </w:trPr>
        <w:tc>
          <w:tcPr>
            <w:tcW w:w="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60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地下车库喷涂“专用车位”字样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5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单字0.45M*0.25M，白色实线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0" w:hRule="atLeast"/>
        </w:trPr>
        <w:tc>
          <w:tcPr>
            <w:tcW w:w="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</w:t>
            </w:r>
          </w:p>
        </w:tc>
        <w:tc>
          <w:tcPr>
            <w:tcW w:w="60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垃圾箱前禁停线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5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5M*2.5M，线宽0.15M，黄色实线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0" w:hRule="atLeast"/>
        </w:trPr>
        <w:tc>
          <w:tcPr>
            <w:tcW w:w="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</w:t>
            </w:r>
          </w:p>
        </w:tc>
        <w:tc>
          <w:tcPr>
            <w:tcW w:w="60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非机动车停放区域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米</w:t>
            </w:r>
          </w:p>
        </w:tc>
        <w:tc>
          <w:tcPr>
            <w:tcW w:w="5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90</w:t>
            </w: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-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线宽0.15M，黄色实线，现场指导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0" w:hRule="atLeast"/>
        </w:trPr>
        <w:tc>
          <w:tcPr>
            <w:tcW w:w="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15</w:t>
            </w:r>
          </w:p>
        </w:tc>
        <w:tc>
          <w:tcPr>
            <w:tcW w:w="60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生产区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消防队车库门前网格线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eastAsia="zh-CN"/>
              </w:rPr>
              <w:t>米</w:t>
            </w:r>
          </w:p>
        </w:tc>
        <w:tc>
          <w:tcPr>
            <w:tcW w:w="5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  <w:lang w:val="en-US" w:eastAsia="zh-CN"/>
              </w:rPr>
              <w:t>900</w:t>
            </w: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  <w:lang w:val="en-US" w:eastAsia="zh-CN"/>
              </w:rPr>
              <w:t>0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eastAsia="zh-CN"/>
              </w:rPr>
              <w:t>线宽</w:t>
            </w:r>
            <w:r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0.20M，黄色实线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0" w:hRule="atLeast"/>
        </w:trPr>
        <w:tc>
          <w:tcPr>
            <w:tcW w:w="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16</w:t>
            </w:r>
          </w:p>
        </w:tc>
        <w:tc>
          <w:tcPr>
            <w:tcW w:w="6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消防队双黄线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eastAsia="zh-CN"/>
              </w:rPr>
              <w:t>米</w:t>
            </w:r>
          </w:p>
        </w:tc>
        <w:tc>
          <w:tcPr>
            <w:tcW w:w="5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  <w:lang w:val="en-US" w:eastAsia="zh-CN"/>
              </w:rPr>
              <w:t>160</w:t>
            </w: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  <w:lang w:val="en-US" w:eastAsia="zh-CN"/>
              </w:rPr>
              <w:t>0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线宽0.10M，黄色实线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0" w:hRule="atLeast"/>
        </w:trPr>
        <w:tc>
          <w:tcPr>
            <w:tcW w:w="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17</w:t>
            </w:r>
          </w:p>
        </w:tc>
        <w:tc>
          <w:tcPr>
            <w:tcW w:w="6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吊车停车位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5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  <w:lang w:val="en-US" w:eastAsia="zh-CN"/>
              </w:rPr>
              <w:t>11</w:t>
            </w: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5M*16M，线宽0.15M，黄色实线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0" w:hRule="atLeast"/>
        </w:trPr>
        <w:tc>
          <w:tcPr>
            <w:tcW w:w="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18</w:t>
            </w:r>
          </w:p>
        </w:tc>
        <w:tc>
          <w:tcPr>
            <w:tcW w:w="6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装载机停车位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5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  <w:lang w:val="en-US" w:eastAsia="zh-CN"/>
              </w:rPr>
              <w:t>14</w:t>
            </w: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4.2M*10M，线宽0.15M，黄色实线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0" w:hRule="atLeast"/>
        </w:trPr>
        <w:tc>
          <w:tcPr>
            <w:tcW w:w="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</w:t>
            </w:r>
          </w:p>
        </w:tc>
        <w:tc>
          <w:tcPr>
            <w:tcW w:w="6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小车停车位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5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10</w:t>
            </w: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6M*2.5M，线宽0.15M，黄色实线，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0" w:hRule="atLeast"/>
        </w:trPr>
        <w:tc>
          <w:tcPr>
            <w:tcW w:w="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合计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343</w:t>
            </w: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646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8394" w:type="dxa"/>
            <w:gridSpan w:val="7"/>
            <w:tcBorders>
              <w:left w:val="single" w:color="000000" w:sz="12" w:space="0"/>
              <w:right w:val="single" w:color="000000" w:sz="1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技术要求：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8394" w:type="dxa"/>
            <w:gridSpan w:val="7"/>
            <w:tcBorders>
              <w:left w:val="single" w:color="000000" w:sz="12" w:space="0"/>
              <w:right w:val="single" w:color="000000" w:sz="1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1.标线施工采用冷喷工艺（常温型），质保期一年。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8394" w:type="dxa"/>
            <w:gridSpan w:val="7"/>
            <w:tcBorders>
              <w:left w:val="single" w:color="000000" w:sz="12" w:space="0"/>
              <w:right w:val="single" w:color="000000" w:sz="1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2.基本要求：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</w:trPr>
        <w:tc>
          <w:tcPr>
            <w:tcW w:w="8394" w:type="dxa"/>
            <w:gridSpan w:val="7"/>
            <w:tcBorders>
              <w:left w:val="single" w:color="000000" w:sz="12" w:space="0"/>
              <w:right w:val="single" w:color="000000" w:sz="1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2.1标线涂料应符合《路面标线涂料》（JT/T 280－2004）的规定。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</w:trPr>
        <w:tc>
          <w:tcPr>
            <w:tcW w:w="8394" w:type="dxa"/>
            <w:gridSpan w:val="7"/>
            <w:tcBorders>
              <w:left w:val="single" w:color="000000" w:sz="12" w:space="0"/>
              <w:right w:val="single" w:color="000000" w:sz="1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2.2标线喷涂前应仔细清洁设备设施面，表面干燥，无起灰现象。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</w:trPr>
        <w:tc>
          <w:tcPr>
            <w:tcW w:w="8394" w:type="dxa"/>
            <w:gridSpan w:val="7"/>
            <w:tcBorders>
              <w:left w:val="single" w:color="000000" w:sz="12" w:space="0"/>
              <w:right w:val="single" w:color="000000" w:sz="1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2.3路面标线的颜色和设置应符合《道路交通标志和标线》（GB5768-2009）的规定和设计要求。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8394" w:type="dxa"/>
            <w:gridSpan w:val="7"/>
            <w:tcBorders>
              <w:left w:val="single" w:color="000000" w:sz="12" w:space="0"/>
              <w:right w:val="single" w:color="000000" w:sz="1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2.4常温漆标线涂料要求施工性能良好，无沉积，流平性好；要有良好地耐磨性能和柔韧性能，以保证标线较长时间内清晰有效。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8394" w:type="dxa"/>
            <w:gridSpan w:val="7"/>
            <w:tcBorders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2.5施划标线的线形要复合道路设计，道路断面变化处，标线要用圆曲线顺接好；标线施划要有良好地视认性，宽度一致、间隔相等、边缘整齐、线形规则、线条流畅、衔接良好，湿漆膜厚度达到0.3mm，漆膜覆盖率要达到相关标准要求。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2.6补漆需要将原有漆面清理干净。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8394" w:type="dxa"/>
            <w:gridSpan w:val="7"/>
            <w:tcBorders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C451746"/>
    <w:rsid w:val="0C45174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Office_10.8.0.6370_F1E327BC-269C-435d-A152-05C5408002CA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2018-11-29T01:08:00Z</dcterms:created>
  <dc:creator>Administrator</dc:creator>
  <cp:lastModifiedBy>Administrator</cp:lastModifiedBy>
  <dcterms:modified xsi:type="dcterms:W3CDTF">2018-11-29T01:10:06Z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2052-10.8.0.6370</vt:lpwstr>
  </property>
</Properties>
</file>