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神华黄骅港务公司2019年固体</w:t>
      </w:r>
    </w:p>
    <w:p>
      <w:pPr>
        <w:jc w:val="center"/>
        <w:rPr>
          <w:rFonts w:hint="eastAsia" w:ascii="方正小标宋简体" w:hAnsi="方正小标宋简体" w:eastAsia="方正小标宋简体" w:cs="方正小标宋简体"/>
          <w:sz w:val="44"/>
          <w:szCs w:val="44"/>
          <w:lang w:val="en-US" w:eastAsia="zh-CN"/>
        </w:rPr>
      </w:pPr>
      <w:r>
        <w:rPr>
          <w:rFonts w:hint="eastAsia" w:ascii="黑体" w:hAnsi="黑体" w:eastAsia="黑体" w:cs="黑体"/>
          <w:sz w:val="44"/>
          <w:szCs w:val="44"/>
          <w:lang w:val="en-US" w:eastAsia="zh-CN"/>
        </w:rPr>
        <w:t>垃圾处理站工程项目监理服务技术要求</w:t>
      </w:r>
    </w:p>
    <w:p>
      <w:pPr>
        <w:jc w:val="both"/>
        <w:rPr>
          <w:rFonts w:hint="eastAsia" w:ascii="仿宋" w:hAnsi="仿宋" w:eastAsia="仿宋" w:cs="仿宋"/>
          <w:b/>
          <w:bCs/>
          <w:color w:val="auto"/>
          <w:sz w:val="32"/>
          <w:szCs w:val="32"/>
          <w:lang w:val="en-US" w:eastAsia="zh-CN"/>
        </w:rPr>
      </w:pPr>
    </w:p>
    <w:p>
      <w:pPr>
        <w:jc w:val="both"/>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一、工程项目建设内容简介</w:t>
      </w:r>
    </w:p>
    <w:p>
      <w:pPr>
        <w:numPr>
          <w:ilvl w:val="0"/>
          <w:numId w:val="0"/>
        </w:numPr>
        <w:ind w:firstLine="640" w:firstLineChars="200"/>
        <w:jc w:val="both"/>
        <w:rPr>
          <w:rFonts w:hint="eastAsia" w:ascii="仿宋" w:hAnsi="仿宋" w:eastAsia="仿宋" w:cs="仿宋"/>
          <w:b/>
          <w:bCs/>
          <w:spacing w:val="20"/>
          <w:sz w:val="36"/>
          <w:szCs w:val="36"/>
          <w:lang w:eastAsia="zh-CN"/>
        </w:rPr>
      </w:pPr>
      <w:r>
        <w:rPr>
          <w:rFonts w:hint="eastAsia" w:ascii="仿宋" w:hAnsi="仿宋" w:eastAsia="仿宋" w:cs="仿宋"/>
          <w:color w:val="auto"/>
          <w:sz w:val="32"/>
          <w:szCs w:val="32"/>
          <w:lang w:val="en-US" w:eastAsia="zh-CN"/>
        </w:rPr>
        <w:t>本工程包括垃圾处理站现场室外工程（包括室外工程电气、给排水、建筑、暖通、室外结构等）、建造垃圾处理站房（包括垃圾处理站室外工程电气、给排水、建筑、暖通、室外结构等）、汽车库、汽车棚等工程（工程施工范围和技术要求详见招标设计图）</w:t>
      </w:r>
    </w:p>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b/>
          <w:bCs/>
          <w:spacing w:val="20"/>
          <w:sz w:val="32"/>
          <w:szCs w:val="32"/>
          <w:lang w:val="en-US" w:eastAsia="zh-CN"/>
        </w:rPr>
        <w:t>二</w:t>
      </w:r>
      <w:r>
        <w:rPr>
          <w:rFonts w:hint="eastAsia" w:ascii="仿宋" w:hAnsi="仿宋" w:eastAsia="仿宋" w:cs="仿宋"/>
          <w:b/>
          <w:bCs/>
          <w:spacing w:val="20"/>
          <w:sz w:val="32"/>
          <w:szCs w:val="32"/>
        </w:rPr>
        <w:t>、</w:t>
      </w:r>
      <w:r>
        <w:rPr>
          <w:rFonts w:hint="eastAsia" w:ascii="仿宋" w:hAnsi="仿宋" w:eastAsia="仿宋" w:cs="仿宋"/>
          <w:b/>
          <w:bCs/>
          <w:spacing w:val="20"/>
          <w:sz w:val="32"/>
          <w:szCs w:val="32"/>
          <w:lang w:val="en-US" w:eastAsia="zh-CN"/>
        </w:rPr>
        <w:t>监理服务</w:t>
      </w:r>
      <w:r>
        <w:rPr>
          <w:rFonts w:hint="eastAsia" w:ascii="仿宋" w:hAnsi="仿宋" w:eastAsia="仿宋" w:cs="仿宋"/>
          <w:b/>
          <w:bCs/>
          <w:spacing w:val="20"/>
          <w:sz w:val="32"/>
          <w:szCs w:val="32"/>
        </w:rPr>
        <w:t>内容</w:t>
      </w:r>
      <w:r>
        <w:rPr>
          <w:rFonts w:hint="eastAsia" w:ascii="仿宋" w:hAnsi="仿宋" w:eastAsia="仿宋" w:cs="仿宋"/>
          <w:b/>
          <w:bCs/>
          <w:spacing w:val="20"/>
          <w:sz w:val="32"/>
          <w:szCs w:val="32"/>
          <w:lang w:val="en-US" w:eastAsia="zh-CN"/>
        </w:rPr>
        <w:t>及服务期限</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次监理服务内容为神华黄骅港务公司2019年固体垃圾处理站工程项目监理服务工作，包括该项目施工准备阶段、施工、竣工验收阶段的监理工作。同时应在工程合同质保期配合神华黄骅港务公司对工程质量缺陷进行检查、记录、调查分析。</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理单位根据发包人委托对本工程的质量、进度、安全、文明施工、工程费用、检测等实施监督管理，做好项目的合同、信息资料和现场协调工作。重点是履行现场监督管理职责，严格把控施工材料及施工过程，确保工程质量。</w:t>
      </w:r>
    </w:p>
    <w:p>
      <w:pPr>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服务期限为监理合同签订至所建工程缺陷责任期责任期结束，</w:t>
      </w:r>
      <w:r>
        <w:rPr>
          <w:rFonts w:hint="eastAsia" w:ascii="仿宋" w:hAnsi="仿宋" w:eastAsia="仿宋" w:cs="仿宋"/>
          <w:sz w:val="32"/>
          <w:szCs w:val="32"/>
          <w:lang w:val="en-US" w:eastAsia="zh-CN"/>
        </w:rPr>
        <w:t>该项目施工工期为365日历天。工程概算874万元。</w:t>
      </w:r>
      <w:bookmarkStart w:id="0" w:name="_GoBack"/>
      <w:bookmarkEnd w:id="0"/>
    </w:p>
    <w:p>
      <w:pPr>
        <w:ind w:firstLine="640" w:firstLineChars="200"/>
        <w:jc w:val="both"/>
        <w:rPr>
          <w:rFonts w:hint="eastAsia" w:ascii="仿宋" w:hAnsi="仿宋" w:eastAsia="仿宋" w:cs="仿宋"/>
          <w:color w:val="auto"/>
          <w:sz w:val="32"/>
          <w:szCs w:val="32"/>
          <w:lang w:val="en-US" w:eastAsia="zh-CN"/>
        </w:rPr>
      </w:pPr>
    </w:p>
    <w:p>
      <w:pPr>
        <w:numPr>
          <w:ilvl w:val="0"/>
          <w:numId w:val="0"/>
        </w:numPr>
        <w:jc w:val="left"/>
        <w:rPr>
          <w:rFonts w:hint="eastAsia" w:ascii="仿宋" w:hAnsi="仿宋" w:eastAsia="仿宋" w:cs="仿宋"/>
          <w:b/>
          <w:bCs/>
          <w:spacing w:val="20"/>
          <w:sz w:val="32"/>
          <w:szCs w:val="32"/>
        </w:rPr>
      </w:pPr>
      <w:r>
        <w:rPr>
          <w:rFonts w:hint="eastAsia" w:ascii="仿宋" w:hAnsi="仿宋" w:eastAsia="仿宋" w:cs="仿宋"/>
          <w:b/>
          <w:bCs/>
          <w:spacing w:val="20"/>
          <w:sz w:val="32"/>
          <w:szCs w:val="32"/>
          <w:lang w:val="en-US" w:eastAsia="zh-CN"/>
        </w:rPr>
        <w:t>三</w:t>
      </w: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rPr>
        <w:t>监理服务基本要求</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监理单位应按照投标人员及时组建监理部，要求持证上岗，监理部应配备监理人员最低要求见下表：</w:t>
      </w:r>
    </w:p>
    <w:tbl>
      <w:tblPr>
        <w:tblStyle w:val="4"/>
        <w:tblpPr w:leftFromText="180" w:rightFromText="180" w:vertAnchor="text" w:horzAnchor="page" w:tblpXSpec="center" w:tblpY="253"/>
        <w:tblOverlap w:val="never"/>
        <w:tblW w:w="852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2162"/>
        <w:gridCol w:w="4635"/>
        <w:gridCol w:w="9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817"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序号</w:t>
            </w:r>
          </w:p>
        </w:tc>
        <w:tc>
          <w:tcPr>
            <w:tcW w:w="2162"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岗位</w:t>
            </w:r>
          </w:p>
        </w:tc>
        <w:tc>
          <w:tcPr>
            <w:tcW w:w="4635" w:type="dxa"/>
            <w:vAlign w:val="top"/>
          </w:tcPr>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资格</w:t>
            </w:r>
          </w:p>
        </w:tc>
        <w:tc>
          <w:tcPr>
            <w:tcW w:w="908"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817" w:type="dxa"/>
            <w:vAlign w:val="top"/>
          </w:tcPr>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c>
          <w:tcPr>
            <w:tcW w:w="2162"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总监</w:t>
            </w:r>
          </w:p>
        </w:tc>
        <w:tc>
          <w:tcPr>
            <w:tcW w:w="4635"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有丰富施工监理经验、拥有国家注册监理工程师职业资格证书</w:t>
            </w:r>
          </w:p>
        </w:tc>
        <w:tc>
          <w:tcPr>
            <w:tcW w:w="908"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817" w:type="dxa"/>
            <w:vAlign w:val="top"/>
          </w:tcPr>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p>
        </w:tc>
        <w:tc>
          <w:tcPr>
            <w:tcW w:w="2162"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现场质量管理监理</w:t>
            </w:r>
          </w:p>
        </w:tc>
        <w:tc>
          <w:tcPr>
            <w:tcW w:w="4635"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持有相关监理资格证书</w:t>
            </w:r>
          </w:p>
        </w:tc>
        <w:tc>
          <w:tcPr>
            <w:tcW w:w="908"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817" w:type="dxa"/>
            <w:vAlign w:val="top"/>
          </w:tcPr>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p>
        </w:tc>
        <w:tc>
          <w:tcPr>
            <w:tcW w:w="2162"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现场材料监理</w:t>
            </w:r>
          </w:p>
        </w:tc>
        <w:tc>
          <w:tcPr>
            <w:tcW w:w="4635"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持有相关监理资格证书</w:t>
            </w:r>
          </w:p>
        </w:tc>
        <w:tc>
          <w:tcPr>
            <w:tcW w:w="908"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817" w:type="dxa"/>
            <w:vAlign w:val="top"/>
          </w:tcPr>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p>
        </w:tc>
        <w:tc>
          <w:tcPr>
            <w:tcW w:w="2162"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现场测量监理</w:t>
            </w:r>
          </w:p>
        </w:tc>
        <w:tc>
          <w:tcPr>
            <w:tcW w:w="4635"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持有相关监理资格证书</w:t>
            </w:r>
          </w:p>
        </w:tc>
        <w:tc>
          <w:tcPr>
            <w:tcW w:w="908"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817" w:type="dxa"/>
            <w:vAlign w:val="top"/>
          </w:tcPr>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p>
        </w:tc>
        <w:tc>
          <w:tcPr>
            <w:tcW w:w="2162" w:type="dxa"/>
            <w:vAlign w:val="top"/>
          </w:tcPr>
          <w:p>
            <w:pPr>
              <w:numPr>
                <w:ilvl w:val="0"/>
                <w:numId w:val="0"/>
              </w:numPr>
              <w:ind w:left="0" w:leftChars="0" w:firstLine="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现场安全监理</w:t>
            </w:r>
          </w:p>
        </w:tc>
        <w:tc>
          <w:tcPr>
            <w:tcW w:w="4635" w:type="dxa"/>
            <w:vAlign w:val="top"/>
          </w:tcPr>
          <w:p>
            <w:pPr>
              <w:numPr>
                <w:ilvl w:val="0"/>
                <w:numId w:val="0"/>
              </w:numPr>
              <w:ind w:left="0" w:leftChars="0" w:firstLine="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持有相关监理资格证书</w:t>
            </w:r>
          </w:p>
        </w:tc>
        <w:tc>
          <w:tcPr>
            <w:tcW w:w="908"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817" w:type="dxa"/>
            <w:vAlign w:val="top"/>
          </w:tcPr>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w:t>
            </w:r>
          </w:p>
        </w:tc>
        <w:tc>
          <w:tcPr>
            <w:tcW w:w="2162" w:type="dxa"/>
            <w:vAlign w:val="top"/>
          </w:tcPr>
          <w:p>
            <w:pPr>
              <w:numPr>
                <w:ilvl w:val="0"/>
                <w:numId w:val="0"/>
              </w:numPr>
              <w:ind w:left="0" w:leftChars="0" w:firstLine="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资料员</w:t>
            </w:r>
          </w:p>
        </w:tc>
        <w:tc>
          <w:tcPr>
            <w:tcW w:w="4635" w:type="dxa"/>
            <w:vAlign w:val="top"/>
          </w:tcPr>
          <w:p>
            <w:pPr>
              <w:numPr>
                <w:ilvl w:val="0"/>
                <w:numId w:val="0"/>
              </w:numPr>
              <w:ind w:left="0" w:leftChars="0" w:firstLine="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具备资料员</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HYPERLINK "http://baike.baidu.com/view/1827633.htm" \t "_blank"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职业资格证</w:t>
            </w:r>
            <w:r>
              <w:rPr>
                <w:rFonts w:hint="eastAsia" w:ascii="仿宋" w:hAnsi="仿宋" w:eastAsia="仿宋" w:cs="仿宋"/>
                <w:sz w:val="32"/>
                <w:szCs w:val="32"/>
                <w:lang w:val="en-US" w:eastAsia="zh-CN"/>
              </w:rPr>
              <w:fldChar w:fldCharType="end"/>
            </w:r>
          </w:p>
        </w:tc>
        <w:tc>
          <w:tcPr>
            <w:tcW w:w="908"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817" w:type="dxa"/>
            <w:vAlign w:val="top"/>
          </w:tcPr>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w:t>
            </w:r>
          </w:p>
        </w:tc>
        <w:tc>
          <w:tcPr>
            <w:tcW w:w="2162" w:type="dxa"/>
            <w:vAlign w:val="top"/>
          </w:tcPr>
          <w:p>
            <w:pPr>
              <w:numPr>
                <w:ilvl w:val="0"/>
                <w:numId w:val="0"/>
              </w:numPr>
              <w:ind w:left="0" w:leftChars="0" w:firstLine="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财务</w:t>
            </w:r>
          </w:p>
        </w:tc>
        <w:tc>
          <w:tcPr>
            <w:tcW w:w="4635" w:type="dxa"/>
            <w:vAlign w:val="top"/>
          </w:tcPr>
          <w:p>
            <w:pPr>
              <w:numPr>
                <w:ilvl w:val="0"/>
                <w:numId w:val="0"/>
              </w:numPr>
              <w:ind w:left="0" w:leftChars="0" w:firstLine="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具备财务从业资格</w:t>
            </w:r>
          </w:p>
        </w:tc>
        <w:tc>
          <w:tcPr>
            <w:tcW w:w="908" w:type="dxa"/>
            <w:vAlign w:val="top"/>
          </w:tcPr>
          <w:p>
            <w:pPr>
              <w:numPr>
                <w:ilvl w:val="0"/>
                <w:numId w:val="0"/>
              </w:num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p>
        </w:tc>
      </w:tr>
    </w:tbl>
    <w:p>
      <w:pPr>
        <w:numPr>
          <w:ilvl w:val="0"/>
          <w:numId w:val="0"/>
        </w:numPr>
        <w:ind w:firstLine="560"/>
        <w:jc w:val="both"/>
        <w:rPr>
          <w:rFonts w:hint="eastAsia" w:ascii="仿宋" w:hAnsi="仿宋" w:eastAsia="仿宋" w:cs="仿宋"/>
          <w:sz w:val="32"/>
          <w:szCs w:val="32"/>
          <w:lang w:val="en-US" w:eastAsia="zh-CN"/>
        </w:rPr>
      </w:pPr>
    </w:p>
    <w:p>
      <w:pPr>
        <w:numPr>
          <w:ilvl w:val="0"/>
          <w:numId w:val="0"/>
        </w:num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要确保监理人员及时到位，派驻现场的监理人员应趋于固定，不得擅自变动调换。不合格监理人员，应在接建设单位要求后一周内予以调换。</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监理单位所需房屋、车辆等自行解决。</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对于工程项目重要工序或隐蔽分项应进行旁站监理，确保质量、进度、安全可控。</w:t>
      </w:r>
    </w:p>
    <w:p>
      <w:pPr>
        <w:numPr>
          <w:ilvl w:val="0"/>
          <w:numId w:val="0"/>
        </w:numPr>
        <w:rPr>
          <w:rFonts w:hint="eastAsia" w:ascii="仿宋" w:hAnsi="仿宋" w:eastAsia="仿宋" w:cs="仿宋"/>
          <w:b/>
          <w:bCs/>
          <w:spacing w:val="20"/>
          <w:sz w:val="32"/>
          <w:szCs w:val="32"/>
          <w:lang w:val="en-US"/>
        </w:rPr>
      </w:pPr>
      <w:r>
        <w:rPr>
          <w:rFonts w:hint="eastAsia" w:ascii="仿宋" w:hAnsi="仿宋" w:eastAsia="仿宋" w:cs="仿宋"/>
          <w:b/>
          <w:bCs/>
          <w:spacing w:val="20"/>
          <w:sz w:val="32"/>
          <w:szCs w:val="32"/>
          <w:lang w:val="en-US" w:eastAsia="zh-CN"/>
        </w:rPr>
        <w:t>四、</w:t>
      </w:r>
      <w:r>
        <w:rPr>
          <w:rFonts w:hint="eastAsia" w:ascii="仿宋" w:hAnsi="仿宋" w:eastAsia="仿宋" w:cs="仿宋"/>
          <w:b/>
          <w:bCs/>
          <w:spacing w:val="20"/>
          <w:sz w:val="32"/>
          <w:szCs w:val="32"/>
        </w:rPr>
        <w:t>监理工作</w:t>
      </w:r>
      <w:r>
        <w:rPr>
          <w:rFonts w:hint="eastAsia" w:ascii="仿宋" w:hAnsi="仿宋" w:eastAsia="仿宋" w:cs="仿宋"/>
          <w:b/>
          <w:bCs/>
          <w:spacing w:val="20"/>
          <w:sz w:val="32"/>
          <w:szCs w:val="32"/>
          <w:lang w:val="en-US" w:eastAsia="zh-CN"/>
        </w:rPr>
        <w:t>主要内容</w:t>
      </w:r>
    </w:p>
    <w:p>
      <w:pPr>
        <w:jc w:val="left"/>
        <w:rPr>
          <w:rFonts w:hint="eastAsia" w:ascii="仿宋" w:hAnsi="仿宋" w:eastAsia="仿宋" w:cs="仿宋"/>
          <w:b/>
          <w:bCs/>
          <w:spacing w:val="20"/>
          <w:sz w:val="32"/>
          <w:szCs w:val="32"/>
        </w:rPr>
      </w:pPr>
      <w:r>
        <w:rPr>
          <w:rFonts w:hint="eastAsia" w:ascii="仿宋" w:hAnsi="仿宋" w:eastAsia="仿宋" w:cs="仿宋"/>
          <w:b/>
          <w:bCs/>
          <w:spacing w:val="20"/>
          <w:sz w:val="32"/>
          <w:szCs w:val="32"/>
          <w:lang w:val="en-US" w:eastAsia="zh-CN"/>
        </w:rPr>
        <w:t xml:space="preserve">   </w:t>
      </w: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lang w:val="en-US" w:eastAsia="zh-CN"/>
        </w:rPr>
        <w:t>1</w:t>
      </w: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rPr>
        <w:t>前期准备</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监理单位在接到中标通知书后应尽快组建监理项目部，相关人员进场做好相应准备工作。</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监理单位应结合工程特点，依据《水运工程施工监理规范JTJ216—2000》、《水运工程质量检验标准》等相关最新规范要求编制合理可行的《监理大纲》和《监理实施细则》。</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监理单位应协助业主与施工单位进行合同签订与管理，审查承建单位提出的施工组织设计、施工技术方案和施工进度计划，确保施工组织、方案及进度满足工程要求。对委托设计项目，参加图纸会审，结合工程实际提出合理建议。</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督促施工单位督促施工单位建立健全各项施工管理制度，做好施工准备工作。</w:t>
      </w:r>
    </w:p>
    <w:p>
      <w:pPr>
        <w:ind w:firstLine="723" w:firstLineChars="200"/>
        <w:jc w:val="left"/>
        <w:rPr>
          <w:rFonts w:hint="eastAsia" w:ascii="仿宋" w:hAnsi="仿宋" w:eastAsia="仿宋" w:cs="仿宋"/>
          <w:b/>
          <w:bCs/>
          <w:spacing w:val="20"/>
          <w:sz w:val="32"/>
          <w:szCs w:val="32"/>
        </w:rPr>
      </w:pP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lang w:val="en-US" w:eastAsia="zh-CN"/>
        </w:rPr>
        <w:t>2</w:t>
      </w: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rPr>
        <w:t>质量控制</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程质量控制是本项目施工监理的主要内容之一，监理单位需通过科学、严谨的监理方法和有效的检测手段，加强监督与管理力度严格要求与约束施工单位按相关设计要求、工程技术规范和质量检验评定标准中的有关规定进行精心、严密的施工。</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监理单位应督促施工单位对每一分项工程编制合理施工方案及质控管理体系措施，确保方法得当、管控有效，满足维修要求。对于重要、重复项目，可督促施工单位进行典型施工取得经验后再进行大面积施工。</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审查施工单位提出的材料和设备清单及其所列的规格与质量，并审查材料和设备供应单位的资质。对施工单位负责采购的设备、材料按合同规定的标准进行检验与验收。检查工程使用的材料、构件和设备的质量并进行签认，对不合格者提出试验或更换要求。</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严格过程控制，对施工过程进行旁站巡查，监督施工单位严格按照工艺流程和规范要求进行施工；对工程质量进行跟踪控制，检查分部工程质量，对发现的质量问题及时报告业主，并要求施工单位立即整改，未整改完不准继续施工；组织或参加隐蔽工程和分项、分部工程验收。</w:t>
      </w:r>
    </w:p>
    <w:p>
      <w:pPr>
        <w:numPr>
          <w:ilvl w:val="0"/>
          <w:numId w:val="0"/>
        </w:numPr>
        <w:ind w:firstLine="56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组织业主、施工单位及相关部门按照相关标准要求进行工程预验收，监督预验收中存在问题的整改。</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按流程审核施工中的工程变更、签证等，对于项目变更部分的成本进行严格控制。根据现场实际情况，对工程提出合理的变更方案。</w:t>
      </w:r>
    </w:p>
    <w:p>
      <w:pPr>
        <w:ind w:firstLine="723" w:firstLineChars="200"/>
        <w:jc w:val="left"/>
        <w:rPr>
          <w:rFonts w:hint="eastAsia" w:ascii="仿宋" w:hAnsi="仿宋" w:eastAsia="仿宋" w:cs="仿宋"/>
          <w:b/>
          <w:bCs/>
          <w:spacing w:val="20"/>
          <w:sz w:val="32"/>
          <w:szCs w:val="32"/>
        </w:rPr>
      </w:pP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lang w:val="en-US" w:eastAsia="zh-CN"/>
        </w:rPr>
        <w:t>3</w:t>
      </w: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rPr>
        <w:t>进度控制</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督促施工单位按照业主要求编制明确各项目施工进度计划与节点目标，并在施工过程中严格要求施工单位按计划执行，对节点进行考核。</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督促指导施工单位及时组织人员、设备、材料进场，协调相关单位，确保满足工程进度要求。</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及时准确掌握各项目进展情况，进行记录分析并通报业主。对进度滞后项目，督促施工单位采取有效措施。</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对施工过程中出现的技术或其他问题，及时组织专题会议进行研究解决。</w:t>
      </w:r>
    </w:p>
    <w:p>
      <w:pPr>
        <w:ind w:firstLine="723" w:firstLineChars="200"/>
        <w:jc w:val="left"/>
        <w:rPr>
          <w:rFonts w:hint="eastAsia" w:ascii="仿宋" w:hAnsi="仿宋" w:eastAsia="仿宋" w:cs="仿宋"/>
          <w:b/>
          <w:bCs/>
          <w:spacing w:val="20"/>
          <w:sz w:val="32"/>
          <w:szCs w:val="32"/>
        </w:rPr>
      </w:pP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lang w:val="en-US" w:eastAsia="zh-CN"/>
        </w:rPr>
        <w:t>4</w:t>
      </w: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rPr>
        <w:t>安全文明施工</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督促施工单位结合工程项目特点对安全隐患进行排查，制定针对性安全措施，并做好施工人员进场安全教育。</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施工过程中严格要求施工人员穿戴安全帽等安保用品，检查安全措施是否到位，及时发现和纠正不安全行为，消除安全隐患。</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按照港务公司要求做好文明施工工作，督促施工单位工程开工前，随施工组织设计编报文明施工措施，施工临时设施要有详细的规划图、平面图、功能分布图及围挡（蓝色）或经业主同意的其他形式围栏隔离；各类施工现场的材料、机具应堆放整齐；施工场地应围挡作业，围挡必须符合有关要求；施工中现场建筑垃圾随用随清，弃至指定垃圾场；停工场地应及时整理；竣工工程的场地应及时清理。   </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按照港务公司要求督促施工单位办理同场作业联系单并按照联系单要求进行监督。</w:t>
      </w:r>
    </w:p>
    <w:p>
      <w:pPr>
        <w:ind w:firstLine="723" w:firstLineChars="200"/>
        <w:rPr>
          <w:rFonts w:hint="eastAsia" w:ascii="仿宋" w:hAnsi="仿宋" w:eastAsia="仿宋" w:cs="仿宋"/>
          <w:b/>
          <w:bCs/>
          <w:spacing w:val="20"/>
          <w:sz w:val="32"/>
          <w:szCs w:val="32"/>
        </w:rPr>
      </w:pP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lang w:val="en-US" w:eastAsia="zh-CN"/>
        </w:rPr>
        <w:t>5</w:t>
      </w:r>
      <w:r>
        <w:rPr>
          <w:rFonts w:hint="eastAsia" w:ascii="仿宋" w:hAnsi="仿宋" w:eastAsia="仿宋" w:cs="仿宋"/>
          <w:b/>
          <w:bCs/>
          <w:spacing w:val="20"/>
          <w:sz w:val="32"/>
          <w:szCs w:val="32"/>
          <w:lang w:eastAsia="zh-CN"/>
        </w:rPr>
        <w:t>）</w:t>
      </w:r>
      <w:r>
        <w:rPr>
          <w:rFonts w:hint="eastAsia" w:ascii="仿宋" w:hAnsi="仿宋" w:eastAsia="仿宋" w:cs="仿宋"/>
          <w:b/>
          <w:bCs/>
          <w:spacing w:val="20"/>
          <w:sz w:val="32"/>
          <w:szCs w:val="32"/>
        </w:rPr>
        <w:t>档案信息管理</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建立规范化的监理工作程序，使监理工作程序责任分明，流程清晰。建立切合实际、行之有效的监理表式(参照《水运工程施工监理规范JTJ216—2000》)。</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严格执行监理工作程序，对工程合同文件和技术档案资料进行整理存档。审查项目过程与竣工文件的完整性,督促检查工程竣工文档的移交。</w:t>
      </w:r>
    </w:p>
    <w:p>
      <w:pPr>
        <w:jc w:val="left"/>
        <w:rPr>
          <w:rFonts w:hint="eastAsia" w:ascii="仿宋" w:hAnsi="仿宋" w:eastAsia="仿宋" w:cs="仿宋"/>
          <w:b/>
          <w:bCs/>
          <w:spacing w:val="20"/>
          <w:sz w:val="32"/>
          <w:szCs w:val="32"/>
        </w:rPr>
      </w:pPr>
      <w:r>
        <w:rPr>
          <w:rFonts w:hint="eastAsia" w:ascii="仿宋" w:hAnsi="仿宋" w:eastAsia="仿宋" w:cs="仿宋"/>
          <w:b/>
          <w:bCs/>
          <w:spacing w:val="20"/>
          <w:sz w:val="32"/>
          <w:szCs w:val="32"/>
          <w:lang w:val="en-US" w:eastAsia="zh-CN"/>
        </w:rPr>
        <w:t>五</w:t>
      </w:r>
      <w:r>
        <w:rPr>
          <w:rFonts w:hint="eastAsia" w:ascii="仿宋" w:hAnsi="仿宋" w:eastAsia="仿宋" w:cs="仿宋"/>
          <w:b/>
          <w:bCs/>
          <w:spacing w:val="20"/>
          <w:sz w:val="32"/>
          <w:szCs w:val="32"/>
        </w:rPr>
        <w:t>、其他要求</w:t>
      </w:r>
    </w:p>
    <w:p>
      <w:pPr>
        <w:ind w:firstLine="320" w:firstLineChars="100"/>
        <w:rPr>
          <w:rFonts w:hint="eastAsia" w:ascii="仿宋" w:hAnsi="仿宋" w:eastAsia="仿宋" w:cs="仿宋"/>
          <w:sz w:val="32"/>
          <w:szCs w:val="32"/>
        </w:rPr>
      </w:pPr>
      <w:r>
        <w:rPr>
          <w:rFonts w:hint="eastAsia" w:ascii="仿宋" w:hAnsi="仿宋" w:eastAsia="仿宋" w:cs="仿宋"/>
          <w:sz w:val="32"/>
          <w:szCs w:val="32"/>
          <w:lang w:val="en-US" w:eastAsia="zh-CN"/>
        </w:rPr>
        <w:t>其他未尽要求，按照《水运工程施工监理规范JTJ216—2000》、《水运工程质量检验标准》等所涉及相关最新规范、标准执行。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Arial">
    <w:panose1 w:val="020B0604020202020204"/>
    <w:charset w:val="00"/>
    <w:family w:val="swiss"/>
    <w:pitch w:val="default"/>
    <w:sig w:usb0="E0002EFF" w:usb1="C000785B" w:usb2="00000009" w:usb3="00000000" w:csb0="400001FF" w:csb1="FFFF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TimesNew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0002AFF" w:usb1="C000247B" w:usb2="00000009" w:usb3="00000000" w:csb0="200001FF"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imes">
    <w:altName w:val="Times New Roman"/>
    <w:panose1 w:val="02020603050405020304"/>
    <w:charset w:val="00"/>
    <w:family w:val="roman"/>
    <w:pitch w:val="default"/>
    <w:sig w:usb0="00000000" w:usb1="00000000" w:usb2="00000000" w:usb3="00000000" w:csb0="00000093" w:csb1="00000000"/>
  </w:font>
  <w:font w:name="新宋体">
    <w:panose1 w:val="02010609030101010101"/>
    <w:charset w:val="86"/>
    <w:family w:val="auto"/>
    <w:pitch w:val="default"/>
    <w:sig w:usb0="0000028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 w:name="Malgun Gothic Semilight">
    <w:panose1 w:val="020B0502040204020203"/>
    <w:charset w:val="86"/>
    <w:family w:val="auto"/>
    <w:pitch w:val="default"/>
    <w:sig w:usb0="900002AF" w:usb1="01D77CFB" w:usb2="00000012" w:usb3="00000000" w:csb0="203E01BD" w:csb1="D7FF0000"/>
  </w:font>
  <w:font w:name="Microsoft JhengHei Light">
    <w:panose1 w:val="020B0304030504040204"/>
    <w:charset w:val="88"/>
    <w:family w:val="auto"/>
    <w:pitch w:val="default"/>
    <w:sig w:usb0="800002A7" w:usb1="28CF4400" w:usb2="00000016" w:usb3="00000000" w:csb0="00100009" w:csb1="00000000"/>
  </w:font>
  <w:font w:name="Microsoft JhengHei UI Light">
    <w:panose1 w:val="020B0304030504040204"/>
    <w:charset w:val="88"/>
    <w:family w:val="auto"/>
    <w:pitch w:val="default"/>
    <w:sig w:usb0="800002A7" w:usb1="28CF4400" w:usb2="00000016" w:usb3="00000000" w:csb0="00100009" w:csb1="00000000"/>
  </w:font>
  <w:font w:name="微软雅黑 Light">
    <w:panose1 w:val="020B0502040204020203"/>
    <w:charset w:val="86"/>
    <w:family w:val="auto"/>
    <w:pitch w:val="default"/>
    <w:sig w:usb0="80000287" w:usb1="2ACF001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531379"/>
    <w:rsid w:val="032644AE"/>
    <w:rsid w:val="09531379"/>
    <w:rsid w:val="0B131F4D"/>
    <w:rsid w:val="0C4C3DBC"/>
    <w:rsid w:val="181774CD"/>
    <w:rsid w:val="27F27FA6"/>
    <w:rsid w:val="32721DE0"/>
    <w:rsid w:val="32CF46F8"/>
    <w:rsid w:val="352C54F9"/>
    <w:rsid w:val="41AA797F"/>
    <w:rsid w:val="45756197"/>
    <w:rsid w:val="546C1525"/>
    <w:rsid w:val="5A211CC0"/>
    <w:rsid w:val="5A547155"/>
    <w:rsid w:val="5F310461"/>
    <w:rsid w:val="5F951678"/>
    <w:rsid w:val="64D350DA"/>
    <w:rsid w:val="70DB69B8"/>
    <w:rsid w:val="776718A6"/>
    <w:rsid w:val="7A725252"/>
    <w:rsid w:val="7B6856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2018-12-27T07:25:00Z</dcterms:created>
  <dc:creator>于俊清</dc:creator>
  <cp:lastModifiedBy>于俊清</cp:lastModifiedBy>
  <dcterms:modified xsi:type="dcterms:W3CDTF">2019-01-08T02:42:44Z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