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多功能浮油回收船租用服务技术规格书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船舶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为自有适航船舶，船舶舱容不小于5</w:t>
      </w:r>
      <w:r>
        <w:rPr>
          <w:rFonts w:ascii="Times New Roman" w:hAnsi="Times New Roman" w:eastAsia="仿宋_GB2312" w:cs="Times New Roman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0m</w:t>
      </w:r>
      <w:r>
        <w:rPr>
          <w:rFonts w:hint="eastAsia" w:ascii="Times New Roman" w:hAnsi="Times New Roman" w:eastAsia="仿宋_GB2312" w:cs="Times New Roman"/>
          <w:sz w:val="32"/>
          <w:szCs w:val="32"/>
          <w:vertAlign w:val="superscript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bookmarkStart w:id="0" w:name="OLE_LINK4"/>
      <w:bookmarkStart w:id="1" w:name="OLE_LINK1"/>
      <w:bookmarkStart w:id="2" w:name="OLE_LINK2"/>
      <w:bookmarkStart w:id="3" w:name="OLE_LINK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2、</w:t>
      </w:r>
      <w:bookmarkEnd w:id="0"/>
      <w:bookmarkEnd w:id="1"/>
      <w:bookmarkEnd w:id="2"/>
      <w:bookmarkEnd w:id="3"/>
      <w:r>
        <w:rPr>
          <w:rFonts w:hint="eastAsia" w:ascii="Times New Roman" w:hAnsi="Times New Roman" w:eastAsia="仿宋_GB2312" w:cs="Times New Roman"/>
          <w:sz w:val="32"/>
          <w:szCs w:val="32"/>
        </w:rPr>
        <w:t>船舶具有指挥、消防、监视和溢油围控、回收、储运功能，储油能力不小于</w:t>
      </w:r>
      <w:r>
        <w:rPr>
          <w:rFonts w:ascii="Times New Roman" w:hAnsi="Times New Roman" w:eastAsia="仿宋_GB2312" w:cs="Times New Roman"/>
          <w:sz w:val="32"/>
          <w:szCs w:val="32"/>
        </w:rPr>
        <w:t>500m</w:t>
      </w:r>
      <w:r>
        <w:rPr>
          <w:rFonts w:ascii="Times New Roman" w:hAnsi="Times New Roman" w:eastAsia="仿宋_GB2312" w:cs="Times New Roman"/>
          <w:sz w:val="32"/>
          <w:szCs w:val="32"/>
          <w:vertAlign w:val="superscript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、所有船舶证书必须完备，并在有效期内。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、船舶具备围油栏布放功能，须在甲板中部装有吊装设备，以便于布放收油机、围油栏等设备。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、船舶须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配备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收油机，收油能力不小于30m</w:t>
      </w:r>
      <w:r>
        <w:rPr>
          <w:rFonts w:hint="eastAsia" w:ascii="Times New Roman" w:hAnsi="Times New Roman" w:eastAsia="仿宋_GB2312" w:cs="Times New Roman"/>
          <w:sz w:val="32"/>
          <w:szCs w:val="32"/>
          <w:vertAlign w:val="superscript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/h，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能够对不同种类的溢油进行回收，船舶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必须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配备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固定式消油剂储存及喷洒装置。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、该船舶可配合油拖网使用。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、能够对不同厚度的溢油高效回收；能够高效回收不同黏度的溢油；能够克服水流对溢油回收效果的不良影响；回收作业不受水上漂浮垃圾的影响。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、船舶船员配备符合海事机构要求的最低船员配员要求，船员持有有效的船舶适任证书、工作人员持有有效的溢油应急培训合格证书，熟悉溢油应急反应相关业务和操作。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9、船舶在接到神华黄骅港务公司通知后，须在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个小时内到达指定地点进行溢油回收作业。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10、船舶租赁服务单位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应符合本地船舶污染物接收业务的相关政府部门的管理要求。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、船舶回收后的油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油污水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及含油废物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必须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按照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国家法律法规和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环保相关要求规范处理。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12、每半年按港务公司要求进行一次溢油应急演习。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合同期为两年或港务公司建造的船舶到港当季度为止，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采取单价合同方式签订，按季度进行报价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14、报价单</w:t>
      </w:r>
    </w:p>
    <w:tbl>
      <w:tblPr>
        <w:tblStyle w:val="4"/>
        <w:tblpPr w:leftFromText="180" w:rightFromText="180" w:vertAnchor="text" w:horzAnchor="page" w:tblpX="1807" w:tblpY="448"/>
        <w:tblOverlap w:val="never"/>
        <w:tblW w:w="87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2085"/>
        <w:gridCol w:w="3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服务周期</w:t>
            </w:r>
          </w:p>
        </w:tc>
        <w:tc>
          <w:tcPr>
            <w:tcW w:w="208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报价（元）</w:t>
            </w:r>
          </w:p>
        </w:tc>
        <w:tc>
          <w:tcPr>
            <w:tcW w:w="39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2019年一季度</w:t>
            </w:r>
          </w:p>
        </w:tc>
        <w:tc>
          <w:tcPr>
            <w:tcW w:w="208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60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合同期暂定为两年（以港务公司建造的船舶到港当季度为止），采取单价合同方式签订，按季度进行报价。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每半年按港务公司要求进行一次溢油应急演习包含在季度报价中，不再另付费用。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2019年二季度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2019年三季度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2019年四季度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2020年一季度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2020年二季度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2020年三季度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2020年四季度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60" w:type="dxa"/>
            <w:vMerge w:val="continue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right="0" w:rightChars="0" w:firstLine="640" w:firstLineChars="20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合计（元）</w:t>
            </w:r>
          </w:p>
        </w:tc>
        <w:tc>
          <w:tcPr>
            <w:tcW w:w="2085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bookmarkStart w:id="4" w:name="_GoBack"/>
            <w:bookmarkEnd w:id="4"/>
          </w:p>
        </w:tc>
        <w:tc>
          <w:tcPr>
            <w:tcW w:w="3960" w:type="dxa"/>
            <w:vAlign w:val="top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p/>
    <w:sectPr>
      <w:pgSz w:w="11907" w:h="16840"/>
      <w:pgMar w:top="2098" w:right="1474" w:bottom="1984" w:left="1587" w:header="851" w:footer="567" w:gutter="0"/>
      <w:pgNumType w:start="0"/>
      <w:cols w:space="0" w:num="1"/>
      <w:titlePg/>
      <w:rtlGutter w:val="0"/>
      <w:docGrid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 gb2312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ISOC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PS">
    <w:altName w:val="Segoe Print"/>
    <w:panose1 w:val="05050102010607020607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93" w:csb1="00000000"/>
  </w:font>
  <w:font w:name="Bookshelf Symbol 7">
    <w:altName w:val="Symbol"/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6" w:usb3="00000000" w:csb0="001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BE5892"/>
    <w:rsid w:val="61127C3F"/>
    <w:rsid w:val="65C9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安全监察部-李泽明</dc:creator>
  <cp:lastModifiedBy>于俊清</cp:lastModifiedBy>
  <dcterms:modified xsi:type="dcterms:W3CDTF">2019-01-29T00:41:35Z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