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方正小标宋简体" w:hAnsi="方正小标宋简体" w:eastAsia="方正小标宋简体" w:cs="方正小标宋简体"/>
          <w:b w:val="0"/>
          <w:bCs w:val="0"/>
          <w:sz w:val="36"/>
          <w:szCs w:val="36"/>
          <w:lang w:val="en-US" w:eastAsia="zh-CN"/>
        </w:rPr>
      </w:pPr>
      <w:r>
        <w:rPr>
          <w:rFonts w:hint="eastAsia" w:ascii="方正小标宋简体" w:hAnsi="方正小标宋简体" w:eastAsia="方正小标宋简体" w:cs="方正小标宋简体"/>
          <w:b w:val="0"/>
          <w:bCs w:val="0"/>
          <w:sz w:val="36"/>
          <w:szCs w:val="36"/>
          <w:lang w:val="en-US" w:eastAsia="zh-CN"/>
        </w:rPr>
        <w:t>处置废矿物油技术规格书</w:t>
      </w:r>
    </w:p>
    <w:p>
      <w:pPr>
        <w:spacing w:line="560" w:lineRule="exact"/>
        <w:jc w:val="both"/>
        <w:rPr>
          <w:rFonts w:hint="eastAsia" w:ascii="仿宋" w:hAnsi="仿宋" w:eastAsia="仿宋" w:cs="仿宋"/>
          <w:b w:val="0"/>
          <w:bCs w:val="0"/>
          <w:sz w:val="32"/>
          <w:szCs w:val="32"/>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76" w:right="76" w:firstLine="640" w:firstLineChars="200"/>
        <w:jc w:val="both"/>
        <w:textAlignment w:val="auto"/>
        <w:outlineLvl w:val="9"/>
        <w:rPr>
          <w:rFonts w:hint="eastAsia" w:ascii="仿宋_GB2312" w:hAnsi="仿宋" w:eastAsia="仿宋_GB2312" w:cstheme="minorBidi"/>
          <w:spacing w:val="8"/>
          <w:kern w:val="2"/>
          <w:sz w:val="32"/>
          <w:szCs w:val="32"/>
          <w:lang w:val="en-US" w:eastAsia="zh-CN" w:bidi="ar-SA"/>
        </w:rPr>
      </w:pPr>
      <w:r>
        <w:rPr>
          <w:rFonts w:hint="eastAsia" w:ascii="仿宋" w:hAnsi="仿宋" w:eastAsia="仿宋" w:cs="仿宋"/>
          <w:b w:val="0"/>
          <w:bCs w:val="0"/>
          <w:sz w:val="32"/>
          <w:szCs w:val="32"/>
          <w:lang w:val="en-US" w:eastAsia="zh-CN"/>
        </w:rPr>
        <w:t>1、投标方</w:t>
      </w:r>
      <w:r>
        <w:rPr>
          <w:rFonts w:hint="eastAsia" w:ascii="仿宋_GB2312" w:hAnsi="仿宋" w:eastAsia="仿宋_GB2312" w:cstheme="minorBidi"/>
          <w:spacing w:val="8"/>
          <w:kern w:val="2"/>
          <w:sz w:val="32"/>
          <w:szCs w:val="32"/>
          <w:lang w:val="en-US" w:eastAsia="zh-CN" w:bidi="ar-SA"/>
        </w:rPr>
        <w:t>保证其及其派来接收的人员具备法律法规规定的接收和处置危险废物的资质和能力。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76" w:right="76" w:firstLine="672" w:firstLineChars="200"/>
        <w:jc w:val="both"/>
        <w:textAlignment w:val="auto"/>
        <w:outlineLvl w:val="9"/>
        <w:rPr>
          <w:rFonts w:hint="eastAsia" w:ascii="仿宋_GB2312" w:hAnsi="仿宋" w:eastAsia="仿宋_GB2312" w:cstheme="minorBidi"/>
          <w:spacing w:val="8"/>
          <w:kern w:val="2"/>
          <w:sz w:val="32"/>
          <w:szCs w:val="32"/>
          <w:lang w:val="en-US" w:eastAsia="zh-CN" w:bidi="ar-SA"/>
        </w:rPr>
      </w:pPr>
      <w:r>
        <w:rPr>
          <w:rFonts w:hint="eastAsia" w:ascii="仿宋_GB2312" w:hAnsi="仿宋" w:eastAsia="仿宋_GB2312" w:cstheme="minorBidi"/>
          <w:spacing w:val="8"/>
          <w:kern w:val="2"/>
          <w:sz w:val="32"/>
          <w:szCs w:val="32"/>
          <w:lang w:val="en-US" w:eastAsia="zh-CN" w:bidi="ar-SA"/>
        </w:rPr>
        <w:t>2、投标方按公司要求接收危险废物，并依照相关法律法规办理转移单，做到依法转移危险废物。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76" w:right="76" w:firstLine="672" w:firstLineChars="200"/>
        <w:jc w:val="both"/>
        <w:textAlignment w:val="auto"/>
        <w:outlineLvl w:val="9"/>
        <w:rPr>
          <w:rFonts w:hint="eastAsia" w:ascii="仿宋_GB2312" w:hAnsi="仿宋" w:eastAsia="仿宋_GB2312" w:cstheme="minorBidi"/>
          <w:spacing w:val="8"/>
          <w:kern w:val="2"/>
          <w:sz w:val="32"/>
          <w:szCs w:val="32"/>
          <w:lang w:val="en-US" w:eastAsia="zh-CN" w:bidi="ar-SA"/>
        </w:rPr>
      </w:pPr>
      <w:r>
        <w:rPr>
          <w:rFonts w:hint="eastAsia" w:ascii="仿宋_GB2312" w:hAnsi="仿宋" w:eastAsia="仿宋_GB2312" w:cstheme="minorBidi"/>
          <w:spacing w:val="8"/>
          <w:kern w:val="2"/>
          <w:sz w:val="32"/>
          <w:szCs w:val="32"/>
          <w:lang w:val="en-US" w:eastAsia="zh-CN" w:bidi="ar-SA"/>
        </w:rPr>
        <w:t>3、投标方保证严格按照国家环保相关法律法规的规定和标准对接收的危险废物包装、储存并实施无害化、安全处置。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76" w:right="76" w:firstLine="672" w:firstLineChars="200"/>
        <w:jc w:val="both"/>
        <w:textAlignment w:val="auto"/>
        <w:outlineLvl w:val="9"/>
        <w:rPr>
          <w:rFonts w:hint="eastAsia" w:ascii="仿宋_GB2312" w:hAnsi="仿宋" w:eastAsia="仿宋_GB2312" w:cstheme="minorBidi"/>
          <w:spacing w:val="8"/>
          <w:kern w:val="2"/>
          <w:sz w:val="32"/>
          <w:szCs w:val="32"/>
          <w:lang w:val="en-US" w:eastAsia="zh-CN" w:bidi="ar-SA"/>
        </w:rPr>
      </w:pPr>
      <w:r>
        <w:rPr>
          <w:rFonts w:hint="eastAsia" w:ascii="仿宋_GB2312" w:hAnsi="仿宋" w:eastAsia="仿宋_GB2312" w:cstheme="minorBidi"/>
          <w:spacing w:val="8"/>
          <w:kern w:val="2"/>
          <w:sz w:val="32"/>
          <w:szCs w:val="32"/>
          <w:lang w:val="en-US" w:eastAsia="zh-CN" w:bidi="ar-SA"/>
        </w:rPr>
        <w:t>4、投标方派来的接收人员应按照相关法律法规的规定做好自我防护工作并承担因此造成的健康、安全责任。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76" w:right="76" w:firstLine="672" w:firstLineChars="200"/>
        <w:jc w:val="both"/>
        <w:textAlignment w:val="auto"/>
        <w:outlineLvl w:val="9"/>
        <w:rPr>
          <w:rFonts w:hint="eastAsia" w:ascii="仿宋_GB2312" w:hAnsi="仿宋" w:eastAsia="仿宋_GB2312" w:cstheme="minorBidi"/>
          <w:spacing w:val="8"/>
          <w:kern w:val="2"/>
          <w:sz w:val="32"/>
          <w:szCs w:val="32"/>
          <w:lang w:val="en-US" w:eastAsia="zh-CN" w:bidi="ar-SA"/>
        </w:rPr>
      </w:pPr>
      <w:r>
        <w:rPr>
          <w:rFonts w:hint="eastAsia" w:ascii="仿宋_GB2312" w:hAnsi="仿宋" w:eastAsia="仿宋_GB2312" w:cstheme="minorBidi"/>
          <w:spacing w:val="8"/>
          <w:kern w:val="2"/>
          <w:sz w:val="32"/>
          <w:szCs w:val="32"/>
          <w:lang w:val="en-US" w:eastAsia="zh-CN" w:bidi="ar-SA"/>
        </w:rPr>
        <w:t>5、投标方负责接收时危险废物的运输工作，并保证运输过程中的危险废物不发生撒漏、倾倒等不符合法律法规的行为，接收、运输、处置过程中产生的一切责任由投标方承担。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76" w:right="76" w:firstLine="672" w:firstLineChars="200"/>
        <w:jc w:val="both"/>
        <w:textAlignment w:val="auto"/>
        <w:outlineLvl w:val="9"/>
        <w:rPr>
          <w:rFonts w:hint="eastAsia" w:ascii="仿宋_GB2312" w:hAnsi="仿宋" w:eastAsia="仿宋_GB2312" w:cstheme="minorBidi"/>
          <w:spacing w:val="8"/>
          <w:kern w:val="2"/>
          <w:sz w:val="32"/>
          <w:szCs w:val="32"/>
          <w:lang w:val="en-US" w:eastAsia="zh-CN" w:bidi="ar-SA"/>
        </w:rPr>
      </w:pPr>
      <w:r>
        <w:rPr>
          <w:rFonts w:hint="eastAsia" w:ascii="仿宋_GB2312" w:hAnsi="仿宋" w:eastAsia="仿宋_GB2312" w:cstheme="minorBidi"/>
          <w:spacing w:val="8"/>
          <w:kern w:val="2"/>
          <w:sz w:val="32"/>
          <w:szCs w:val="32"/>
          <w:lang w:val="en-US" w:eastAsia="zh-CN" w:bidi="ar-SA"/>
        </w:rPr>
        <w:t>6、合同为单价合同，合同期限为自签订之日起两年。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76" w:right="76" w:firstLine="672" w:firstLineChars="200"/>
        <w:jc w:val="both"/>
        <w:textAlignment w:val="auto"/>
        <w:outlineLvl w:val="9"/>
        <w:rPr>
          <w:rFonts w:hint="eastAsia" w:ascii="仿宋_GB2312" w:hAnsi="仿宋" w:eastAsia="仿宋_GB2312" w:cstheme="minorBidi"/>
          <w:spacing w:val="8"/>
          <w:kern w:val="2"/>
          <w:sz w:val="32"/>
          <w:szCs w:val="32"/>
          <w:lang w:val="en-US" w:eastAsia="zh-CN" w:bidi="ar-SA"/>
        </w:rPr>
      </w:pPr>
      <w:r>
        <w:rPr>
          <w:rFonts w:hint="eastAsia" w:ascii="仿宋_GB2312" w:hAnsi="仿宋" w:eastAsia="仿宋_GB2312" w:cstheme="minorBidi"/>
          <w:spacing w:val="8"/>
          <w:kern w:val="2"/>
          <w:sz w:val="32"/>
          <w:szCs w:val="32"/>
          <w:lang w:val="en-US" w:eastAsia="zh-CN" w:bidi="ar-SA"/>
        </w:rPr>
        <w:t>7、投标方按照以下表格报价</w:t>
      </w:r>
      <w:bookmarkStart w:id="0" w:name="_GoBack"/>
      <w:bookmarkEnd w:id="0"/>
      <w:r>
        <w:rPr>
          <w:rFonts w:hint="eastAsia" w:ascii="仿宋_GB2312" w:hAnsi="仿宋" w:eastAsia="仿宋_GB2312" w:cstheme="minorBidi"/>
          <w:spacing w:val="8"/>
          <w:kern w:val="2"/>
          <w:sz w:val="32"/>
          <w:szCs w:val="32"/>
          <w:lang w:val="en-US" w:eastAsia="zh-CN" w:bidi="ar-SA"/>
        </w:rPr>
        <w:t>（处理价格包括装卸运输费用）：</w:t>
      </w:r>
    </w:p>
    <w:tbl>
      <w:tblPr>
        <w:tblStyle w:val="4"/>
        <w:tblW w:w="7423" w:type="dxa"/>
        <w:jc w:val="center"/>
        <w:tblInd w:w="45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904"/>
        <w:gridCol w:w="1665"/>
        <w:gridCol w:w="1845"/>
        <w:gridCol w:w="2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720" w:hRule="atLeast"/>
          <w:jc w:val="center"/>
        </w:trPr>
        <w:tc>
          <w:tcPr>
            <w:tcW w:w="742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方正小标宋简体" w:hAnsi="方正小标宋简体" w:eastAsia="方正小标宋简体" w:cs="方正小标宋简体"/>
                <w:i w:val="0"/>
                <w:color w:val="000000"/>
                <w:sz w:val="36"/>
                <w:szCs w:val="36"/>
                <w:u w:val="none"/>
              </w:rPr>
            </w:pPr>
            <w:r>
              <w:rPr>
                <w:rFonts w:hint="eastAsia" w:ascii="方正小标宋简体" w:hAnsi="方正小标宋简体" w:eastAsia="方正小标宋简体" w:cs="方正小标宋简体"/>
                <w:i w:val="0"/>
                <w:color w:val="000000"/>
                <w:kern w:val="0"/>
                <w:sz w:val="36"/>
                <w:szCs w:val="36"/>
                <w:u w:val="none" w:color="000000"/>
                <w:lang w:val="en-US" w:eastAsia="zh-CN" w:bidi="ar"/>
              </w:rPr>
              <w:t>危险废物处理费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20"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color="000000"/>
                <w:lang w:val="en-US" w:eastAsia="zh-CN" w:bidi="ar"/>
              </w:rPr>
              <w:t>废物名称</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color="000000"/>
                <w:lang w:val="en-US" w:eastAsia="zh-CN" w:bidi="ar"/>
              </w:rPr>
              <w:t>废物类别</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color="000000"/>
                <w:lang w:val="en-US" w:eastAsia="zh-CN" w:bidi="ar"/>
              </w:rPr>
              <w:t>废物代码</w:t>
            </w:r>
          </w:p>
        </w:tc>
        <w:tc>
          <w:tcPr>
            <w:tcW w:w="20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color="000000"/>
                <w:lang w:val="en-US" w:eastAsia="zh-CN" w:bidi="ar"/>
              </w:rPr>
              <w:t>处理价格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720"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p>
        </w:tc>
        <w:tc>
          <w:tcPr>
            <w:tcW w:w="20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color="000000"/>
                <w:lang w:val="en-US" w:eastAsia="zh-CN" w:bidi="ar"/>
              </w:rPr>
              <w:t>元/吨</w:t>
            </w:r>
          </w:p>
        </w:tc>
      </w:tr>
    </w:tbl>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76" w:right="76" w:firstLine="672" w:firstLineChars="200"/>
        <w:jc w:val="both"/>
        <w:textAlignment w:val="auto"/>
        <w:outlineLvl w:val="9"/>
        <w:rPr>
          <w:rFonts w:hint="eastAsia" w:ascii="仿宋_GB2312" w:hAnsi="仿宋" w:eastAsia="仿宋_GB2312" w:cstheme="minorBidi"/>
          <w:spacing w:val="8"/>
          <w:kern w:val="2"/>
          <w:sz w:val="32"/>
          <w:szCs w:val="32"/>
          <w:lang w:val="en-US" w:eastAsia="zh-CN" w:bidi="ar-SA"/>
        </w:rPr>
      </w:pPr>
    </w:p>
    <w:p>
      <w:pPr>
        <w:spacing w:line="560" w:lineRule="exact"/>
        <w:jc w:val="both"/>
        <w:rPr>
          <w:rFonts w:hint="eastAsia" w:ascii="仿宋" w:hAnsi="仿宋" w:eastAsia="仿宋" w:cs="仿宋"/>
          <w:b w:val="0"/>
          <w:bCs w:val="0"/>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Helvetica Neue">
    <w:altName w:val="Corbel"/>
    <w:panose1 w:val="02000503000000020004"/>
    <w:charset w:val="00"/>
    <w:family w:val="auto"/>
    <w:pitch w:val="default"/>
    <w:sig w:usb0="00000000" w:usb1="00000000" w:usb2="00000010" w:usb3="00000000" w:csb0="00000001" w:csb1="00000000"/>
  </w:font>
  <w:font w:name="Arial Unicode MS">
    <w:altName w:val="宋体"/>
    <w:panose1 w:val="020B0604020202020204"/>
    <w:charset w:val="86"/>
    <w:family w:val="auto"/>
    <w:pitch w:val="default"/>
    <w:sig w:usb0="00000000" w:usb1="00000000" w:usb2="0000003F" w:usb3="00000000" w:csb0="603F01FF" w:csb1="FFFF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 w:name="Corbel">
    <w:panose1 w:val="020B0503020204020204"/>
    <w:charset w:val="00"/>
    <w:family w:val="auto"/>
    <w:pitch w:val="default"/>
    <w:sig w:usb0="A00002EF" w:usb1="4000A44B" w:usb2="0000000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PingFang SC">
    <w:altName w:val="宋体"/>
    <w:panose1 w:val="020B0400000000000000"/>
    <w:charset w:val="86"/>
    <w:family w:val="auto"/>
    <w:pitch w:val="default"/>
    <w:sig w:usb0="00000000" w:usb1="00000000" w:usb2="00000016" w:usb3="00000000" w:csb0="00140001" w:csb1="00000000"/>
  </w:font>
  <w:font w:name="Calibri Light">
    <w:panose1 w:val="020F0302020204030204"/>
    <w:charset w:val="00"/>
    <w:family w:val="auto"/>
    <w:pitch w:val="default"/>
    <w:sig w:usb0="E0002A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仿宋_GB2312">
    <w:altName w:val="仿宋"/>
    <w:panose1 w:val="02010609030101010101"/>
    <w:charset w:val="86"/>
    <w:family w:val="modern"/>
    <w:pitch w:val="default"/>
    <w:sig w:usb0="00000000" w:usb1="00000000" w:usb2="0000001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 w:name="ISOCT">
    <w:altName w:val="Times New Roman"/>
    <w:panose1 w:val="00000000000000000000"/>
    <w:charset w:val="00"/>
    <w:family w:val="auto"/>
    <w:pitch w:val="default"/>
    <w:sig w:usb0="00000000" w:usb1="00000000" w:usb2="00000000" w:usb3="00000000" w:csb0="00000001" w:csb1="00000000"/>
  </w:font>
  <w:font w:name="楷体_GB2312">
    <w:altName w:val="楷体"/>
    <w:panose1 w:val="02010609030101010101"/>
    <w:charset w:val="86"/>
    <w:family w:val="modern"/>
    <w:pitch w:val="default"/>
    <w:sig w:usb0="00000000" w:usb1="00000000" w:usb2="00000010" w:usb3="00000000" w:csb0="00040000" w:csb1="00000000"/>
  </w:font>
  <w:font w:name="SymbolPS">
    <w:altName w:val="Segoe Print"/>
    <w:panose1 w:val="05050102010607020607"/>
    <w:charset w:val="00"/>
    <w:family w:val="auto"/>
    <w:pitch w:val="default"/>
    <w:sig w:usb0="00000000" w:usb1="00000000" w:usb2="00000000" w:usb3="00000000" w:csb0="00000000" w:csb1="00000000"/>
  </w:font>
  <w:font w:name="Courier">
    <w:altName w:val="Courier New"/>
    <w:panose1 w:val="02060409020205020404"/>
    <w:charset w:val="00"/>
    <w:family w:val="auto"/>
    <w:pitch w:val="default"/>
    <w:sig w:usb0="00000000" w:usb1="00000000" w:usb2="00000000" w:usb3="00000000" w:csb0="00000093" w:csb1="00000000"/>
  </w:font>
  <w:font w:name="Bookshelf Symbol 7">
    <w:altName w:val="Symbol"/>
    <w:panose1 w:val="05010101010101010101"/>
    <w:charset w:val="00"/>
    <w:family w:val="auto"/>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 w:name="Segoe Print">
    <w:panose1 w:val="02000600000000000000"/>
    <w:charset w:val="00"/>
    <w:family w:val="auto"/>
    <w:pitch w:val="default"/>
    <w:sig w:usb0="0000028F" w:usb1="00000000" w:usb2="00000000" w:usb3="00000000" w:csb0="2000009F" w:csb1="47010000"/>
  </w:font>
  <w:font w:name="Symbol">
    <w:panose1 w:val="05050102010706020507"/>
    <w:charset w:val="00"/>
    <w:family w:val="auto"/>
    <w:pitch w:val="default"/>
    <w:sig w:usb0="00000000" w:usb1="00000000" w:usb2="00000000" w:usb3="00000000" w:csb0="80000000"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8D6394A"/>
    <w:rsid w:val="23B13787"/>
    <w:rsid w:val="32227CE2"/>
    <w:rsid w:val="32D342B6"/>
    <w:rsid w:val="6AC476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Bdr>
        <w:top w:val="none" w:color="auto" w:sz="0" w:space="0"/>
        <w:left w:val="none" w:color="auto" w:sz="0" w:space="0"/>
        <w:bottom w:val="none" w:color="auto" w:sz="0" w:space="0"/>
        <w:right w:val="none" w:color="auto" w:sz="0" w:space="0"/>
        <w:between w:val="none" w:color="auto" w:sz="0" w:space="0"/>
      </w:pBdr>
      <w:jc w:val="both"/>
    </w:pPr>
    <w:rPr>
      <w:rFonts w:ascii="等线" w:hAnsi="等线" w:eastAsia="等线" w:cs="等线"/>
      <w:color w:val="000000"/>
      <w:kern w:val="2"/>
      <w:sz w:val="24"/>
      <w:szCs w:val="24"/>
      <w:u w:color="000000"/>
      <w:lang w:val="en-US" w:eastAsia="zh-CN" w:bidi="ar-SA"/>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rPr>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安全监察部-李泽明</dc:creator>
  <cp:lastModifiedBy>安全监察部-李泽明</cp:lastModifiedBy>
  <dcterms:modified xsi:type="dcterms:W3CDTF">2019-03-12T01:35:45Z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