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880" w:hanging="880" w:hangingChars="200"/>
        <w:jc w:val="center"/>
        <w:rPr>
          <w:rFonts w:asciiTheme="minorEastAsia" w:hAnsiTheme="minorEastAsia" w:eastAsiaTheme="minorEastAsia"/>
          <w:sz w:val="44"/>
          <w:szCs w:val="44"/>
        </w:rPr>
      </w:pPr>
      <w:bookmarkStart w:id="4" w:name="_GoBack"/>
      <w:bookmarkEnd w:id="4"/>
      <w:r>
        <w:rPr>
          <w:rFonts w:hint="eastAsia" w:asciiTheme="minorEastAsia" w:hAnsiTheme="minorEastAsia" w:eastAsiaTheme="minorEastAsia"/>
          <w:sz w:val="44"/>
          <w:szCs w:val="44"/>
        </w:rPr>
        <w:t>201</w:t>
      </w:r>
      <w:r>
        <w:rPr>
          <w:rFonts w:hint="eastAsia" w:asciiTheme="minorEastAsia" w:hAnsiTheme="minorEastAsia" w:eastAsiaTheme="minorEastAsia"/>
          <w:sz w:val="44"/>
          <w:szCs w:val="44"/>
          <w:lang w:val="en-US" w:eastAsia="zh-CN"/>
        </w:rPr>
        <w:t>9</w:t>
      </w:r>
      <w:r>
        <w:rPr>
          <w:rFonts w:hint="eastAsia" w:asciiTheme="minorEastAsia" w:hAnsiTheme="minorEastAsia" w:eastAsiaTheme="minorEastAsia"/>
          <w:sz w:val="44"/>
          <w:szCs w:val="44"/>
        </w:rPr>
        <w:t>年窗帘采购安装工程技术规格书</w:t>
      </w:r>
    </w:p>
    <w:p>
      <w:pPr>
        <w:ind w:left="640" w:hanging="640" w:hangingChars="200"/>
        <w:outlineLvl w:val="0"/>
        <w:rPr>
          <w:rFonts w:ascii="仿宋_GB2312" w:hAnsi="仿宋_GB2312" w:eastAsia="仿宋_GB2312" w:cs="仿宋_GB2312"/>
          <w:sz w:val="32"/>
          <w:szCs w:val="32"/>
        </w:rPr>
      </w:pPr>
      <w:bookmarkStart w:id="0" w:name="_Toc376968404"/>
      <w:r>
        <w:rPr>
          <w:rFonts w:hint="eastAsia" w:ascii="仿宋_GB2312" w:hAnsi="仿宋_GB2312" w:eastAsia="仿宋_GB2312" w:cs="仿宋_GB2312"/>
          <w:sz w:val="32"/>
          <w:szCs w:val="32"/>
        </w:rPr>
        <w:t>1.总则</w:t>
      </w:r>
      <w:bookmarkEnd w:id="0"/>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1.1本规格书适用于神华黄骅港务有限责任公司后勤保障中心窗帘更换工程项目的基本技术要求和主要技术参数的有关条款，并非该项目的所有细节。本项目施工于神华黄骅港务有限公司。</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1.2本规格书所使用的标准如与施工方所执行的标准发生矛盾时，按较高标准执行。</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1.3在签订合同后，中标方有权提出因标准、规范和规程发生变化而产生的一些修订要求，具体事项宜由双方共同协商确定。</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1.4 如果施工方没有以书面形式对本规格书的条文提出异议，则意味着施工方提供的设备完全符合本规格书的要求。</w:t>
      </w:r>
    </w:p>
    <w:p>
      <w:pPr>
        <w:ind w:left="640" w:hanging="640" w:hanging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1.5本规格书经双方确认后作为订货合同的技术附件，与合同正文具有同等效力。</w:t>
      </w:r>
      <w:bookmarkStart w:id="1" w:name="_Toc376968405"/>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1.6 投标时提供窗帘布和轨道样品。</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2.工程概况</w:t>
      </w:r>
      <w:bookmarkEnd w:id="1"/>
    </w:p>
    <w:p>
      <w:pPr>
        <w:ind w:left="640" w:hanging="640" w:hanging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2.1承揽范围</w:t>
      </w:r>
    </w:p>
    <w:p>
      <w:pPr>
        <w:ind w:left="638" w:leftChars="304" w:firstLine="0" w:firstLineChars="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神华黄骅港务公司</w:t>
      </w:r>
      <w:r>
        <w:rPr>
          <w:rFonts w:hint="eastAsia" w:ascii="仿宋_GB2312" w:hAnsi="仿宋_GB2312" w:eastAsia="仿宋_GB2312" w:cs="仿宋_GB2312"/>
          <w:sz w:val="32"/>
          <w:szCs w:val="32"/>
          <w:lang w:val="en-US" w:eastAsia="zh-CN"/>
        </w:rPr>
        <w:t>联合楼8、10-11楼</w:t>
      </w:r>
      <w:r>
        <w:rPr>
          <w:rFonts w:hint="eastAsia" w:ascii="仿宋_GB2312" w:hAnsi="仿宋_GB2312" w:eastAsia="仿宋_GB2312" w:cs="仿宋_GB2312"/>
          <w:sz w:val="32"/>
          <w:szCs w:val="32"/>
          <w:lang w:eastAsia="zh-CN"/>
        </w:rPr>
        <w:t>的窗帘拆除安装</w:t>
      </w:r>
      <w:r>
        <w:rPr>
          <w:rFonts w:hint="eastAsia" w:ascii="仿宋_GB2312" w:hAnsi="仿宋_GB2312" w:eastAsia="仿宋_GB2312" w:cs="仿宋_GB2312"/>
          <w:sz w:val="32"/>
          <w:szCs w:val="32"/>
        </w:rPr>
        <w:t>。</w:t>
      </w:r>
    </w:p>
    <w:p>
      <w:pPr>
        <w:ind w:left="638" w:leftChars="304" w:firstLine="0" w:firstLineChars="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阻燃窗帘要求阻燃等级达到GB-B1，及防火检测报告。</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旧窗帘拆卸、窗帘、轨道、相关配件、运费、安装费、墙面处理、倒运及税金等所有费用，均包含在报价中。因现场实际情况造成不能安装或其他异常情况，均由投标方自行解决，直至全部正常使用，且符合港务公司各项安全及其他管理规定。</w:t>
      </w:r>
    </w:p>
    <w:p>
      <w:pPr>
        <w:ind w:left="640" w:hanging="640" w:hanging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2.2供货范围（包含但不仅限于以下清单，本项目所需其他设施及附件等未列出部分也包含在项目中）尺寸及数量仅供参考，均以实际勘察测量为准。</w:t>
      </w:r>
    </w:p>
    <w:tbl>
      <w:tblPr>
        <w:tblStyle w:val="3"/>
        <w:tblW w:w="9120" w:type="dxa"/>
        <w:jc w:val="center"/>
        <w:tblInd w:w="-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2977"/>
        <w:gridCol w:w="1559"/>
        <w:gridCol w:w="1560"/>
        <w:gridCol w:w="1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4" w:hRule="atLeast"/>
          <w:jc w:val="center"/>
        </w:trPr>
        <w:tc>
          <w:tcPr>
            <w:tcW w:w="1541" w:type="dxa"/>
            <w:vAlign w:val="center"/>
          </w:tcPr>
          <w:p>
            <w:pPr>
              <w:ind w:left="640" w:hanging="640" w:hangingChars="200"/>
              <w:jc w:val="center"/>
              <w:outlineLvl w:val="0"/>
              <w:rPr>
                <w:rFonts w:ascii="仿宋_GB2312" w:hAnsi="仿宋_GB2312" w:eastAsia="仿宋_GB2312" w:cs="仿宋_GB2312"/>
                <w:sz w:val="32"/>
                <w:szCs w:val="32"/>
              </w:rPr>
            </w:pPr>
            <w:bookmarkStart w:id="2" w:name="_Hlk490136794"/>
            <w:r>
              <w:rPr>
                <w:rFonts w:hint="eastAsia" w:ascii="仿宋_GB2312" w:hAnsi="仿宋_GB2312" w:eastAsia="仿宋_GB2312" w:cs="仿宋_GB2312"/>
                <w:sz w:val="32"/>
                <w:szCs w:val="32"/>
              </w:rPr>
              <w:t>区域</w:t>
            </w: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地点</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轴长</w:t>
            </w:r>
          </w:p>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（cm）</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高度</w:t>
            </w:r>
          </w:p>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（cm）</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数量</w:t>
            </w:r>
          </w:p>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541" w:type="dxa"/>
            <w:vMerge w:val="restart"/>
            <w:vAlign w:val="center"/>
          </w:tcPr>
          <w:p>
            <w:pPr>
              <w:ind w:left="640" w:hanging="640" w:hangingChars="200"/>
              <w:jc w:val="center"/>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联合楼</w:t>
            </w:r>
          </w:p>
          <w:p>
            <w:pPr>
              <w:ind w:left="0" w:leftChars="0" w:firstLine="0" w:firstLineChars="0"/>
              <w:jc w:val="both"/>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805</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541" w:type="dxa"/>
            <w:vMerge w:val="continue"/>
            <w:vAlign w:val="center"/>
          </w:tcPr>
          <w:p>
            <w:pPr>
              <w:ind w:left="0" w:leftChars="0" w:firstLine="0" w:firstLineChars="0"/>
              <w:jc w:val="both"/>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806</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541" w:type="dxa"/>
            <w:vMerge w:val="continue"/>
            <w:vAlign w:val="center"/>
          </w:tcPr>
          <w:p>
            <w:pPr>
              <w:ind w:left="0" w:leftChars="0" w:firstLine="0" w:firstLineChars="0"/>
              <w:jc w:val="both"/>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807</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541" w:type="dxa"/>
            <w:vMerge w:val="continue"/>
            <w:vAlign w:val="center"/>
          </w:tcPr>
          <w:p>
            <w:pPr>
              <w:ind w:left="0" w:leftChars="0" w:firstLine="0" w:firstLineChars="0"/>
              <w:jc w:val="both"/>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808</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541" w:type="dxa"/>
            <w:vMerge w:val="continue"/>
            <w:vAlign w:val="center"/>
          </w:tcPr>
          <w:p>
            <w:pPr>
              <w:ind w:left="0" w:leftChars="0" w:firstLine="0" w:firstLineChars="0"/>
              <w:jc w:val="both"/>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809</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541" w:type="dxa"/>
            <w:vMerge w:val="continue"/>
            <w:vAlign w:val="center"/>
          </w:tcPr>
          <w:p>
            <w:pPr>
              <w:ind w:left="0" w:leftChars="0" w:firstLine="0" w:firstLineChars="0"/>
              <w:jc w:val="both"/>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1015</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1020</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1030</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1102</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1103</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1105</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1107</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1110</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1111</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1113</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1115</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1116</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1117</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1118</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541" w:type="dxa"/>
            <w:vMerge w:val="restart"/>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联合楼</w:t>
            </w: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1120</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1121</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541" w:type="dxa"/>
            <w:vMerge w:val="continue"/>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1122</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p>
        </w:tc>
      </w:tr>
      <w:bookmarkEnd w:id="2"/>
    </w:tbl>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3.基本要求</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拆除后的窗帘按招标方要求进行处理，拆除后产生的墙面损坏、安装孔及其他问题应恢复至原墙面状态，防止出现花墙等影响室内卫生整洁的情况；拆除后的窗帘及附件根据招标方要求放置指定区域，并不得损坏，因施工方造成的损坏需按原价赔偿。</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3.4采购清单中“尺寸规格数量”仅供投标人参考，具体尺寸以投标人现场测量为准；如因测量尺寸不准导致窗帘安装不到位的责任由投标人承担。</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4.详细技术要求</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窗帘材料的品质应符合但不限于以下国家/行业技术标准：</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《纺织品燃烧性能试验垂直法》（GBT5455-1997）；</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《国家纺织品基本安全技术规范》（GB18401-2010）；</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《室内装饰装修材料、衬垫、及胶粘剂有害物质释放限量》（GB18587-2001）。</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成分：100%聚脂纤，阻燃等级：B1（GB17591-1998）；无有害物质含量，聚酯纤维布，符合《国家纺织产品基本安全技术规范》；</w:t>
      </w:r>
    </w:p>
    <w:p>
      <w:pPr>
        <w:keepNext w:val="0"/>
        <w:keepLines w:val="0"/>
        <w:pageBreakBefore w:val="0"/>
        <w:widowControl w:val="0"/>
        <w:kinsoku/>
        <w:wordWrap/>
        <w:overflowPunct/>
        <w:topLinePunct w:val="0"/>
        <w:autoSpaceDE/>
        <w:autoSpaceDN/>
        <w:bidi w:val="0"/>
        <w:adjustRightInd/>
        <w:snapToGrid/>
        <w:ind w:left="0" w:firstLine="643" w:firstLineChars="200"/>
        <w:jc w:val="left"/>
        <w:textAlignment w:val="auto"/>
        <w:outlineLvl w:val="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品牌：1、</w:t>
      </w:r>
      <w:r>
        <w:rPr>
          <w:rFonts w:hint="eastAsia" w:ascii="仿宋_GB2312" w:hAnsi="仿宋_GB2312" w:eastAsia="仿宋_GB2312" w:cs="仿宋_GB2312"/>
          <w:b/>
          <w:bCs/>
          <w:sz w:val="32"/>
          <w:szCs w:val="32"/>
          <w:lang w:eastAsia="zh-CN"/>
        </w:rPr>
        <w:t>贵品柔纱帘GPX001</w:t>
      </w:r>
      <w:r>
        <w:rPr>
          <w:rFonts w:hint="eastAsia" w:ascii="仿宋_GB2312" w:hAnsi="仿宋_GB2312" w:eastAsia="仿宋_GB2312" w:cs="仿宋_GB2312"/>
          <w:b/>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ind w:left="0" w:firstLine="1606" w:firstLineChars="500"/>
        <w:jc w:val="left"/>
        <w:textAlignment w:val="auto"/>
        <w:outlineLvl w:val="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2、 美尔耐8020 </w:t>
      </w:r>
    </w:p>
    <w:p>
      <w:pPr>
        <w:keepNext w:val="0"/>
        <w:keepLines w:val="0"/>
        <w:pageBreakBefore w:val="0"/>
        <w:widowControl w:val="0"/>
        <w:kinsoku/>
        <w:wordWrap/>
        <w:overflowPunct/>
        <w:topLinePunct w:val="0"/>
        <w:autoSpaceDE/>
        <w:autoSpaceDN/>
        <w:bidi w:val="0"/>
        <w:adjustRightInd/>
        <w:snapToGrid/>
        <w:ind w:left="0" w:firstLine="1606" w:firstLineChars="500"/>
        <w:jc w:val="left"/>
        <w:textAlignment w:val="auto"/>
        <w:outlineLvl w:val="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3、致尚家居 RSL001  </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工艺：防污、防霉、防油渍、耐脏、易清洗、不易藏污</w:t>
      </w:r>
      <w:r>
        <w:rPr>
          <w:rFonts w:hint="eastAsia" w:ascii="仿宋_GB2312" w:hAnsi="仿宋_GB2312" w:eastAsia="仿宋_GB2312" w:cs="仿宋_GB2312"/>
          <w:sz w:val="32"/>
          <w:szCs w:val="32"/>
        </w:rPr>
        <w:t>垢、色彩柔和、抗变形处理、抗静电整理；</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效果、性能：不起皱、不褪色、日晒色牢度5-6级、垂感好、无异味；</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bookmarkStart w:id="3" w:name="OLE_LINK1"/>
      <w:r>
        <w:rPr>
          <w:rFonts w:hint="eastAsia" w:ascii="仿宋_GB2312" w:hAnsi="仿宋_GB2312" w:eastAsia="仿宋_GB2312" w:cs="仿宋_GB2312"/>
          <w:sz w:val="32"/>
          <w:szCs w:val="32"/>
        </w:rPr>
        <w:t>窗帘杆：不低于2.5mm厚壁太空铝，表面多层工艺处理着色，色泽以招标方要求为准，满足《铝合金建筑型材材质量标准》（GB/T5237-2004）。</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拉升系统强，使用寿命频率高，材料坚固耐用，运行无噪音，耐磨、耐腐蚀，安装码坚固耐用；</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顶管：加强型铝管，保证面料平整；</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拉珠：颗粒圆整、间距均匀、表面光洁、不易褪色、牢固、美观、耐用，无缺珠和错位；</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底梁：材质：铝合金挤压型材，底杆表面白色烤漆处理。</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抗撕拉裂度：6盎司/平方码以上面料经向和纬向≥10磅力即200g/m2 面料经向和纬向承受≥6/Kg力不被撕裂。</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缩水率≤2%。</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甲醛含量:未检出。</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8240" behindDoc="0" locked="0" layoutInCell="1" allowOverlap="1">
            <wp:simplePos x="0" y="0"/>
            <wp:positionH relativeFrom="column">
              <wp:posOffset>876300</wp:posOffset>
            </wp:positionH>
            <wp:positionV relativeFrom="paragraph">
              <wp:posOffset>321945</wp:posOffset>
            </wp:positionV>
            <wp:extent cx="2770505" cy="2077720"/>
            <wp:effectExtent l="0" t="0" r="10795" b="17780"/>
            <wp:wrapNone/>
            <wp:docPr id="1" name="图片 1" descr="QQ图片2019031214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图片20190312141542"/>
                    <pic:cNvPicPr>
                      <a:picLocks noChangeAspect="1"/>
                    </pic:cNvPicPr>
                  </pic:nvPicPr>
                  <pic:blipFill>
                    <a:blip r:embed="rId4"/>
                    <a:stretch>
                      <a:fillRect/>
                    </a:stretch>
                  </pic:blipFill>
                  <pic:spPr>
                    <a:xfrm>
                      <a:off x="0" y="0"/>
                      <a:ext cx="2770505" cy="2077720"/>
                    </a:xfrm>
                    <a:prstGeom prst="rect">
                      <a:avLst/>
                    </a:prstGeom>
                  </pic:spPr>
                </pic:pic>
              </a:graphicData>
            </a:graphic>
          </wp:anchor>
        </w:drawing>
      </w:r>
      <w:r>
        <w:rPr>
          <w:rFonts w:hint="eastAsia" w:ascii="仿宋_GB2312" w:hAnsi="仿宋_GB2312" w:eastAsia="仿宋_GB2312" w:cs="仿宋_GB2312"/>
          <w:sz w:val="32"/>
          <w:szCs w:val="32"/>
        </w:rPr>
        <w:t>色泽及材质以下图为标准。</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p>
    <w:bookmarkEnd w:id="3"/>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5.售后技术服务 </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5.1质保期一年，质保期内施工方须提供24小时服务，售后服务人员在接到维修电话后的1小时内赶到现场维修并提供不间断的服务直至修复为止。施工方必须提供足够的备品以满足招标方的维修要求。 </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5.2质保期内施工方应每月对所安装窗帘进行一次全面仔细检查，并以书面形式详细汇报窗帘完好情况，并对损坏部分进行无偿维修。</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5.3质保期满后，施工方要对该工程范围内窗帘提供有偿维修服务。</w:t>
      </w:r>
    </w:p>
    <w:p>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outlineLvl w:val="0"/>
        <w:rPr>
          <w:rFonts w:hint="eastAsia" w:ascii="仿宋_GB2312" w:hAnsi="仿宋_GB2312" w:eastAsia="仿宋_GB2312" w:cs="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337047"/>
    <w:rsid w:val="10337047"/>
    <w:rsid w:val="529001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left="420" w:hanging="42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2019-04-01T06:42:00Z</dcterms:created>
  <dc:creator>Administrator</dc:creator>
  <cp:lastModifiedBy>Administrator</cp:lastModifiedBy>
  <dcterms:modified xsi:type="dcterms:W3CDTF">2019-04-01T06:49:06Z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