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eastAsia="黑体"/>
          <w:sz w:val="84"/>
          <w:szCs w:val="84"/>
        </w:rPr>
      </w:pPr>
    </w:p>
    <w:p>
      <w:pPr>
        <w:jc w:val="center"/>
        <w:rPr>
          <w:rFonts w:ascii="宋体" w:hAnsi="宋体" w:cs="黑体"/>
          <w:b/>
          <w:bCs/>
          <w:sz w:val="44"/>
          <w:szCs w:val="44"/>
        </w:rPr>
      </w:pPr>
      <w:bookmarkStart w:id="3" w:name="_GoBack"/>
      <w:r>
        <w:rPr>
          <w:rFonts w:hint="eastAsia" w:ascii="宋体" w:hAnsi="宋体" w:cs="黑体"/>
          <w:b/>
          <w:bCs/>
          <w:sz w:val="44"/>
          <w:szCs w:val="44"/>
          <w:lang w:val="en-US" w:eastAsia="zh-CN"/>
        </w:rPr>
        <w:t>2019年</w:t>
      </w:r>
      <w:r>
        <w:rPr>
          <w:rFonts w:hint="eastAsia" w:ascii="宋体" w:hAnsi="宋体" w:cs="黑体"/>
          <w:b/>
          <w:bCs/>
          <w:sz w:val="44"/>
          <w:szCs w:val="44"/>
        </w:rPr>
        <w:t>维修车间机床</w:t>
      </w:r>
      <w:r>
        <w:rPr>
          <w:rFonts w:hint="eastAsia" w:ascii="宋体" w:hAnsi="宋体" w:cs="黑体"/>
          <w:b/>
          <w:bCs/>
          <w:sz w:val="44"/>
          <w:szCs w:val="44"/>
          <w:lang w:eastAsia="zh-CN"/>
        </w:rPr>
        <w:t>维修</w:t>
      </w:r>
      <w:r>
        <w:rPr>
          <w:rFonts w:hint="eastAsia" w:ascii="宋体" w:hAnsi="宋体" w:cs="黑体"/>
          <w:b/>
          <w:bCs/>
          <w:sz w:val="44"/>
          <w:szCs w:val="44"/>
        </w:rPr>
        <w:t>项目</w:t>
      </w:r>
    </w:p>
    <w:p>
      <w:pPr>
        <w:jc w:val="center"/>
        <w:rPr>
          <w:rFonts w:ascii="宋体" w:hAnsi="宋体" w:cs="黑体"/>
          <w:b/>
          <w:bCs/>
          <w:sz w:val="44"/>
          <w:szCs w:val="44"/>
        </w:rPr>
      </w:pPr>
      <w:r>
        <w:rPr>
          <w:rFonts w:hint="eastAsia" w:ascii="宋体" w:hAnsi="宋体" w:cs="黑体"/>
          <w:b/>
          <w:bCs/>
          <w:sz w:val="44"/>
          <w:szCs w:val="44"/>
        </w:rPr>
        <w:t>技术规格书</w:t>
      </w:r>
    </w:p>
    <w:bookmarkEnd w:id="3"/>
    <w:p>
      <w:pPr>
        <w:rPr>
          <w:rFonts w:ascii="黑体" w:eastAsia="黑体"/>
          <w:b/>
          <w:sz w:val="52"/>
          <w:szCs w:val="52"/>
        </w:rPr>
      </w:pPr>
    </w:p>
    <w:p>
      <w:pPr>
        <w:rPr>
          <w:rFonts w:ascii="黑体" w:eastAsia="黑体"/>
          <w:b/>
          <w:sz w:val="52"/>
          <w:szCs w:val="52"/>
        </w:rPr>
      </w:pPr>
    </w:p>
    <w:p>
      <w:pPr>
        <w:rPr>
          <w:rFonts w:hint="eastAsia" w:ascii="楷体_GB2312" w:eastAsia="楷体_GB2312"/>
          <w:b/>
          <w:bCs/>
          <w:sz w:val="36"/>
          <w:szCs w:val="36"/>
          <w:lang w:val="en-US" w:eastAsia="zh-CN"/>
        </w:rPr>
      </w:pPr>
      <w:r>
        <w:rPr>
          <w:rFonts w:hint="eastAsia" w:ascii="楷体_GB2312" w:eastAsia="楷体_GB2312"/>
          <w:b/>
          <w:bCs/>
          <w:sz w:val="36"/>
          <w:szCs w:val="36"/>
          <w:lang w:val="en-US" w:eastAsia="zh-CN"/>
        </w:rPr>
        <w:t xml:space="preserve">  </w:t>
      </w:r>
    </w:p>
    <w:p>
      <w:pPr>
        <w:rPr>
          <w:rFonts w:hint="eastAsia" w:ascii="楷体_GB2312" w:eastAsia="楷体_GB2312"/>
          <w:b/>
          <w:bCs/>
          <w:sz w:val="36"/>
          <w:szCs w:val="36"/>
          <w:lang w:val="en-US" w:eastAsia="zh-CN"/>
        </w:rPr>
      </w:pPr>
    </w:p>
    <w:p>
      <w:pPr>
        <w:rPr>
          <w:rFonts w:ascii="宋体" w:hAnsi="宋体"/>
          <w:sz w:val="36"/>
          <w:szCs w:val="36"/>
        </w:rPr>
      </w:pPr>
    </w:p>
    <w:p>
      <w:pPr>
        <w:rPr>
          <w:rFonts w:ascii="宋体" w:hAnsi="宋体"/>
          <w:sz w:val="36"/>
          <w:szCs w:val="36"/>
        </w:rPr>
      </w:pPr>
    </w:p>
    <w:p>
      <w:pPr>
        <w:rPr>
          <w:rFonts w:ascii="宋体" w:hAnsi="宋体"/>
          <w:sz w:val="36"/>
          <w:szCs w:val="36"/>
        </w:rPr>
      </w:pPr>
    </w:p>
    <w:p>
      <w:pPr>
        <w:rPr>
          <w:rFonts w:ascii="宋体" w:hAnsi="宋体"/>
          <w:sz w:val="36"/>
          <w:szCs w:val="36"/>
        </w:rPr>
      </w:pPr>
    </w:p>
    <w:p>
      <w:pPr>
        <w:rPr>
          <w:rFonts w:ascii="宋体" w:hAnsi="宋体"/>
          <w:sz w:val="36"/>
          <w:szCs w:val="36"/>
        </w:rPr>
      </w:pPr>
    </w:p>
    <w:p>
      <w:pPr>
        <w:rPr>
          <w:rFonts w:ascii="宋体" w:hAnsi="宋体"/>
          <w:sz w:val="36"/>
          <w:szCs w:val="36"/>
        </w:rPr>
      </w:pPr>
    </w:p>
    <w:p>
      <w:pPr>
        <w:jc w:val="center"/>
        <w:rPr>
          <w:rFonts w:hint="eastAsia"/>
          <w:b/>
          <w:bCs/>
          <w:sz w:val="32"/>
          <w:szCs w:val="32"/>
          <w:lang w:eastAsia="zh-CN"/>
        </w:rPr>
      </w:pPr>
      <w:r>
        <w:rPr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1276985</wp:posOffset>
                </wp:positionH>
                <wp:positionV relativeFrom="paragraph">
                  <wp:posOffset>8148320</wp:posOffset>
                </wp:positionV>
                <wp:extent cx="3700145" cy="603885"/>
                <wp:effectExtent l="0" t="0" r="14605" b="5715"/>
                <wp:wrapNone/>
                <wp:docPr id="2" name="Text Box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0145" cy="603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eastAsia="黑体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b/>
                                <w:sz w:val="48"/>
                                <w:szCs w:val="48"/>
                              </w:rPr>
                              <w:t>沈阳机床股份有限公司</w:t>
                            </w: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3" o:spid="_x0000_s1026" o:spt="202" type="#_x0000_t202" style="position:absolute;left:0pt;margin-left:100.55pt;margin-top:641.6pt;height:47.55pt;width:291.35pt;z-index:251660288;mso-width-relative:page;mso-height-relative:page;" fillcolor="#FFFFFF" filled="t" stroked="f" coordsize="21600,21600" o:gfxdata="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NaEgvDZAAAADQEAAA8AAAAAAAAAAQAgAAAAIgAA&#10;AGRycy9kb3ducmV2LnhtbFBLAQIUABQAAAAIAIdO4kDKun1HBwIAAP8DAAAOAAAAAAAAAAEAIAAA&#10;ACgBAABkcnMvZTJvRG9jLnhtbFBLBQYAAAAABgAGAFkBAACh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eastAsia="黑体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hint="eastAsia" w:ascii="黑体" w:eastAsia="黑体"/>
                          <w:b/>
                          <w:sz w:val="48"/>
                          <w:szCs w:val="48"/>
                        </w:rPr>
                        <w:t>沈阳机床股份有限公司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/>
          <w:sz w:val="32"/>
          <w:szCs w:val="32"/>
          <w:lang w:eastAsia="zh-CN"/>
        </w:rPr>
        <w:t>神华黄骅港务有限责任公司</w:t>
      </w:r>
    </w:p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134" w:bottom="1440" w:left="1440" w:header="907" w:footer="907" w:gutter="0"/>
          <w:pgNumType w:start="1"/>
          <w:cols w:space="425" w:num="1"/>
          <w:docGrid w:type="lines" w:linePitch="312" w:charSpace="0"/>
        </w:sectPr>
      </w:pPr>
      <w:r>
        <w:rPr>
          <w:rFonts w:hint="eastAsia"/>
          <w:b/>
          <w:bCs/>
          <w:sz w:val="32"/>
          <w:szCs w:val="32"/>
          <w:lang w:val="en-US" w:eastAsia="zh-CN"/>
        </w:rPr>
        <w:t>2019-4-2</w:t>
      </w:r>
    </w:p>
    <w:p>
      <w:pPr>
        <w:pStyle w:val="12"/>
        <w:jc w:val="center"/>
        <w:rPr>
          <w:rFonts w:hint="eastAsia"/>
          <w:b/>
          <w:sz w:val="32"/>
          <w:szCs w:val="32"/>
          <w:highlight w:val="none"/>
        </w:rPr>
      </w:pPr>
      <w:bookmarkStart w:id="0" w:name="_Toc405987171"/>
      <w:bookmarkStart w:id="1" w:name="_Toc405992380"/>
      <w:bookmarkStart w:id="2" w:name="_Toc405986925"/>
      <w:r>
        <w:rPr>
          <w:rFonts w:hint="eastAsia"/>
          <w:b/>
          <w:sz w:val="32"/>
          <w:szCs w:val="32"/>
          <w:highlight w:val="none"/>
          <w:lang w:val="en-US" w:eastAsia="zh-CN"/>
        </w:rPr>
        <w:t>2019年</w:t>
      </w:r>
      <w:r>
        <w:rPr>
          <w:rFonts w:hint="eastAsia"/>
          <w:b/>
          <w:sz w:val="32"/>
          <w:szCs w:val="32"/>
          <w:highlight w:val="none"/>
        </w:rPr>
        <w:t>维修车间机床</w:t>
      </w:r>
      <w:r>
        <w:rPr>
          <w:rFonts w:hint="eastAsia"/>
          <w:b/>
          <w:sz w:val="32"/>
          <w:szCs w:val="32"/>
          <w:highlight w:val="none"/>
          <w:lang w:eastAsia="zh-CN"/>
        </w:rPr>
        <w:t>维修项目</w:t>
      </w:r>
      <w:r>
        <w:rPr>
          <w:rFonts w:hint="eastAsia"/>
          <w:b/>
          <w:sz w:val="32"/>
          <w:szCs w:val="32"/>
          <w:highlight w:val="none"/>
        </w:rPr>
        <w:t>技术规格书</w:t>
      </w:r>
    </w:p>
    <w:p>
      <w:pPr>
        <w:rPr>
          <w:rFonts w:hint="eastAsia"/>
          <w:b/>
          <w:sz w:val="32"/>
          <w:szCs w:val="32"/>
        </w:rPr>
      </w:pPr>
    </w:p>
    <w:p>
      <w:pPr>
        <w:pStyle w:val="12"/>
      </w:pPr>
      <w:r>
        <w:rPr>
          <w:rFonts w:hint="eastAsia"/>
          <w:lang w:eastAsia="zh-CN"/>
        </w:rPr>
        <w:t>一</w:t>
      </w:r>
      <w:r>
        <w:rPr>
          <w:rFonts w:hint="eastAsia"/>
        </w:rPr>
        <w:t>、</w:t>
      </w:r>
      <w:r>
        <w:rPr>
          <w:rFonts w:hint="eastAsia"/>
          <w:lang w:eastAsia="zh-CN"/>
        </w:rPr>
        <w:t>维修范围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11台维修车间机床维修，21台维修车间机床油箱清理，油品更换。维修具体内容见下表：</w:t>
      </w:r>
    </w:p>
    <w:tbl>
      <w:tblPr>
        <w:tblStyle w:val="18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396"/>
        <w:gridCol w:w="3430"/>
        <w:gridCol w:w="29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序号</w:t>
            </w:r>
          </w:p>
        </w:tc>
        <w:tc>
          <w:tcPr>
            <w:tcW w:w="1396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设备名称</w:t>
            </w:r>
          </w:p>
        </w:tc>
        <w:tc>
          <w:tcPr>
            <w:tcW w:w="343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设备型号</w:t>
            </w:r>
          </w:p>
        </w:tc>
        <w:tc>
          <w:tcPr>
            <w:tcW w:w="299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维修内容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1</w:t>
            </w: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摇臂钻床</w:t>
            </w:r>
          </w:p>
        </w:tc>
        <w:tc>
          <w:tcPr>
            <w:tcW w:w="343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Z3080*25B</w:t>
            </w:r>
          </w:p>
        </w:tc>
        <w:tc>
          <w:tcPr>
            <w:tcW w:w="2999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摇臂及立柱夹紧机构检查与修复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，</w:t>
            </w:r>
            <w:r>
              <w:rPr>
                <w:rFonts w:hint="eastAsia" w:asciiTheme="minorEastAsia" w:hAnsiTheme="minorEastAsia" w:cstheme="minorEastAsia"/>
                <w:sz w:val="24"/>
                <w:lang w:eastAsia="zh-CN"/>
              </w:rPr>
              <w:t>摇臂升降密封修复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2</w:t>
            </w: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数控火焰切割机</w:t>
            </w:r>
          </w:p>
        </w:tc>
        <w:tc>
          <w:tcPr>
            <w:tcW w:w="343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HGR-1H3500/14000</w:t>
            </w:r>
          </w:p>
        </w:tc>
        <w:tc>
          <w:tcPr>
            <w:tcW w:w="2999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电容高度控制器</w:t>
            </w:r>
            <w:r>
              <w:rPr>
                <w:rFonts w:hint="eastAsia" w:asciiTheme="minorEastAsia" w:hAnsiTheme="minorEastAsia" w:cstheme="minorEastAsia"/>
                <w:sz w:val="24"/>
                <w:lang w:eastAsia="zh-CN"/>
              </w:rPr>
              <w:t>及相关部件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更换及控制面板更换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3</w:t>
            </w: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液压闸式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剪板机</w:t>
            </w:r>
          </w:p>
        </w:tc>
        <w:tc>
          <w:tcPr>
            <w:tcW w:w="343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Q11YNC-20X3200</w:t>
            </w:r>
          </w:p>
        </w:tc>
        <w:tc>
          <w:tcPr>
            <w:tcW w:w="2999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对设备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电</w:t>
            </w:r>
            <w:r>
              <w:rPr>
                <w:rFonts w:hint="eastAsia" w:asciiTheme="minorEastAsia" w:hAnsiTheme="minorEastAsia" w:cstheme="minorEastAsia"/>
                <w:sz w:val="24"/>
                <w:lang w:eastAsia="zh-CN"/>
              </w:rPr>
              <w:t>器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件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全面检查并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进行更换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、灯光对线装置修复、主油缸总成更换，液压系统检查及修复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4</w:t>
            </w: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锯床</w:t>
            </w:r>
          </w:p>
        </w:tc>
        <w:tc>
          <w:tcPr>
            <w:tcW w:w="343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GZ4240</w:t>
            </w:r>
          </w:p>
        </w:tc>
        <w:tc>
          <w:tcPr>
            <w:tcW w:w="2999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设备油缸油封更换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5</w:t>
            </w: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铣床</w:t>
            </w:r>
          </w:p>
        </w:tc>
        <w:tc>
          <w:tcPr>
            <w:tcW w:w="343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B1-400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K</w:t>
            </w:r>
          </w:p>
        </w:tc>
        <w:tc>
          <w:tcPr>
            <w:tcW w:w="2999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纵向工作台检查与修复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6</w:t>
            </w: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车床</w:t>
            </w:r>
          </w:p>
        </w:tc>
        <w:tc>
          <w:tcPr>
            <w:tcW w:w="343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CW6163C*3000</w:t>
            </w:r>
          </w:p>
        </w:tc>
        <w:tc>
          <w:tcPr>
            <w:tcW w:w="2999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主轴箱传动元件检查及更换、走刀刻度盘精度修复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7</w:t>
            </w: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摇臂钻床</w:t>
            </w:r>
          </w:p>
        </w:tc>
        <w:tc>
          <w:tcPr>
            <w:tcW w:w="343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Z3050*16/1</w:t>
            </w:r>
          </w:p>
        </w:tc>
        <w:tc>
          <w:tcPr>
            <w:tcW w:w="2999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摇臂及立柱夹紧机构检查与修复</w:t>
            </w:r>
            <w:r>
              <w:rPr>
                <w:rFonts w:hint="eastAsia" w:asciiTheme="minorEastAsia" w:hAnsiTheme="minorEastAsia" w:cstheme="minorEastAsia"/>
                <w:sz w:val="24"/>
                <w:lang w:eastAsia="zh-CN"/>
              </w:rPr>
              <w:t>、主轴箱漏油修复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8</w:t>
            </w:r>
          </w:p>
        </w:tc>
        <w:tc>
          <w:tcPr>
            <w:tcW w:w="1396" w:type="dxa"/>
            <w:vAlign w:val="center"/>
          </w:tcPr>
          <w:p>
            <w:pPr>
              <w:tabs>
                <w:tab w:val="center" w:pos="590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车床</w:t>
            </w:r>
          </w:p>
        </w:tc>
        <w:tc>
          <w:tcPr>
            <w:tcW w:w="343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CDZ6140/1000</w:t>
            </w:r>
          </w:p>
        </w:tc>
        <w:tc>
          <w:tcPr>
            <w:tcW w:w="2999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主轴箱传动元件检查及更换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9</w:t>
            </w: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数控卧式车床</w:t>
            </w:r>
          </w:p>
        </w:tc>
        <w:tc>
          <w:tcPr>
            <w:tcW w:w="343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L00014</w:t>
            </w:r>
          </w:p>
        </w:tc>
        <w:tc>
          <w:tcPr>
            <w:tcW w:w="2999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对设备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电</w:t>
            </w:r>
            <w:r>
              <w:rPr>
                <w:rFonts w:hint="eastAsia" w:asciiTheme="minorEastAsia" w:hAnsiTheme="minorEastAsia" w:cstheme="minorEastAsia"/>
                <w:sz w:val="24"/>
                <w:lang w:eastAsia="zh-CN"/>
              </w:rPr>
              <w:t>器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件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全面检查并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进行更换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、数控系统电池更换、修复机械原点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10</w:t>
            </w: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插床</w:t>
            </w:r>
          </w:p>
        </w:tc>
        <w:tc>
          <w:tcPr>
            <w:tcW w:w="343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B5032</w:t>
            </w:r>
          </w:p>
        </w:tc>
        <w:tc>
          <w:tcPr>
            <w:tcW w:w="2999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离合器修复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11</w:t>
            </w: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lang w:eastAsia="zh-CN"/>
              </w:rPr>
              <w:t>镗床</w:t>
            </w:r>
          </w:p>
        </w:tc>
        <w:tc>
          <w:tcPr>
            <w:tcW w:w="343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TPX6111B</w:t>
            </w:r>
          </w:p>
        </w:tc>
        <w:tc>
          <w:tcPr>
            <w:tcW w:w="2999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lang w:eastAsia="zh-CN"/>
              </w:rPr>
              <w:t>缺损刀杆修复</w:t>
            </w:r>
          </w:p>
        </w:tc>
      </w:tr>
    </w:tbl>
    <w:p>
      <w:pPr>
        <w:pStyle w:val="1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二、技术要求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1.摇臂钻床Z3080*25B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（1）检修钻床电路及电器件是否老化，并对老化的电器件进行更换。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（2）维修后：应确保润滑系统油路畅通，液压系统各阀门转动灵活，油管和活塞杆定位牢固。摇臂钻升降无冲击现象，油管和活塞杆定位牢固。摇臂升降处无漏油现象。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（3）检查并调整摇臂及立柱夹紧机构；检查传动机构，对磨损的部件进行更换。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（4）对损坏及缺失的手柄进行更换。</w:t>
      </w:r>
    </w:p>
    <w:p>
      <w:pPr>
        <w:numPr>
          <w:ilvl w:val="0"/>
          <w:numId w:val="1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数控火焰切割机HGR-1H3500/14000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更换电容高度控制器及相关部件，更换控制及操作面板，对控制系统进行升级维护，重新标定数控火焰切割机加工精度。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（1）检修切割机电路及电器件是否老化，并对老化的电器件进行更换。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（2）更换切割机电容高度控制器及相关部件，更换后确保割炬能精确地完成上下动作，而无前后左右动作。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（3）更换切割机控制及操作面板，更换后面板按键应反应灵敏，无延迟反应。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（4）针对升级后的控制系统对操作人员进行培训，使操作人员具备使用新控制系统的能力。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3.剪板机Q11YNC-20X3200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对设备电气元件全面检查并进行更换、灯光对线装置修复、主油缸总成更换，液压系统检查及修复。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（1）检修剪板机电路及电器件是否老化，并对老化的电器件进行更换；如剪板机系统类及电机类配件需更换，由甲乙双方协商是否更换，待甲方同意更换后，由乙方报价，甲方同意购买后，进行更换。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（2）对剪板机灯光对线装置进行修复，修复后对线装置灯光需与切刀面平行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（3）检查液压系统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a.校验压力表。 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b.清洗、检查油泵、阀门、阀芯和修光毛刺，更换油封。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c.修复或更换损坏零件。</w:t>
      </w:r>
    </w:p>
    <w:p>
      <w:pPr>
        <w:numPr>
          <w:ilvl w:val="0"/>
          <w:numId w:val="2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锯床GZ4240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维修内容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（1）更换锯床油缸油封，维修后无渗油、漏油现象。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（2）更换1套全新金属带锯条，对整套设备进行安装、调试。锯切产品质量情况应符合JO/T4318-3002《锯床精度检验》要求。</w:t>
      </w:r>
    </w:p>
    <w:p>
      <w:pPr>
        <w:numPr>
          <w:ilvl w:val="0"/>
          <w:numId w:val="2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铣床B1-400K</w:t>
      </w:r>
    </w:p>
    <w:p>
      <w:pPr>
        <w:numPr>
          <w:ilvl w:val="0"/>
          <w:numId w:val="0"/>
        </w:num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）对纵向工作台检查与修复，维修后工作台移动无卡顿、停滞现象，</w:t>
      </w:r>
    </w:p>
    <w:p>
      <w:pPr>
        <w:numPr>
          <w:ilvl w:val="0"/>
          <w:numId w:val="0"/>
        </w:numPr>
        <w:ind w:firstLine="560" w:firstLineChars="200"/>
        <w:rPr>
          <w:rFonts w:hint="eastAsia" w:ascii="仿宋" w:hAnsi="仿宋" w:eastAsia="仿宋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校正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导轨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水平，检查、调整及修复精度。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调整后铣床产品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精度应满足GB/T3933.2-2002 《升降台铣床检验条件精度检验》。</w:t>
      </w:r>
      <w:r>
        <w:rPr>
          <w:rFonts w:hint="eastAsia" w:ascii="仿宋" w:hAnsi="仿宋" w:eastAsia="仿宋"/>
          <w:sz w:val="24"/>
          <w:lang w:val="en-US" w:eastAsia="zh-CN"/>
        </w:rPr>
        <w:t xml:space="preserve"> </w:t>
      </w:r>
    </w:p>
    <w:p>
      <w:pPr>
        <w:numPr>
          <w:ilvl w:val="0"/>
          <w:numId w:val="2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车床CW6163C*3000</w:t>
      </w:r>
    </w:p>
    <w:p>
      <w:pPr>
        <w:numPr>
          <w:ilvl w:val="0"/>
          <w:numId w:val="3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对主轴箱进行全面清洗，更换主轴箱内磨损严重的传动组件，更换后无皮带打滑、主轴转速改变等现象。</w:t>
      </w:r>
    </w:p>
    <w:p>
      <w:pPr>
        <w:numPr>
          <w:ilvl w:val="0"/>
          <w:numId w:val="3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对损坏和缺失的操作手柄进行修复和更换。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（3）检修电路及电器件是否老化，并对老化的电器件进行更换。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（4）对走刀刻度盘部件进行修复，维修后实际走刀量与刻度盘精度相符。</w:t>
      </w:r>
    </w:p>
    <w:p>
      <w:pPr>
        <w:numPr>
          <w:ilvl w:val="0"/>
          <w:numId w:val="2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摇臂钻床Z3050*16/1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（1）检修钻床电路及电器件是否老化，并对老化的电器件进行更换。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（2）维修后：应确保润滑系统油路畅通，液压系统各阀门转动灵活，油管和活塞杆定位牢固。摇臂钻升降无冲击现象，油管和活塞杆定位牢固。主轴箱无漏油现象。</w:t>
      </w:r>
    </w:p>
    <w:p>
      <w:pPr>
        <w:numPr>
          <w:ilvl w:val="0"/>
          <w:numId w:val="2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车床CDZ6140/1000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（1）对主轴箱进行全面清洗，更换主轴箱内磨损严重的传动组件进行更换，更换后无皮带打滑、主轴转速改变等现象。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（2）对损坏和缺失的操作手柄进行修复和更换。</w:t>
      </w:r>
    </w:p>
    <w:p>
      <w:pPr>
        <w:numPr>
          <w:ilvl w:val="0"/>
          <w:numId w:val="2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数控卧式车床CKA6180A*3000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（1）更换数控系统电池，修复机械原点。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（2）对设备电气元件全面检查并进行更换。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（3）更换所有损坏元件，确保车床达到出厂性能。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（4）校正机床水平，检查、调整、修复精度；调整数控尺寸和实际尺寸的误差，调整电流、电压在规定范围内；精度符合设备完好标准要求。</w:t>
      </w:r>
    </w:p>
    <w:p>
      <w:pPr>
        <w:numPr>
          <w:ilvl w:val="0"/>
          <w:numId w:val="2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插床B5032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（1）检修钻床电路及电器件是否老化，并对老化的电器件进行更换。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（2）离合器维修后无切削无力、刹车不灵现象。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（3）检查传动机构，对磨损部件进行更换。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11.镗床TPX6111B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镗床缺损刀杆及刀具修复，刀杆需满足镗床日常机加工需要。</w:t>
      </w:r>
    </w:p>
    <w:bookmarkEnd w:id="0"/>
    <w:bookmarkEnd w:id="1"/>
    <w:bookmarkEnd w:id="2"/>
    <w:p>
      <w:pPr>
        <w:pStyle w:val="1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三、技术方案及施工要求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投标方应根据现场机床检查结果制定项目执行节点计划、施工组织方案等。投标人在施工前应列出所有待维修设备部件的采购、安装和调试等工期计划。</w:t>
      </w:r>
    </w:p>
    <w:p>
      <w:pPr>
        <w:pStyle w:val="1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四、工期要求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合同工期为合同签订后6个月。</w:t>
      </w:r>
    </w:p>
    <w:p>
      <w:pPr>
        <w:pStyle w:val="1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五、验收标准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项目完成后进行验收。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5.1以机床出厂性能为标准对机床机械精度进行验收。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5.2精度合格后进行试件加工，对加工工件进行精度检验。加工工件合格以三坐标测量仪出具的检验结果为准。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5.3设备运行过程中不应有噪声及振动现象的产生，机床运转时应保证冷却及润滑系统运转良好。</w:t>
      </w:r>
    </w:p>
    <w:p>
      <w:pPr>
        <w:pStyle w:val="1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六、质量保证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6.1凡在开箱检验、安装调试、设备试运转过程中发现的设备质量问题，由投标方负责处理，实行包修、包换、包退直至产品符合质量要求，投标方承担修理、调换、退货发生的一切费用和招标方的直接经济损失。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6.2质保期限：项目验收合格后12个月。乙方提供的产品因自身质量出现问题，自验收合格之日起一年内提供免费现场服务，并应在得到甲方通知后48小时内到达现场。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6.3投标方应根据招标方的时间安排要求，对设备运转初期出现的故障进行应急处理，以帮助招标方掌握系统的安全技术和故障排除技术。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6.4设备维修完成后，投标方负责向招标方相关人员培训有关设备的使用、维护事项，投标方应选派称职的、有丰富经验的技术人员进行技术培训，培训方法采用理论讲授与现场演示相结合的方式，现场培训应结合安装、调试进行，并且定期到发包方单位进行回访，征求甲方意见，发现问题及时解决。</w:t>
      </w:r>
    </w:p>
    <w:p>
      <w:pPr>
        <w:pStyle w:val="1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七、应提交的技术资料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施工组织方案及计划。</w:t>
      </w:r>
    </w:p>
    <w:p>
      <w:pPr>
        <w:pStyle w:val="1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八、其它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本项目实施全过程中产生的专利申请，其知识产权归国家能源集团、神华黄骅港务有限责任公司所有。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</w:p>
    <w:p>
      <w:pPr>
        <w:spacing w:line="360" w:lineRule="auto"/>
        <w:jc w:val="both"/>
        <w:outlineLvl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ail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86"/>
    <w:family w:val="swiss"/>
    <w:pitch w:val="default"/>
    <w:sig w:usb0="E0002AFF" w:usb1="C0007843" w:usb2="00000009" w:usb3="00000000" w:csb0="400001FF" w:csb1="FFFF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Century Gothic">
    <w:altName w:val="AmdtSymbols"/>
    <w:panose1 w:val="020B0502020202020204"/>
    <w:charset w:val="00"/>
    <w:family w:val="auto"/>
    <w:pitch w:val="default"/>
    <w:sig w:usb0="00000000" w:usb1="00000000" w:usb2="00000000" w:usb3="00000000" w:csb0="2000009F" w:csb1="DFD70000"/>
  </w:font>
  <w:font w:name="SWTxt">
    <w:altName w:val="AMGDT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Segoe UI Semilight">
    <w:altName w:val="Segoe UI"/>
    <w:panose1 w:val="020B0402040204020203"/>
    <w:charset w:val="00"/>
    <w:family w:val="auto"/>
    <w:pitch w:val="default"/>
    <w:sig w:usb0="00000000" w:usb1="00000000" w:usb2="00000009" w:usb3="00000000" w:csb0="200001FF" w:csb1="00000000"/>
  </w:font>
  <w:font w:name="Eras Light ITC">
    <w:altName w:val="AMGDT"/>
    <w:panose1 w:val="020B0402030504020804"/>
    <w:charset w:val="00"/>
    <w:family w:val="auto"/>
    <w:pitch w:val="default"/>
    <w:sig w:usb0="00000000" w:usb1="00000000" w:usb2="00000000" w:usb3="00000000" w:csb0="20000001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AmdtSymbols">
    <w:panose1 w:val="02000500000000020004"/>
    <w:charset w:val="00"/>
    <w:family w:val="auto"/>
    <w:pitch w:val="default"/>
    <w:sig w:usb0="00000001" w:usb1="00000000" w:usb2="00000000" w:usb3="00000000" w:csb0="00000001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琥珀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隶书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幼圆">
    <w:altName w:val="宋体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Kino MT">
    <w:altName w:val="Segoe Print"/>
    <w:panose1 w:val="00000000000000000000"/>
    <w:charset w:val="00"/>
    <w:family w:val="decorative"/>
    <w:pitch w:val="default"/>
    <w:sig w:usb0="00000000" w:usb1="00000000" w:usb2="00000000" w:usb3="00000000" w:csb0="00000001" w:csb1="00000000"/>
  </w:font>
  <w:font w:name="CityBlueprint">
    <w:altName w:val="Segoe Print"/>
    <w:panose1 w:val="00000400000000000000"/>
    <w:charset w:val="02"/>
    <w:family w:val="auto"/>
    <w:pitch w:val="default"/>
    <w:sig w:usb0="00000000" w:usb1="00000000" w:usb2="00000000" w:usb3="00000000" w:csb0="00000000" w:csb1="00000000"/>
  </w:font>
  <w:font w:name="Colonna MT">
    <w:altName w:val="Gabriola"/>
    <w:panose1 w:val="04020805060202030203"/>
    <w:charset w:val="00"/>
    <w:family w:val="decorative"/>
    <w:pitch w:val="default"/>
    <w:sig w:usb0="00000000" w:usb1="00000000" w:usb2="00000000" w:usb3="00000000" w:csb0="00000001" w:csb1="00000000"/>
  </w:font>
  <w:font w:name="@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ootlight MT Ligh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Gabriola">
    <w:panose1 w:val="04040605051002020D02"/>
    <w:charset w:val="00"/>
    <w:family w:val="auto"/>
    <w:pitch w:val="default"/>
    <w:sig w:usb0="E00002EF" w:usb1="5000204B" w:usb2="00000000" w:usb3="00000000" w:csb0="200000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Yu Gothic UI">
    <w:altName w:val="Meiryo UI"/>
    <w:panose1 w:val="020B0500000000000000"/>
    <w:charset w:val="80"/>
    <w:family w:val="auto"/>
    <w:pitch w:val="default"/>
    <w:sig w:usb0="00000000" w:usb1="00000000" w:usb2="00000016" w:usb3="00000000" w:csb0="2002009F" w:csb1="00000000"/>
  </w:font>
  <w:font w:name="Yu Gothic UI Semilight">
    <w:altName w:val="Meiryo UI"/>
    <w:panose1 w:val="020B0400000000000000"/>
    <w:charset w:val="80"/>
    <w:family w:val="auto"/>
    <w:pitch w:val="default"/>
    <w:sig w:usb0="00000000" w:usb1="00000000" w:usb2="00000016" w:usb3="00000000" w:csb0="2002009F" w:csb1="00000000"/>
  </w:font>
  <w:font w:name="Sitka Text">
    <w:altName w:val="AmdtSymbols"/>
    <w:panose1 w:val="02000505000000020004"/>
    <w:charset w:val="00"/>
    <w:family w:val="auto"/>
    <w:pitch w:val="default"/>
    <w:sig w:usb0="00000000" w:usb1="00000000" w:usb2="00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eiryo UI">
    <w:panose1 w:val="020B0604030504040204"/>
    <w:charset w:val="80"/>
    <w:family w:val="auto"/>
    <w:pitch w:val="default"/>
    <w:sig w:usb0="E10102FF" w:usb1="EAC7FFFF" w:usb2="00010012" w:usb3="00000000" w:csb0="6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6pebnP&#10;AAAABQEAAA8AAAAAAAAAAQAgAAAAIgAAAGRycy9kb3ducmV2LnhtbFBLAQIUABQAAAAIAIdO4kAj&#10;0coStwEAAFcDAAAOAAAAAAAAAAEAIAAAAB4BAABkcnMvZTJvRG9jLnhtbFBLBQYAAAAABgAGAFkB&#10;AABH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1"/>
      </w:pBdr>
      <w:tabs>
        <w:tab w:val="left" w:pos="1603"/>
      </w:tabs>
      <w:jc w:val="left"/>
      <w:rPr>
        <w:rFonts w:hint="eastAsia" w:eastAsiaTheme="minorEastAsia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9330E4"/>
    <w:multiLevelType w:val="singleLevel"/>
    <w:tmpl w:val="5C9330E4"/>
    <w:lvl w:ilvl="0" w:tentative="0">
      <w:start w:val="2"/>
      <w:numFmt w:val="decimal"/>
      <w:suff w:val="nothing"/>
      <w:lvlText w:val="%1."/>
      <w:lvlJc w:val="left"/>
    </w:lvl>
  </w:abstractNum>
  <w:abstractNum w:abstractNumId="1">
    <w:nsid w:val="5C973E2A"/>
    <w:multiLevelType w:val="singleLevel"/>
    <w:tmpl w:val="5C973E2A"/>
    <w:lvl w:ilvl="0" w:tentative="0">
      <w:start w:val="2"/>
      <w:numFmt w:val="decimal"/>
      <w:suff w:val="nothing"/>
      <w:lvlText w:val="%1."/>
      <w:lvlJc w:val="left"/>
    </w:lvl>
  </w:abstractNum>
  <w:abstractNum w:abstractNumId="2">
    <w:nsid w:val="5C982A21"/>
    <w:multiLevelType w:val="singleLevel"/>
    <w:tmpl w:val="5C982A21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B9A"/>
    <w:rsid w:val="000133FB"/>
    <w:rsid w:val="00061C74"/>
    <w:rsid w:val="000B293D"/>
    <w:rsid w:val="00100E11"/>
    <w:rsid w:val="00123B9A"/>
    <w:rsid w:val="0015415A"/>
    <w:rsid w:val="001754F9"/>
    <w:rsid w:val="001B5B1A"/>
    <w:rsid w:val="001C76F5"/>
    <w:rsid w:val="001D2246"/>
    <w:rsid w:val="00216DBA"/>
    <w:rsid w:val="002274CF"/>
    <w:rsid w:val="00294127"/>
    <w:rsid w:val="002B59C1"/>
    <w:rsid w:val="002B714B"/>
    <w:rsid w:val="003123BF"/>
    <w:rsid w:val="003A7871"/>
    <w:rsid w:val="003C29FA"/>
    <w:rsid w:val="00450AFC"/>
    <w:rsid w:val="00531997"/>
    <w:rsid w:val="005D5820"/>
    <w:rsid w:val="00634198"/>
    <w:rsid w:val="00645841"/>
    <w:rsid w:val="00647010"/>
    <w:rsid w:val="0066212D"/>
    <w:rsid w:val="00684F3B"/>
    <w:rsid w:val="006F7D89"/>
    <w:rsid w:val="007A20F8"/>
    <w:rsid w:val="007A6559"/>
    <w:rsid w:val="007C5161"/>
    <w:rsid w:val="007F35DE"/>
    <w:rsid w:val="00813353"/>
    <w:rsid w:val="008221BA"/>
    <w:rsid w:val="00827E30"/>
    <w:rsid w:val="00870D1D"/>
    <w:rsid w:val="0091476A"/>
    <w:rsid w:val="009B7D70"/>
    <w:rsid w:val="00A31D93"/>
    <w:rsid w:val="00AD0527"/>
    <w:rsid w:val="00AE4EAE"/>
    <w:rsid w:val="00BC0B01"/>
    <w:rsid w:val="00BC40BA"/>
    <w:rsid w:val="00BC5E33"/>
    <w:rsid w:val="00C15F7F"/>
    <w:rsid w:val="00C71737"/>
    <w:rsid w:val="00C8708A"/>
    <w:rsid w:val="00CC0724"/>
    <w:rsid w:val="00D04E84"/>
    <w:rsid w:val="00D16313"/>
    <w:rsid w:val="00D23ACA"/>
    <w:rsid w:val="00D42EC5"/>
    <w:rsid w:val="00E0626A"/>
    <w:rsid w:val="00E56FCC"/>
    <w:rsid w:val="00E65F69"/>
    <w:rsid w:val="00F41F5E"/>
    <w:rsid w:val="00F8100C"/>
    <w:rsid w:val="00FC11E0"/>
    <w:rsid w:val="00FD6463"/>
    <w:rsid w:val="00FF685A"/>
    <w:rsid w:val="01376A5D"/>
    <w:rsid w:val="013E6BA0"/>
    <w:rsid w:val="02B70EA9"/>
    <w:rsid w:val="02F01555"/>
    <w:rsid w:val="03551457"/>
    <w:rsid w:val="036008E2"/>
    <w:rsid w:val="03C47C52"/>
    <w:rsid w:val="044669F3"/>
    <w:rsid w:val="04B3206C"/>
    <w:rsid w:val="06EF4F30"/>
    <w:rsid w:val="073064A7"/>
    <w:rsid w:val="091433B1"/>
    <w:rsid w:val="09A344B1"/>
    <w:rsid w:val="09AE2461"/>
    <w:rsid w:val="09B4076D"/>
    <w:rsid w:val="09E53710"/>
    <w:rsid w:val="0A4F3740"/>
    <w:rsid w:val="0B424738"/>
    <w:rsid w:val="0B7F14CD"/>
    <w:rsid w:val="0C4D5CAE"/>
    <w:rsid w:val="0CFC7481"/>
    <w:rsid w:val="0D4005AB"/>
    <w:rsid w:val="0DFE189C"/>
    <w:rsid w:val="0E2D17CD"/>
    <w:rsid w:val="0E322897"/>
    <w:rsid w:val="0F212B3E"/>
    <w:rsid w:val="0F4B3CCE"/>
    <w:rsid w:val="105839EC"/>
    <w:rsid w:val="10A513F0"/>
    <w:rsid w:val="11024C9C"/>
    <w:rsid w:val="111C711E"/>
    <w:rsid w:val="11AC7E88"/>
    <w:rsid w:val="11D10F30"/>
    <w:rsid w:val="13145F04"/>
    <w:rsid w:val="13AE721B"/>
    <w:rsid w:val="14B4758C"/>
    <w:rsid w:val="153B7522"/>
    <w:rsid w:val="15963B92"/>
    <w:rsid w:val="16B65EA9"/>
    <w:rsid w:val="17340C8F"/>
    <w:rsid w:val="18652B3B"/>
    <w:rsid w:val="187F1895"/>
    <w:rsid w:val="192D7EF5"/>
    <w:rsid w:val="1A1500C9"/>
    <w:rsid w:val="1A9B73DE"/>
    <w:rsid w:val="1AB63245"/>
    <w:rsid w:val="1B7F43B2"/>
    <w:rsid w:val="1B8D4C70"/>
    <w:rsid w:val="1E27630B"/>
    <w:rsid w:val="1E6B5B40"/>
    <w:rsid w:val="1E8563C3"/>
    <w:rsid w:val="1E987827"/>
    <w:rsid w:val="1EA10559"/>
    <w:rsid w:val="1ED47EBA"/>
    <w:rsid w:val="1F014D4A"/>
    <w:rsid w:val="1F2718C5"/>
    <w:rsid w:val="20DA4FBB"/>
    <w:rsid w:val="216F323E"/>
    <w:rsid w:val="23BF52D4"/>
    <w:rsid w:val="25583677"/>
    <w:rsid w:val="26480D7A"/>
    <w:rsid w:val="267C7492"/>
    <w:rsid w:val="27823878"/>
    <w:rsid w:val="294A7F3C"/>
    <w:rsid w:val="29FB3AA0"/>
    <w:rsid w:val="2B5E7BBC"/>
    <w:rsid w:val="2B6B5078"/>
    <w:rsid w:val="2CBB7372"/>
    <w:rsid w:val="2E42104E"/>
    <w:rsid w:val="2E93279A"/>
    <w:rsid w:val="30186479"/>
    <w:rsid w:val="31323BED"/>
    <w:rsid w:val="31624DAC"/>
    <w:rsid w:val="3209161D"/>
    <w:rsid w:val="324A5C49"/>
    <w:rsid w:val="33C60C92"/>
    <w:rsid w:val="34C13FFA"/>
    <w:rsid w:val="358E6E17"/>
    <w:rsid w:val="36C42E0C"/>
    <w:rsid w:val="36CF3F52"/>
    <w:rsid w:val="382217AF"/>
    <w:rsid w:val="389056B4"/>
    <w:rsid w:val="38DC2BB4"/>
    <w:rsid w:val="39A27A4D"/>
    <w:rsid w:val="39E955FD"/>
    <w:rsid w:val="3A033118"/>
    <w:rsid w:val="3A410E18"/>
    <w:rsid w:val="3A740D9E"/>
    <w:rsid w:val="3AB30124"/>
    <w:rsid w:val="3BCD1236"/>
    <w:rsid w:val="3C213359"/>
    <w:rsid w:val="3D78008B"/>
    <w:rsid w:val="3F4239B1"/>
    <w:rsid w:val="406B3343"/>
    <w:rsid w:val="40746E5E"/>
    <w:rsid w:val="43D30508"/>
    <w:rsid w:val="466550B3"/>
    <w:rsid w:val="469F4ADC"/>
    <w:rsid w:val="48786B1B"/>
    <w:rsid w:val="4A3A086F"/>
    <w:rsid w:val="4B9337FA"/>
    <w:rsid w:val="4C8608EC"/>
    <w:rsid w:val="4CDD32AD"/>
    <w:rsid w:val="4F3A18C1"/>
    <w:rsid w:val="4FF61BF9"/>
    <w:rsid w:val="50BF54FB"/>
    <w:rsid w:val="50EF35BF"/>
    <w:rsid w:val="51672720"/>
    <w:rsid w:val="518749ED"/>
    <w:rsid w:val="51955B3A"/>
    <w:rsid w:val="527C3BB6"/>
    <w:rsid w:val="53880408"/>
    <w:rsid w:val="53954990"/>
    <w:rsid w:val="53D9061D"/>
    <w:rsid w:val="545C1E6F"/>
    <w:rsid w:val="554E0206"/>
    <w:rsid w:val="556F0190"/>
    <w:rsid w:val="55860A18"/>
    <w:rsid w:val="56226331"/>
    <w:rsid w:val="56941AAD"/>
    <w:rsid w:val="56C00A6E"/>
    <w:rsid w:val="5768522E"/>
    <w:rsid w:val="59427FDD"/>
    <w:rsid w:val="595F36E5"/>
    <w:rsid w:val="5A08527A"/>
    <w:rsid w:val="5B8C2A15"/>
    <w:rsid w:val="5C3F2373"/>
    <w:rsid w:val="5CB76ACD"/>
    <w:rsid w:val="5CDE0294"/>
    <w:rsid w:val="5D775158"/>
    <w:rsid w:val="5E662862"/>
    <w:rsid w:val="5E843DCE"/>
    <w:rsid w:val="61846431"/>
    <w:rsid w:val="619B1816"/>
    <w:rsid w:val="62E61642"/>
    <w:rsid w:val="63FE48E6"/>
    <w:rsid w:val="641D67C4"/>
    <w:rsid w:val="64391B28"/>
    <w:rsid w:val="64B962AA"/>
    <w:rsid w:val="64C0286E"/>
    <w:rsid w:val="660259FB"/>
    <w:rsid w:val="66970B23"/>
    <w:rsid w:val="67556BAE"/>
    <w:rsid w:val="6777778E"/>
    <w:rsid w:val="679426AC"/>
    <w:rsid w:val="67E84CE6"/>
    <w:rsid w:val="67FB32A7"/>
    <w:rsid w:val="68A44283"/>
    <w:rsid w:val="68A5136C"/>
    <w:rsid w:val="69951890"/>
    <w:rsid w:val="69F66A48"/>
    <w:rsid w:val="6A8031FF"/>
    <w:rsid w:val="6B3C2998"/>
    <w:rsid w:val="6BCA3358"/>
    <w:rsid w:val="6BD0282B"/>
    <w:rsid w:val="6CCE34F8"/>
    <w:rsid w:val="6DE70A80"/>
    <w:rsid w:val="6E4A1C9C"/>
    <w:rsid w:val="729636DD"/>
    <w:rsid w:val="72B47977"/>
    <w:rsid w:val="72C314B9"/>
    <w:rsid w:val="72FD64C5"/>
    <w:rsid w:val="73210C38"/>
    <w:rsid w:val="735F0183"/>
    <w:rsid w:val="73791061"/>
    <w:rsid w:val="73B62FAB"/>
    <w:rsid w:val="742F5A82"/>
    <w:rsid w:val="747D46BA"/>
    <w:rsid w:val="751876EA"/>
    <w:rsid w:val="75720610"/>
    <w:rsid w:val="77A17BF9"/>
    <w:rsid w:val="79A253B2"/>
    <w:rsid w:val="7A762816"/>
    <w:rsid w:val="7B143EDC"/>
    <w:rsid w:val="7B4E2EA4"/>
    <w:rsid w:val="7C986740"/>
    <w:rsid w:val="7CC7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9"/>
    <w:pPr>
      <w:keepNext/>
      <w:keepLines/>
      <w:spacing w:before="340" w:beforeLines="0" w:after="330" w:afterLines="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unhideWhenUsed/>
    <w:qFormat/>
    <w:uiPriority w:val="1"/>
  </w:style>
  <w:style w:type="table" w:default="1" w:styleId="1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4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paragraph" w:styleId="4">
    <w:name w:val="Body Text Indent"/>
    <w:basedOn w:val="1"/>
    <w:unhideWhenUsed/>
    <w:qFormat/>
    <w:uiPriority w:val="99"/>
    <w:pPr>
      <w:adjustRightInd w:val="0"/>
      <w:spacing w:line="312" w:lineRule="auto"/>
      <w:ind w:firstLine="680"/>
      <w:jc w:val="left"/>
      <w:textAlignment w:val="baseline"/>
    </w:pPr>
    <w:rPr>
      <w:rFonts w:ascii="楷体_GB2312" w:eastAsia="楷体_GB2312"/>
      <w:color w:val="FF0000"/>
      <w:spacing w:val="6"/>
      <w:kern w:val="0"/>
      <w:sz w:val="28"/>
    </w:rPr>
  </w:style>
  <w:style w:type="paragraph" w:styleId="5">
    <w:name w:val="Plain Text"/>
    <w:basedOn w:val="1"/>
    <w:link w:val="22"/>
    <w:qFormat/>
    <w:uiPriority w:val="0"/>
    <w:rPr>
      <w:rFonts w:ascii="宋体" w:hAnsi="Courier New" w:eastAsia="宋体" w:cs="Times New Roman"/>
      <w:sz w:val="24"/>
      <w:szCs w:val="20"/>
    </w:rPr>
  </w:style>
  <w:style w:type="paragraph" w:styleId="6">
    <w:name w:val="Body Text Indent 2"/>
    <w:basedOn w:val="1"/>
    <w:link w:val="25"/>
    <w:qFormat/>
    <w:uiPriority w:val="0"/>
    <w:pPr>
      <w:tabs>
        <w:tab w:val="left" w:pos="7020"/>
      </w:tabs>
      <w:spacing w:line="400" w:lineRule="exact"/>
      <w:ind w:firstLine="640" w:firstLineChars="200"/>
    </w:pPr>
    <w:rPr>
      <w:rFonts w:ascii="仿宋_GB2312" w:hAnsi="宋体" w:eastAsia="仿宋_GB2312" w:cs="Times New Roman"/>
      <w:sz w:val="32"/>
      <w:szCs w:val="24"/>
    </w:rPr>
  </w:style>
  <w:style w:type="paragraph" w:styleId="7">
    <w:name w:val="Balloon Text"/>
    <w:basedOn w:val="1"/>
    <w:link w:val="23"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  <w:pPr>
      <w:widowControl/>
      <w:spacing w:after="100" w:line="276" w:lineRule="auto"/>
      <w:jc w:val="left"/>
    </w:pPr>
    <w:rPr>
      <w:rFonts w:asciiTheme="minorHAnsi" w:hAnsiTheme="minorHAnsi" w:eastAsiaTheme="minorEastAsia" w:cstheme="minorBidi"/>
      <w:kern w:val="0"/>
      <w:sz w:val="22"/>
      <w:szCs w:val="22"/>
    </w:rPr>
  </w:style>
  <w:style w:type="paragraph" w:styleId="11">
    <w:name w:val="toc 2"/>
    <w:basedOn w:val="1"/>
    <w:next w:val="1"/>
    <w:unhideWhenUsed/>
    <w:qFormat/>
    <w:uiPriority w:val="39"/>
    <w:pPr>
      <w:widowControl/>
      <w:spacing w:after="100" w:line="276" w:lineRule="auto"/>
      <w:ind w:left="220"/>
      <w:jc w:val="left"/>
    </w:pPr>
    <w:rPr>
      <w:rFonts w:asciiTheme="minorHAnsi" w:hAnsiTheme="minorHAnsi" w:eastAsiaTheme="minorEastAsia" w:cstheme="minorBidi"/>
      <w:kern w:val="0"/>
      <w:sz w:val="22"/>
      <w:szCs w:val="22"/>
    </w:rPr>
  </w:style>
  <w:style w:type="paragraph" w:styleId="12">
    <w:name w:val="Title"/>
    <w:basedOn w:val="1"/>
    <w:next w:val="1"/>
    <w:qFormat/>
    <w:uiPriority w:val="10"/>
    <w:pPr>
      <w:spacing w:line="380" w:lineRule="exact"/>
      <w:outlineLvl w:val="0"/>
    </w:pPr>
    <w:rPr>
      <w:rFonts w:ascii="仿宋_GB2312" w:hAnsi="Cambria" w:eastAsia="仿宋_GB2312"/>
      <w:b/>
      <w:bCs/>
      <w:sz w:val="30"/>
      <w:szCs w:val="30"/>
    </w:rPr>
  </w:style>
  <w:style w:type="character" w:styleId="14">
    <w:name w:val="page number"/>
    <w:basedOn w:val="13"/>
    <w:unhideWhenUsed/>
    <w:qFormat/>
    <w:uiPriority w:val="99"/>
  </w:style>
  <w:style w:type="character" w:styleId="15">
    <w:name w:val="FollowedHyperlink"/>
    <w:basedOn w:val="13"/>
    <w:unhideWhenUsed/>
    <w:qFormat/>
    <w:uiPriority w:val="99"/>
    <w:rPr>
      <w:color w:val="000099"/>
      <w:sz w:val="18"/>
      <w:szCs w:val="18"/>
      <w:u w:val="none"/>
    </w:rPr>
  </w:style>
  <w:style w:type="character" w:styleId="16">
    <w:name w:val="Hyperlink"/>
    <w:basedOn w:val="13"/>
    <w:unhideWhenUsed/>
    <w:qFormat/>
    <w:uiPriority w:val="99"/>
    <w:rPr>
      <w:color w:val="000099"/>
      <w:sz w:val="18"/>
      <w:szCs w:val="18"/>
      <w:u w:val="none"/>
    </w:rPr>
  </w:style>
  <w:style w:type="table" w:styleId="18">
    <w:name w:val="Table Grid"/>
    <w:basedOn w:val="1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9">
    <w:name w:val="页眉 Char"/>
    <w:basedOn w:val="13"/>
    <w:link w:val="9"/>
    <w:semiHidden/>
    <w:qFormat/>
    <w:uiPriority w:val="99"/>
    <w:rPr>
      <w:sz w:val="18"/>
      <w:szCs w:val="18"/>
    </w:rPr>
  </w:style>
  <w:style w:type="character" w:customStyle="1" w:styleId="20">
    <w:name w:val="页脚 Char"/>
    <w:basedOn w:val="13"/>
    <w:link w:val="8"/>
    <w:semiHidden/>
    <w:qFormat/>
    <w:uiPriority w:val="99"/>
    <w:rPr>
      <w:sz w:val="18"/>
      <w:szCs w:val="18"/>
    </w:rPr>
  </w:style>
  <w:style w:type="paragraph" w:customStyle="1" w:styleId="21">
    <w:name w:val="p0"/>
    <w:basedOn w:val="1"/>
    <w:qFormat/>
    <w:uiPriority w:val="0"/>
    <w:pPr>
      <w:widowControl/>
      <w:jc w:val="left"/>
    </w:pPr>
    <w:rPr>
      <w:rFonts w:ascii="Times New Roman" w:hAnsi="Times New Roman" w:eastAsia="宋体" w:cs="Times New Roman"/>
      <w:szCs w:val="24"/>
    </w:rPr>
  </w:style>
  <w:style w:type="character" w:customStyle="1" w:styleId="22">
    <w:name w:val="纯文本 Char"/>
    <w:basedOn w:val="13"/>
    <w:link w:val="5"/>
    <w:qFormat/>
    <w:uiPriority w:val="0"/>
    <w:rPr>
      <w:rFonts w:ascii="宋体" w:hAnsi="Courier New" w:eastAsia="宋体" w:cs="Times New Roman"/>
      <w:sz w:val="24"/>
      <w:szCs w:val="20"/>
    </w:rPr>
  </w:style>
  <w:style w:type="character" w:customStyle="1" w:styleId="23">
    <w:name w:val="批注框文本 Char"/>
    <w:basedOn w:val="13"/>
    <w:link w:val="7"/>
    <w:semiHidden/>
    <w:qFormat/>
    <w:uiPriority w:val="99"/>
    <w:rPr>
      <w:sz w:val="18"/>
      <w:szCs w:val="18"/>
    </w:rPr>
  </w:style>
  <w:style w:type="character" w:customStyle="1" w:styleId="24">
    <w:name w:val="正文文本 Char"/>
    <w:basedOn w:val="13"/>
    <w:link w:val="3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character" w:customStyle="1" w:styleId="25">
    <w:name w:val="正文文本缩进 2 Char"/>
    <w:basedOn w:val="13"/>
    <w:link w:val="6"/>
    <w:qFormat/>
    <w:uiPriority w:val="0"/>
    <w:rPr>
      <w:rFonts w:ascii="仿宋_GB2312" w:hAnsi="宋体" w:eastAsia="仿宋_GB2312" w:cs="Times New Roman"/>
      <w:sz w:val="32"/>
      <w:szCs w:val="24"/>
    </w:rPr>
  </w:style>
  <w:style w:type="character" w:customStyle="1" w:styleId="26">
    <w:name w:val="标题 1 Char"/>
    <w:link w:val="2"/>
    <w:qFormat/>
    <w:uiPriority w:val="0"/>
    <w:rPr>
      <w:b/>
      <w:bCs/>
      <w:kern w:val="44"/>
      <w:sz w:val="44"/>
      <w:szCs w:val="44"/>
    </w:rPr>
  </w:style>
  <w:style w:type="paragraph" w:customStyle="1" w:styleId="27">
    <w:name w:val="正文 A"/>
    <w:qFormat/>
    <w:uiPriority w:val="0"/>
    <w:pPr>
      <w:widowControl w:val="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table" w:customStyle="1" w:styleId="28">
    <w:name w:val="Table Normal"/>
    <w:qFormat/>
    <w:uiPriority w:val="0"/>
    <w:rPr>
      <w:rFonts w:ascii="Times New Roman" w:hAnsi="Times New Roman" w:cs="Times New Roman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9">
    <w:name w:val="无"/>
    <w:qFormat/>
    <w:uiPriority w:val="0"/>
  </w:style>
  <w:style w:type="paragraph" w:customStyle="1" w:styleId="30">
    <w:name w:val="样式3"/>
    <w:basedOn w:val="8"/>
    <w:qFormat/>
    <w:uiPriority w:val="0"/>
    <w:pPr>
      <w:pBdr>
        <w:top w:val="thinThickSmallGap" w:color="622423" w:sz="18" w:space="1"/>
      </w:pBdr>
    </w:pPr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609</Words>
  <Characters>3476</Characters>
  <Lines>28</Lines>
  <Paragraphs>8</Paragraphs>
  <ScaleCrop>false</ScaleCrop>
  <LinksUpToDate>false</LinksUpToDate>
  <CharactersWithSpaces>4077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2016-08-16T06:32:00Z</dcterms:created>
  <dc:creator>qjh</dc:creator>
  <cp:lastModifiedBy>王龙28</cp:lastModifiedBy>
  <dcterms:modified xsi:type="dcterms:W3CDTF">2019-04-09T06:20:03Z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