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方正小标宋简体" w:hAnsi="Times New Roman" w:eastAsia="方正小标宋简体"/>
          <w:bCs/>
          <w:snapToGrid w:val="0"/>
          <w:kern w:val="0"/>
          <w:sz w:val="44"/>
          <w:szCs w:val="44"/>
        </w:rPr>
      </w:pPr>
      <w:bookmarkStart w:id="0" w:name="_Toc353112464"/>
      <w:bookmarkStart w:id="1" w:name="_Toc386025240"/>
      <w:r>
        <w:rPr>
          <w:rFonts w:hint="eastAsia" w:ascii="方正小标宋简体" w:eastAsia="方正小标宋简体"/>
          <w:bCs/>
          <w:snapToGrid w:val="0"/>
          <w:kern w:val="0"/>
          <w:sz w:val="44"/>
          <w:szCs w:val="44"/>
        </w:rPr>
        <w:t>生产一部单机电气室、维修车间电缆防火涂刷封堵项目</w:t>
      </w:r>
      <w:r>
        <w:rPr>
          <w:rFonts w:hint="eastAsia" w:ascii="方正小标宋简体" w:hAnsi="Times New Roman" w:eastAsia="方正小标宋简体"/>
          <w:bCs/>
          <w:snapToGrid w:val="0"/>
          <w:kern w:val="0"/>
          <w:sz w:val="44"/>
          <w:szCs w:val="44"/>
        </w:rPr>
        <w:t>技术规格书</w:t>
      </w:r>
    </w:p>
    <w:p>
      <w:pPr>
        <w:spacing w:line="360" w:lineRule="auto"/>
        <w:outlineLvl w:val="0"/>
        <w:rPr>
          <w:rFonts w:ascii="黑体" w:hAnsi="黑体" w:eastAsia="黑体" w:cs="黑体"/>
          <w:bCs/>
          <w:sz w:val="28"/>
          <w:szCs w:val="28"/>
        </w:rPr>
      </w:pPr>
    </w:p>
    <w:p>
      <w:pPr>
        <w:spacing w:line="360" w:lineRule="auto"/>
        <w:outlineLvl w:val="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一、工程概况</w:t>
      </w:r>
    </w:p>
    <w:p>
      <w:pPr>
        <w:spacing w:line="360" w:lineRule="auto"/>
        <w:ind w:firstLine="562"/>
        <w:outlineLvl w:val="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ascii="仿宋_GB2312" w:hAnsi="仿宋_GB2312" w:eastAsia="仿宋_GB2312" w:cs="仿宋_GB2312"/>
          <w:bCs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、改造条件</w:t>
      </w:r>
    </w:p>
    <w:p>
      <w:pPr>
        <w:spacing w:line="360" w:lineRule="auto"/>
        <w:ind w:firstLine="560" w:firstLineChars="200"/>
        <w:outlineLvl w:val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生产一部单机电气室、维修车间电缆较多，建设标准不高，部分电缆及孔洞无专业、有效的防火涂刷和防火封堵，存在一定的火灾隐患。为确保单机、维修车间、变电站达到良好的防火效果，降低电缆火灾危险性，需对生产一部单机电气室、维修车间进行电缆防火涂刷和孔洞封堵。改造后，电缆及各电气柜间达到良好的防火效果。</w:t>
      </w:r>
    </w:p>
    <w:p>
      <w:pPr>
        <w:numPr>
          <w:ilvl w:val="0"/>
          <w:numId w:val="1"/>
        </w:numPr>
        <w:spacing w:line="360" w:lineRule="auto"/>
        <w:ind w:firstLine="560" w:firstLineChars="200"/>
        <w:outlineLvl w:val="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改造对象及范围</w:t>
      </w:r>
    </w:p>
    <w:p>
      <w:pPr>
        <w:spacing w:line="360" w:lineRule="auto"/>
        <w:ind w:firstLine="560" w:firstLineChars="200"/>
        <w:outlineLvl w:val="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2.1</w:t>
      </w:r>
      <w:r>
        <w:rPr>
          <w:rFonts w:hint="eastAsia" w:ascii="仿宋_GB2312" w:hAnsi="仿宋_GB2312" w:eastAsia="仿宋_GB2312" w:cs="仿宋_GB2312"/>
          <w:sz w:val="28"/>
          <w:szCs w:val="28"/>
        </w:rPr>
        <w:t>生产一部所辖一、四期堆场区域的</w:t>
      </w:r>
      <w:r>
        <w:rPr>
          <w:rFonts w:ascii="仿宋_GB2312" w:hAnsi="仿宋_GB2312" w:eastAsia="仿宋_GB2312" w:cs="仿宋_GB2312"/>
          <w:sz w:val="28"/>
          <w:szCs w:val="28"/>
        </w:rPr>
        <w:t>R0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R1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R2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R3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R4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R10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SR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S1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S2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S3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SL1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SL2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SL3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SLK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S7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S8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R12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R13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R14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R15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ascii="仿宋_GB2312" w:hAnsi="仿宋_GB2312" w:eastAsia="仿宋_GB2312" w:cs="仿宋_GB2312"/>
          <w:sz w:val="28"/>
          <w:szCs w:val="28"/>
        </w:rPr>
        <w:t>SL12</w:t>
      </w:r>
      <w:r>
        <w:rPr>
          <w:rFonts w:hint="eastAsia" w:ascii="仿宋_GB2312" w:hAnsi="仿宋_GB2312" w:eastAsia="仿宋_GB2312" w:cs="仿宋_GB2312"/>
          <w:sz w:val="28"/>
          <w:szCs w:val="28"/>
        </w:rPr>
        <w:t>共</w:t>
      </w:r>
      <w:r>
        <w:rPr>
          <w:rFonts w:ascii="仿宋_GB2312" w:hAnsi="仿宋_GB2312" w:eastAsia="仿宋_GB2312" w:cs="仿宋_GB2312"/>
          <w:sz w:val="28"/>
          <w:szCs w:val="28"/>
        </w:rPr>
        <w:t>21</w:t>
      </w:r>
      <w:r>
        <w:rPr>
          <w:rFonts w:hint="eastAsia" w:ascii="仿宋_GB2312" w:hAnsi="仿宋_GB2312" w:eastAsia="仿宋_GB2312" w:cs="仿宋_GB2312"/>
          <w:sz w:val="28"/>
          <w:szCs w:val="28"/>
        </w:rPr>
        <w:t>台单机的电气柜、进线孔等孔洞封堵和线路防火涂刷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（防火封堵面积约为</w:t>
      </w:r>
      <w:r>
        <w:rPr>
          <w:rFonts w:ascii="仿宋_GB2312" w:hAnsi="仿宋_GB2312" w:eastAsia="仿宋_GB2312" w:cs="仿宋_GB2312"/>
          <w:color w:val="auto"/>
          <w:sz w:val="28"/>
          <w:szCs w:val="28"/>
        </w:rPr>
        <w:t>240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㎡）。</w:t>
      </w:r>
    </w:p>
    <w:p>
      <w:pPr>
        <w:spacing w:line="360" w:lineRule="auto"/>
        <w:ind w:firstLine="560" w:firstLineChars="200"/>
        <w:outlineLvl w:val="0"/>
        <w:rPr>
          <w:rFonts w:ascii="仿宋_GB2312" w:hAnsi="仿宋_GB2312" w:eastAsia="仿宋_GB2312" w:cs="仿宋_GB2312"/>
          <w:color w:val="0000FF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2.2</w:t>
      </w:r>
      <w:r>
        <w:rPr>
          <w:rFonts w:hint="eastAsia" w:ascii="仿宋_GB2312" w:hAnsi="仿宋_GB2312" w:eastAsia="仿宋_GB2312" w:cs="仿宋_GB2312"/>
          <w:sz w:val="28"/>
          <w:szCs w:val="28"/>
        </w:rPr>
        <w:t>设备保障中心所辖装配车间、铆焊车间、下料车间、机加工车间、硫化车间、</w:t>
      </w:r>
      <w:r>
        <w:rPr>
          <w:rFonts w:ascii="仿宋_GB2312" w:hAnsi="仿宋_GB2312" w:eastAsia="仿宋_GB2312" w:cs="仿宋_GB2312"/>
          <w:sz w:val="28"/>
          <w:szCs w:val="28"/>
        </w:rPr>
        <w:t>15</w:t>
      </w:r>
      <w:r>
        <w:rPr>
          <w:rFonts w:hint="eastAsia" w:ascii="仿宋_GB2312" w:hAnsi="仿宋_GB2312" w:eastAsia="仿宋_GB2312" w:cs="仿宋_GB2312"/>
          <w:sz w:val="28"/>
          <w:szCs w:val="28"/>
        </w:rPr>
        <w:t>号库、办公楼共计</w:t>
      </w:r>
      <w:r>
        <w:rPr>
          <w:rFonts w:ascii="仿宋_GB2312" w:hAnsi="仿宋_GB2312" w:eastAsia="仿宋_GB2312" w:cs="仿宋_GB2312"/>
          <w:sz w:val="28"/>
          <w:szCs w:val="28"/>
        </w:rPr>
        <w:t>42</w:t>
      </w:r>
      <w:r>
        <w:rPr>
          <w:rFonts w:hint="eastAsia" w:ascii="仿宋_GB2312" w:hAnsi="仿宋_GB2312" w:eastAsia="仿宋_GB2312" w:cs="仿宋_GB2312"/>
          <w:sz w:val="28"/>
          <w:szCs w:val="28"/>
        </w:rPr>
        <w:t>面配电柜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20面通讯屏柜防火封堵及下侧箱体内电缆防火粉刷（防火封堵面积约</w:t>
      </w:r>
      <w:r>
        <w:rPr>
          <w:rFonts w:ascii="仿宋_GB2312" w:hAnsi="仿宋_GB2312" w:eastAsia="仿宋_GB2312" w:cs="仿宋_GB2312"/>
          <w:color w:val="auto"/>
          <w:sz w:val="28"/>
          <w:szCs w:val="28"/>
        </w:rPr>
        <w:t>20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㎡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）。</w:t>
      </w:r>
    </w:p>
    <w:p>
      <w:pPr>
        <w:spacing w:line="360" w:lineRule="auto"/>
        <w:ind w:firstLine="560" w:firstLineChars="200"/>
        <w:outlineLvl w:val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2.3</w:t>
      </w:r>
      <w:r>
        <w:rPr>
          <w:rFonts w:hint="eastAsia" w:ascii="仿宋_GB2312" w:hAnsi="仿宋_GB2312" w:eastAsia="仿宋_GB2312" w:cs="仿宋_GB2312"/>
          <w:sz w:val="28"/>
          <w:szCs w:val="28"/>
        </w:rPr>
        <w:t>防火涂刷及封堵面积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工程量为预</w:t>
      </w:r>
      <w:bookmarkStart w:id="18" w:name="_GoBack"/>
      <w:bookmarkEnd w:id="18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估量，报价时应充分考虑现场情况。具体施工面积</w:t>
      </w:r>
      <w:r>
        <w:rPr>
          <w:rFonts w:hint="eastAsia" w:ascii="仿宋_GB2312" w:hAnsi="仿宋_GB2312" w:eastAsia="仿宋_GB2312" w:cs="仿宋_GB2312"/>
          <w:sz w:val="28"/>
          <w:szCs w:val="28"/>
        </w:rPr>
        <w:t>为以实际测量为准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但费用不做调整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  <w:bookmarkEnd w:id="0"/>
      <w:bookmarkEnd w:id="1"/>
      <w:bookmarkStart w:id="2" w:name="_Toc386025243"/>
      <w:bookmarkStart w:id="3" w:name="_Toc353126025"/>
    </w:p>
    <w:p>
      <w:pPr>
        <w:numPr>
          <w:ilvl w:val="0"/>
          <w:numId w:val="1"/>
        </w:numPr>
        <w:spacing w:line="360" w:lineRule="auto"/>
        <w:ind w:firstLine="560" w:firstLineChars="200"/>
        <w:outlineLvl w:val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施工条件</w:t>
      </w:r>
    </w:p>
    <w:p>
      <w:pPr>
        <w:spacing w:line="360" w:lineRule="auto"/>
        <w:outlineLvl w:val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 xml:space="preserve">   </w:t>
      </w:r>
      <w:r>
        <w:rPr>
          <w:rFonts w:ascii="仿宋_GB2312" w:hAnsi="仿宋_GB2312" w:eastAsia="仿宋_GB2312" w:cs="仿宋_GB2312"/>
          <w:color w:val="0000FF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施工期间，根据现场生产情况，在单机停机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间隙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及时进行工程施工。</w:t>
      </w:r>
    </w:p>
    <w:p>
      <w:pPr>
        <w:spacing w:line="360" w:lineRule="auto"/>
        <w:outlineLvl w:val="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二、施工</w:t>
      </w:r>
      <w:bookmarkEnd w:id="2"/>
      <w:bookmarkEnd w:id="3"/>
      <w:r>
        <w:rPr>
          <w:rFonts w:hint="eastAsia" w:ascii="黑体" w:hAnsi="黑体" w:eastAsia="黑体" w:cs="黑体"/>
          <w:bCs/>
          <w:sz w:val="28"/>
          <w:szCs w:val="28"/>
        </w:rPr>
        <w:t>执行标准及工艺要求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bookmarkStart w:id="4" w:name="_Toc301773263"/>
      <w:bookmarkStart w:id="5" w:name="_Toc323193085"/>
      <w:bookmarkStart w:id="6" w:name="_Toc299626562"/>
      <w:bookmarkStart w:id="7" w:name="_Toc353126029"/>
      <w:r>
        <w:rPr>
          <w:rFonts w:ascii="仿宋_GB2312" w:hAnsi="仿宋_GB2312" w:eastAsia="仿宋_GB2312" w:cs="仿宋_GB2312"/>
          <w:bCs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、本工程执行以下和其他相关标准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◆</w:t>
      </w:r>
      <w:r>
        <w:rPr>
          <w:rFonts w:ascii="仿宋_GB2312" w:hAnsi="仿宋_GB2312" w:eastAsia="仿宋_GB2312" w:cs="仿宋_GB2312"/>
          <w:sz w:val="28"/>
          <w:szCs w:val="28"/>
        </w:rPr>
        <w:t xml:space="preserve">GB 50016-2006  </w:t>
      </w:r>
      <w:r>
        <w:rPr>
          <w:rFonts w:hint="eastAsia" w:ascii="仿宋_GB2312" w:hAnsi="仿宋_GB2312" w:eastAsia="仿宋_GB2312" w:cs="仿宋_GB2312"/>
          <w:sz w:val="28"/>
          <w:szCs w:val="28"/>
        </w:rPr>
        <w:t>《建筑设计防火规范》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◆</w:t>
      </w:r>
      <w:r>
        <w:rPr>
          <w:rFonts w:ascii="仿宋_GB2312" w:hAnsi="仿宋_GB2312" w:eastAsia="仿宋_GB2312" w:cs="仿宋_GB2312"/>
          <w:sz w:val="28"/>
          <w:szCs w:val="28"/>
        </w:rPr>
        <w:t xml:space="preserve">GB50229-2006   </w:t>
      </w:r>
      <w:r>
        <w:rPr>
          <w:rFonts w:hint="eastAsia" w:ascii="仿宋_GB2312" w:hAnsi="仿宋_GB2312" w:eastAsia="仿宋_GB2312" w:cs="仿宋_GB2312"/>
          <w:sz w:val="28"/>
          <w:szCs w:val="28"/>
        </w:rPr>
        <w:t>《火力发电厂与变电所设计防火规范》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◆</w:t>
      </w:r>
      <w:r>
        <w:rPr>
          <w:rFonts w:ascii="仿宋_GB2312" w:hAnsi="仿宋_GB2312" w:eastAsia="仿宋_GB2312" w:cs="仿宋_GB2312"/>
          <w:sz w:val="28"/>
          <w:szCs w:val="28"/>
        </w:rPr>
        <w:t xml:space="preserve">GB28374-2012   </w:t>
      </w:r>
      <w:r>
        <w:rPr>
          <w:rFonts w:hint="eastAsia" w:ascii="仿宋_GB2312" w:hAnsi="仿宋_GB2312" w:eastAsia="仿宋_GB2312" w:cs="仿宋_GB2312"/>
          <w:sz w:val="28"/>
          <w:szCs w:val="28"/>
        </w:rPr>
        <w:t>《电缆防火涂料技术标准》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◆</w:t>
      </w:r>
      <w:r>
        <w:rPr>
          <w:rFonts w:ascii="仿宋_GB2312" w:hAnsi="仿宋_GB2312" w:eastAsia="仿宋_GB2312" w:cs="仿宋_GB2312"/>
          <w:sz w:val="28"/>
          <w:szCs w:val="28"/>
        </w:rPr>
        <w:t xml:space="preserve">DLGJ154-2000   </w:t>
      </w:r>
      <w:r>
        <w:rPr>
          <w:rFonts w:hint="eastAsia" w:ascii="仿宋_GB2312" w:hAnsi="仿宋_GB2312" w:eastAsia="仿宋_GB2312" w:cs="仿宋_GB2312"/>
          <w:sz w:val="28"/>
          <w:szCs w:val="28"/>
        </w:rPr>
        <w:t>《电缆防火措施设计和施工验收标准》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◆</w:t>
      </w:r>
      <w:r>
        <w:rPr>
          <w:rFonts w:ascii="仿宋_GB2312" w:hAnsi="仿宋_GB2312" w:eastAsia="仿宋_GB2312" w:cs="仿宋_GB2312"/>
          <w:sz w:val="28"/>
          <w:szCs w:val="28"/>
        </w:rPr>
        <w:t>CECS154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ascii="仿宋_GB2312" w:hAnsi="仿宋_GB2312" w:eastAsia="仿宋_GB2312" w:cs="仿宋_GB2312"/>
          <w:sz w:val="28"/>
          <w:szCs w:val="28"/>
        </w:rPr>
        <w:t xml:space="preserve">2003  </w:t>
      </w:r>
      <w:r>
        <w:rPr>
          <w:rFonts w:hint="eastAsia" w:ascii="仿宋_GB2312" w:hAnsi="仿宋_GB2312" w:eastAsia="仿宋_GB2312" w:cs="仿宋_GB2312"/>
          <w:sz w:val="28"/>
          <w:szCs w:val="28"/>
        </w:rPr>
        <w:t>《建筑防火封堵应用技术规程》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◆</w:t>
      </w:r>
      <w:r>
        <w:rPr>
          <w:rFonts w:ascii="仿宋_GB2312" w:hAnsi="仿宋_GB2312" w:eastAsia="仿宋_GB2312" w:cs="仿宋_GB2312"/>
          <w:sz w:val="28"/>
          <w:szCs w:val="28"/>
        </w:rPr>
        <w:t>GA161-1997</w:t>
      </w:r>
      <w:r>
        <w:rPr>
          <w:rFonts w:ascii="仿宋_GB2312" w:hAnsi="仿宋_GB2312" w:eastAsia="仿宋_GB2312" w:cs="仿宋_GB2312"/>
          <w:sz w:val="28"/>
          <w:szCs w:val="28"/>
        </w:rPr>
        <w:tab/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《防火封堵材料性能要求和试验方法》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◆</w:t>
      </w:r>
      <w:r>
        <w:rPr>
          <w:rFonts w:ascii="仿宋_GB2312" w:hAnsi="仿宋_GB2312" w:eastAsia="仿宋_GB2312" w:cs="仿宋_GB2312"/>
          <w:sz w:val="28"/>
          <w:szCs w:val="28"/>
        </w:rPr>
        <w:t xml:space="preserve">GA181-1998   </w:t>
      </w:r>
      <w:r>
        <w:rPr>
          <w:rFonts w:hint="eastAsia" w:ascii="仿宋_GB2312" w:hAnsi="仿宋_GB2312" w:eastAsia="仿宋_GB2312" w:cs="仿宋_GB2312"/>
          <w:sz w:val="28"/>
          <w:szCs w:val="28"/>
        </w:rPr>
        <w:t>《电缆防火涂料通用技术条件》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◆《电力建设施工、验收及质量验评标准汇编》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ascii="仿宋_GB2312" w:hAnsi="仿宋_GB2312" w:eastAsia="仿宋_GB2312" w:cs="仿宋_GB2312"/>
          <w:bCs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、电缆防火涂料涂刷工艺</w:t>
      </w:r>
      <w:bookmarkEnd w:id="4"/>
      <w:bookmarkEnd w:id="5"/>
      <w:bookmarkEnd w:id="6"/>
      <w:r>
        <w:rPr>
          <w:rFonts w:hint="eastAsia" w:ascii="仿宋_GB2312" w:hAnsi="仿宋_GB2312" w:eastAsia="仿宋_GB2312" w:cs="仿宋_GB2312"/>
          <w:bCs/>
          <w:sz w:val="28"/>
          <w:szCs w:val="28"/>
        </w:rPr>
        <w:t>要求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）施工准备→电缆整理→表面清理（去除灰尘及油污）→分次涂刷防火涂料（干燥后厚度＞</w:t>
      </w:r>
      <w:r>
        <w:rPr>
          <w:rFonts w:ascii="仿宋_GB2312" w:hAnsi="仿宋_GB2312" w:eastAsia="仿宋_GB2312" w:cs="仿宋_GB2312"/>
          <w:sz w:val="28"/>
          <w:szCs w:val="28"/>
        </w:rPr>
        <w:t>1mm</w:t>
      </w:r>
      <w:r>
        <w:rPr>
          <w:rFonts w:hint="eastAsia" w:ascii="仿宋_GB2312" w:hAnsi="仿宋_GB2312" w:eastAsia="仿宋_GB2312" w:cs="仿宋_GB2312"/>
          <w:sz w:val="28"/>
          <w:szCs w:val="28"/>
        </w:rPr>
        <w:t>）→养护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→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交工验收。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>）整理电缆，涂刷前先用刷子等彻底清理干净电缆上的灰尘、油污。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）将涂料搅拌均匀，第一遍涂刷厚度越薄越好，控制在</w:t>
      </w:r>
      <w:r>
        <w:rPr>
          <w:rFonts w:ascii="仿宋_GB2312" w:hAnsi="仿宋_GB2312" w:eastAsia="仿宋_GB2312" w:cs="仿宋_GB2312"/>
          <w:sz w:val="28"/>
          <w:szCs w:val="28"/>
        </w:rPr>
        <w:t>0.1mm</w:t>
      </w:r>
      <w:r>
        <w:rPr>
          <w:rFonts w:hint="eastAsia" w:ascii="仿宋_GB2312" w:hAnsi="仿宋_GB2312" w:eastAsia="仿宋_GB2312" w:cs="仿宋_GB2312"/>
          <w:sz w:val="28"/>
          <w:szCs w:val="28"/>
        </w:rPr>
        <w:t>内。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）第一遍以后，每遍涂刷厚度在</w:t>
      </w:r>
      <w:r>
        <w:rPr>
          <w:rFonts w:ascii="仿宋_GB2312" w:hAnsi="仿宋_GB2312" w:eastAsia="仿宋_GB2312" w:cs="仿宋_GB2312"/>
          <w:sz w:val="28"/>
          <w:szCs w:val="28"/>
        </w:rPr>
        <w:t>0.3mm</w:t>
      </w:r>
      <w:r>
        <w:rPr>
          <w:rFonts w:hint="eastAsia" w:ascii="仿宋_GB2312" w:hAnsi="仿宋_GB2312" w:eastAsia="仿宋_GB2312" w:cs="仿宋_GB2312"/>
          <w:sz w:val="28"/>
          <w:szCs w:val="28"/>
        </w:rPr>
        <w:t>左右，直至达到规定的厚度。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）每遍涂刷前，必须达到表干程度后，才能再涂刷下一遍，表干时间约在</w:t>
      </w:r>
      <w:r>
        <w:rPr>
          <w:rFonts w:ascii="仿宋_GB2312" w:hAnsi="仿宋_GB2312" w:eastAsia="仿宋_GB2312" w:cs="仿宋_GB2312"/>
          <w:sz w:val="28"/>
          <w:szCs w:val="28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～</w:t>
      </w:r>
      <w:r>
        <w:rPr>
          <w:rFonts w:ascii="仿宋_GB2312" w:hAnsi="仿宋_GB2312" w:eastAsia="仿宋_GB2312" w:cs="仿宋_GB2312"/>
          <w:sz w:val="28"/>
          <w:szCs w:val="28"/>
        </w:rPr>
        <w:t>8</w:t>
      </w:r>
      <w:r>
        <w:rPr>
          <w:rFonts w:hint="eastAsia" w:ascii="仿宋_GB2312" w:hAnsi="仿宋_GB2312" w:eastAsia="仿宋_GB2312" w:cs="仿宋_GB2312"/>
          <w:sz w:val="28"/>
          <w:szCs w:val="28"/>
        </w:rPr>
        <w:t>小时，使之符合耐火等级标准。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6)</w:t>
      </w:r>
      <w:r>
        <w:rPr>
          <w:rFonts w:hint="eastAsia" w:ascii="仿宋_GB2312" w:hAnsi="仿宋_GB2312" w:eastAsia="仿宋_GB2312" w:cs="仿宋_GB2312"/>
          <w:sz w:val="28"/>
          <w:szCs w:val="28"/>
        </w:rPr>
        <w:t>施工人员需配备测量工具，随时现场检测涂层厚度。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7)</w:t>
      </w:r>
      <w:r>
        <w:rPr>
          <w:rFonts w:hint="eastAsia" w:ascii="仿宋_GB2312" w:hAnsi="仿宋_GB2312" w:eastAsia="仿宋_GB2312" w:cs="仿宋_GB2312"/>
          <w:sz w:val="28"/>
          <w:szCs w:val="28"/>
        </w:rPr>
        <w:t>涂刷电缆的长度应距电缆封堵处或进出孔洞处各为</w:t>
      </w:r>
      <w:r>
        <w:rPr>
          <w:rFonts w:ascii="仿宋_GB2312" w:hAnsi="仿宋_GB2312" w:eastAsia="仿宋_GB2312" w:cs="仿宋_GB2312"/>
          <w:sz w:val="28"/>
          <w:szCs w:val="28"/>
        </w:rPr>
        <w:t>3m</w:t>
      </w:r>
      <w:r>
        <w:rPr>
          <w:rFonts w:hint="eastAsia" w:ascii="仿宋_GB2312" w:hAnsi="仿宋_GB2312" w:eastAsia="仿宋_GB2312" w:cs="仿宋_GB2312"/>
          <w:sz w:val="28"/>
          <w:szCs w:val="28"/>
        </w:rPr>
        <w:t>范围内。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8)</w:t>
      </w:r>
      <w:r>
        <w:rPr>
          <w:rFonts w:hint="eastAsia" w:ascii="仿宋_GB2312" w:hAnsi="仿宋_GB2312" w:eastAsia="仿宋_GB2312" w:cs="仿宋_GB2312"/>
          <w:sz w:val="28"/>
          <w:szCs w:val="28"/>
        </w:rPr>
        <w:t>水平敷设的电缆沿着电缆走向均匀涂刷，垂直敷设电缆自上而下涂刷。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9)</w:t>
      </w:r>
      <w:r>
        <w:rPr>
          <w:rFonts w:hint="eastAsia" w:ascii="仿宋_GB2312" w:hAnsi="仿宋_GB2312" w:eastAsia="仿宋_GB2312" w:cs="仿宋_GB2312"/>
          <w:sz w:val="28"/>
          <w:szCs w:val="28"/>
        </w:rPr>
        <w:t>电缆密集或成束敷设时要进行处理，不漏涂，并整齐美观。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10)</w:t>
      </w:r>
      <w:r>
        <w:rPr>
          <w:rFonts w:hint="eastAsia" w:ascii="仿宋_GB2312" w:hAnsi="仿宋_GB2312" w:eastAsia="仿宋_GB2312" w:cs="仿宋_GB2312"/>
          <w:sz w:val="28"/>
          <w:szCs w:val="28"/>
        </w:rPr>
        <w:t>为了防止污染已涂刷过的部分和其他工作面，涂刷后，应及时采用相应的遮蔽措施，如用塑料薄膜或彩条布等。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bookmarkStart w:id="8" w:name="_Toc323193089"/>
      <w:bookmarkStart w:id="9" w:name="_Toc301773268"/>
      <w:bookmarkStart w:id="10" w:name="_Toc299626567"/>
      <w:r>
        <w:rPr>
          <w:rFonts w:ascii="仿宋_GB2312" w:hAnsi="仿宋_GB2312" w:eastAsia="仿宋_GB2312" w:cs="仿宋_GB2312"/>
          <w:bCs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、孔洞封堵施工</w:t>
      </w:r>
      <w:bookmarkEnd w:id="8"/>
      <w:bookmarkEnd w:id="9"/>
      <w:bookmarkEnd w:id="10"/>
      <w:r>
        <w:rPr>
          <w:rFonts w:hint="eastAsia" w:ascii="仿宋_GB2312" w:hAnsi="仿宋_GB2312" w:eastAsia="仿宋_GB2312" w:cs="仿宋_GB2312"/>
          <w:bCs/>
          <w:sz w:val="28"/>
          <w:szCs w:val="28"/>
        </w:rPr>
        <w:t>要求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1)</w:t>
      </w:r>
      <w:r>
        <w:rPr>
          <w:rFonts w:hint="eastAsia" w:ascii="仿宋_GB2312" w:hAnsi="仿宋_GB2312" w:eastAsia="仿宋_GB2312" w:cs="仿宋_GB2312"/>
          <w:sz w:val="28"/>
          <w:szCs w:val="28"/>
        </w:rPr>
        <w:t>电气室内所有穿墙、楼板、电气柜底板孔洞采用</w:t>
      </w:r>
      <w:r>
        <w:rPr>
          <w:rFonts w:ascii="仿宋_GB2312" w:hAnsi="仿宋_GB2312" w:eastAsia="仿宋_GB2312" w:cs="仿宋_GB2312"/>
          <w:sz w:val="28"/>
          <w:szCs w:val="28"/>
        </w:rPr>
        <w:t>5mm</w:t>
      </w:r>
      <w:r>
        <w:rPr>
          <w:rFonts w:hint="eastAsia" w:ascii="仿宋_GB2312" w:hAnsi="仿宋_GB2312" w:eastAsia="仿宋_GB2312" w:cs="仿宋_GB2312"/>
          <w:sz w:val="28"/>
          <w:szCs w:val="28"/>
        </w:rPr>
        <w:t>厚无机防火隔板，有机防火堵料、防火包、无机防火堵料配合施工。</w:t>
      </w:r>
      <w:r>
        <w:rPr>
          <w:rFonts w:ascii="仿宋_GB2312" w:hAnsi="仿宋_GB2312" w:eastAsia="仿宋_GB2312" w:cs="仿宋_GB2312"/>
          <w:sz w:val="28"/>
          <w:szCs w:val="28"/>
        </w:rPr>
        <w:t xml:space="preserve"> 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2)</w:t>
      </w:r>
      <w:r>
        <w:rPr>
          <w:rFonts w:hint="eastAsia" w:ascii="仿宋_GB2312" w:hAnsi="仿宋_GB2312" w:eastAsia="仿宋_GB2312" w:cs="仿宋_GB2312"/>
          <w:sz w:val="28"/>
          <w:szCs w:val="28"/>
        </w:rPr>
        <w:t>凡穿越墙壁较小的孔洞，可直接用有机堵料将孔洞密封，孔洞两侧用无机堵料修平。穿越墙壁较大的孔洞，电缆用有机堵料包裹密实并有造型，用防火包将孔洞封堵严密；孔洞底部及两侧用</w:t>
      </w:r>
      <w:r>
        <w:rPr>
          <w:rFonts w:ascii="仿宋_GB2312" w:hAnsi="仿宋_GB2312" w:eastAsia="仿宋_GB2312" w:cs="仿宋_GB2312"/>
          <w:sz w:val="28"/>
          <w:szCs w:val="28"/>
        </w:rPr>
        <w:t>5mm</w:t>
      </w:r>
      <w:r>
        <w:rPr>
          <w:rFonts w:hint="eastAsia" w:ascii="仿宋_GB2312" w:hAnsi="仿宋_GB2312" w:eastAsia="仿宋_GB2312" w:cs="仿宋_GB2312"/>
          <w:sz w:val="28"/>
          <w:szCs w:val="28"/>
        </w:rPr>
        <w:t>防火隔板覆盖，防火隔板与墙体应有一定的搭界长度，与墙体之间用膨胀螺栓固定；孔洞周边的墙体缝隙用无机堵料涂抹密实，并达到美观效果。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3)</w:t>
      </w:r>
      <w:r>
        <w:rPr>
          <w:rFonts w:hint="eastAsia" w:ascii="仿宋_GB2312" w:hAnsi="仿宋_GB2312" w:eastAsia="仿宋_GB2312" w:cs="仿宋_GB2312"/>
          <w:sz w:val="28"/>
          <w:szCs w:val="28"/>
        </w:rPr>
        <w:t>以上孔洞所有电缆两侧各</w:t>
      </w:r>
      <w:r>
        <w:rPr>
          <w:rFonts w:ascii="仿宋_GB2312" w:hAnsi="仿宋_GB2312" w:eastAsia="仿宋_GB2312" w:cs="仿宋_GB2312"/>
          <w:sz w:val="28"/>
          <w:szCs w:val="28"/>
        </w:rPr>
        <w:t>3m</w:t>
      </w:r>
      <w:r>
        <w:rPr>
          <w:rFonts w:hint="eastAsia" w:ascii="仿宋_GB2312" w:hAnsi="仿宋_GB2312" w:eastAsia="仿宋_GB2312" w:cs="仿宋_GB2312"/>
          <w:sz w:val="28"/>
          <w:szCs w:val="28"/>
        </w:rPr>
        <w:t>涂刷防火涂料，涂刷厚度≥</w:t>
      </w:r>
      <w:r>
        <w:rPr>
          <w:rFonts w:ascii="仿宋_GB2312" w:hAnsi="仿宋_GB2312" w:eastAsia="仿宋_GB2312" w:cs="仿宋_GB2312"/>
          <w:sz w:val="28"/>
          <w:szCs w:val="28"/>
        </w:rPr>
        <w:t>1mm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bookmarkStart w:id="11" w:name="_Toc323193092"/>
      <w:bookmarkStart w:id="12" w:name="_Toc291584243"/>
      <w:bookmarkStart w:id="13" w:name="_Toc301773272"/>
      <w:bookmarkStart w:id="14" w:name="_Toc299626570"/>
      <w:r>
        <w:rPr>
          <w:rFonts w:ascii="仿宋_GB2312" w:hAnsi="仿宋_GB2312" w:eastAsia="仿宋_GB2312" w:cs="仿宋_GB2312"/>
          <w:bCs/>
          <w:sz w:val="28"/>
          <w:szCs w:val="28"/>
        </w:rPr>
        <w:t>4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、成品保护</w:t>
      </w:r>
      <w:bookmarkEnd w:id="11"/>
      <w:bookmarkEnd w:id="12"/>
      <w:bookmarkEnd w:id="13"/>
      <w:bookmarkEnd w:id="14"/>
    </w:p>
    <w:bookmarkEnd w:id="7"/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bookmarkStart w:id="15" w:name="OLE_LINK1"/>
      <w:r>
        <w:rPr>
          <w:rFonts w:ascii="仿宋_GB2312" w:hAnsi="仿宋_GB2312" w:eastAsia="仿宋_GB2312" w:cs="仿宋_GB2312"/>
          <w:sz w:val="28"/>
          <w:szCs w:val="28"/>
        </w:rPr>
        <w:t>DFD</w:t>
      </w:r>
      <w:r>
        <w:rPr>
          <w:rFonts w:hint="eastAsia" w:ascii="仿宋_GB2312" w:hAnsi="仿宋_GB2312" w:eastAsia="仿宋_GB2312" w:cs="仿宋_GB2312"/>
          <w:sz w:val="28"/>
          <w:szCs w:val="28"/>
        </w:rPr>
        <w:t>非硬化有机堵料</w:t>
      </w:r>
      <w:bookmarkEnd w:id="15"/>
      <w:r>
        <w:rPr>
          <w:rFonts w:hint="eastAsia" w:ascii="仿宋_GB2312" w:hAnsi="仿宋_GB2312" w:eastAsia="仿宋_GB2312" w:cs="仿宋_GB2312"/>
          <w:sz w:val="28"/>
          <w:szCs w:val="28"/>
        </w:rPr>
        <w:t>封堵后，要用防护隔离物或其它防护措施进行成品保护。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>）用彩条布遮盖已施工完毕的工作面，严防重物碰撞。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）挂设警戒标志（如果有必要进行严格保护时），标出保护提示牌，确保成品不受损坏。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）合理安排施工工序，避免交叉施工因素，共同维护已施工完毕的防火成品，确保防火质量万无一失。</w:t>
      </w:r>
    </w:p>
    <w:p>
      <w:pPr>
        <w:spacing w:line="360" w:lineRule="auto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三、工程项目要求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、本项目施工质量应符合本技术规格书第二条第</w:t>
      </w:r>
      <w:r>
        <w:rPr>
          <w:rFonts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款规范标准。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>、施工进场前按委托方管理规定办理相关入场手续，自行负责办理行政管理机构的作业许可。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、中标单位严格遵守委托方有关的规章制度，确保安全施工、文明施工。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、防火涂料选用环保型</w:t>
      </w:r>
      <w:bookmarkStart w:id="16" w:name="OLE_LINK2"/>
      <w:r>
        <w:rPr>
          <w:rFonts w:hint="eastAsia" w:ascii="仿宋_GB2312" w:hAnsi="仿宋_GB2312" w:eastAsia="仿宋_GB2312" w:cs="仿宋_GB2312"/>
          <w:bCs/>
          <w:sz w:val="28"/>
          <w:szCs w:val="28"/>
        </w:rPr>
        <w:t>阿克苏诺贝尔</w:t>
      </w:r>
      <w:bookmarkEnd w:id="16"/>
      <w:r>
        <w:rPr>
          <w:rFonts w:hint="eastAsia" w:ascii="仿宋_GB2312" w:hAnsi="仿宋_GB2312" w:eastAsia="仿宋_GB2312" w:cs="仿宋_GB2312"/>
          <w:sz w:val="28"/>
          <w:szCs w:val="28"/>
        </w:rPr>
        <w:t>品牌或同等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级</w:t>
      </w:r>
      <w:r>
        <w:rPr>
          <w:rFonts w:hint="eastAsia" w:ascii="仿宋_GB2312" w:hAnsi="仿宋_GB2312" w:eastAsia="仿宋_GB2312" w:cs="仿宋_GB2312"/>
          <w:sz w:val="28"/>
          <w:szCs w:val="28"/>
        </w:rPr>
        <w:t>产品，技术性能指标达到</w:t>
      </w:r>
      <w:r>
        <w:rPr>
          <w:rFonts w:ascii="仿宋_GB2312" w:hAnsi="仿宋_GB2312" w:eastAsia="仿宋_GB2312" w:cs="仿宋_GB2312"/>
          <w:sz w:val="28"/>
          <w:szCs w:val="28"/>
        </w:rPr>
        <w:t>GB28374-2012</w:t>
      </w:r>
      <w:r>
        <w:rPr>
          <w:rFonts w:hint="eastAsia" w:ascii="仿宋_GB2312" w:hAnsi="仿宋_GB2312" w:eastAsia="仿宋_GB2312" w:cs="仿宋_GB2312"/>
          <w:sz w:val="28"/>
          <w:szCs w:val="28"/>
        </w:rPr>
        <w:t>《电缆防火涂料技术标准》，产品必须提供国家检验报告和出厂合格证，具体技术性能指标见表</w:t>
      </w:r>
      <w:r>
        <w:rPr>
          <w:rFonts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tbl>
      <w:tblPr>
        <w:tblStyle w:val="4"/>
        <w:tblpPr w:leftFromText="180" w:rightFromText="180" w:vertAnchor="text" w:horzAnchor="page" w:tblpX="2220" w:tblpY="273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2201"/>
        <w:gridCol w:w="4182"/>
        <w:gridCol w:w="1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379" w:hRule="atLeast"/>
        </w:trPr>
        <w:tc>
          <w:tcPr>
            <w:tcW w:w="823" w:type="dxa"/>
            <w:vAlign w:val="bottom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序号</w:t>
            </w:r>
          </w:p>
        </w:tc>
        <w:tc>
          <w:tcPr>
            <w:tcW w:w="2201" w:type="dxa"/>
            <w:vAlign w:val="bottom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项目</w:t>
            </w:r>
          </w:p>
        </w:tc>
        <w:tc>
          <w:tcPr>
            <w:tcW w:w="4182" w:type="dxa"/>
            <w:vAlign w:val="bottom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技术性能指标</w:t>
            </w:r>
          </w:p>
        </w:tc>
        <w:tc>
          <w:tcPr>
            <w:tcW w:w="1316" w:type="dxa"/>
            <w:vAlign w:val="bottom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缺陷类别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2201" w:type="dxa"/>
            <w:vAlign w:val="center"/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在容器中的状态</w:t>
            </w:r>
          </w:p>
        </w:tc>
        <w:tc>
          <w:tcPr>
            <w:tcW w:w="4182" w:type="dxa"/>
            <w:vAlign w:val="center"/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无结块，搅拌后呈均匀状态</w:t>
            </w:r>
          </w:p>
        </w:tc>
        <w:tc>
          <w:tcPr>
            <w:tcW w:w="131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2201" w:type="dxa"/>
            <w:vAlign w:val="center"/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细度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μ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m</w:t>
            </w:r>
          </w:p>
        </w:tc>
        <w:tc>
          <w:tcPr>
            <w:tcW w:w="4182" w:type="dxa"/>
            <w:vAlign w:val="center"/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≤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90</w:t>
            </w:r>
          </w:p>
        </w:tc>
        <w:tc>
          <w:tcPr>
            <w:tcW w:w="131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C</w:t>
            </w:r>
          </w:p>
        </w:tc>
      </w:tr>
    </w:tbl>
    <w:p>
      <w:pPr>
        <w:spacing w:line="360" w:lineRule="auto"/>
        <w:jc w:val="center"/>
        <w:rPr>
          <w:rFonts w:ascii="仿宋_GB2312" w:hAnsi="仿宋_GB2312" w:eastAsia="仿宋_GB2312" w:cs="仿宋_GB2312"/>
          <w:sz w:val="28"/>
          <w:szCs w:val="28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numberInDash"/>
          <w:cols w:space="0" w:num="1"/>
          <w:docGrid w:type="lines" w:linePitch="318" w:charSpace="0"/>
        </w:sectPr>
      </w:pPr>
    </w:p>
    <w:tbl>
      <w:tblPr>
        <w:tblStyle w:val="4"/>
        <w:tblpPr w:leftFromText="180" w:rightFromText="180" w:vertAnchor="text" w:horzAnchor="page" w:tblpX="2220" w:tblpY="1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1006"/>
        <w:gridCol w:w="1195"/>
        <w:gridCol w:w="4182"/>
        <w:gridCol w:w="1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2201" w:type="dxa"/>
            <w:gridSpan w:val="2"/>
            <w:vAlign w:val="center"/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黏度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/s</w:t>
            </w:r>
          </w:p>
        </w:tc>
        <w:tc>
          <w:tcPr>
            <w:tcW w:w="4182" w:type="dxa"/>
            <w:vAlign w:val="center"/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≥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70</w:t>
            </w:r>
          </w:p>
        </w:tc>
        <w:tc>
          <w:tcPr>
            <w:tcW w:w="131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823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1006" w:type="dxa"/>
            <w:vMerge w:val="restart"/>
            <w:vAlign w:val="center"/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干燥时间</w:t>
            </w:r>
          </w:p>
        </w:tc>
        <w:tc>
          <w:tcPr>
            <w:tcW w:w="1195" w:type="dxa"/>
            <w:vAlign w:val="center"/>
          </w:tcPr>
          <w:p>
            <w:pPr>
              <w:widowControl/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表干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/h</w:t>
            </w:r>
          </w:p>
        </w:tc>
        <w:tc>
          <w:tcPr>
            <w:tcW w:w="4182" w:type="dxa"/>
            <w:vAlign w:val="center"/>
          </w:tcPr>
          <w:p>
            <w:pPr>
              <w:widowControl/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＜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1316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6" w:type="dxa"/>
            <w:vMerge w:val="continue"/>
            <w:vAlign w:val="center"/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95" w:type="dxa"/>
            <w:vAlign w:val="center"/>
          </w:tcPr>
          <w:p>
            <w:pPr>
              <w:widowControl/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实干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/h</w:t>
            </w:r>
          </w:p>
        </w:tc>
        <w:tc>
          <w:tcPr>
            <w:tcW w:w="4182" w:type="dxa"/>
            <w:vAlign w:val="center"/>
          </w:tcPr>
          <w:p>
            <w:pPr>
              <w:widowControl/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＜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24</w:t>
            </w:r>
          </w:p>
        </w:tc>
        <w:tc>
          <w:tcPr>
            <w:tcW w:w="1316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2201" w:type="dxa"/>
            <w:gridSpan w:val="2"/>
            <w:vAlign w:val="center"/>
          </w:tcPr>
          <w:p>
            <w:pPr>
              <w:widowControl/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酎油性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/d</w:t>
            </w:r>
          </w:p>
        </w:tc>
        <w:tc>
          <w:tcPr>
            <w:tcW w:w="4182" w:type="dxa"/>
            <w:vAlign w:val="center"/>
          </w:tcPr>
          <w:p>
            <w:pPr>
              <w:widowControl/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浸泡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7 d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，涂层无起皱、究剥落、无起泡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2201" w:type="dxa"/>
            <w:gridSpan w:val="2"/>
            <w:vAlign w:val="center"/>
          </w:tcPr>
          <w:p>
            <w:pPr>
              <w:widowControl/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耐盐水性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/d</w:t>
            </w:r>
          </w:p>
        </w:tc>
        <w:tc>
          <w:tcPr>
            <w:tcW w:w="4182" w:type="dxa"/>
            <w:vAlign w:val="center"/>
          </w:tcPr>
          <w:p>
            <w:pPr>
              <w:widowControl/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浸泡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7 d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，涂层无起皱、无剥落、无起泡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2201" w:type="dxa"/>
            <w:gridSpan w:val="2"/>
            <w:vAlign w:val="center"/>
          </w:tcPr>
          <w:p>
            <w:pPr>
              <w:widowControl/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耐湿热性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/d</w:t>
            </w:r>
          </w:p>
        </w:tc>
        <w:tc>
          <w:tcPr>
            <w:tcW w:w="4182" w:type="dxa"/>
            <w:vAlign w:val="center"/>
          </w:tcPr>
          <w:p>
            <w:pPr>
              <w:widowControl/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经过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7 d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试验，涂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M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无开裂、无剝落、无起泡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8</w:t>
            </w:r>
          </w:p>
        </w:tc>
        <w:tc>
          <w:tcPr>
            <w:tcW w:w="2201" w:type="dxa"/>
            <w:gridSpan w:val="2"/>
            <w:vAlign w:val="center"/>
          </w:tcPr>
          <w:p>
            <w:pPr>
              <w:widowControl/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耐冻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tt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循环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次</w:t>
            </w:r>
          </w:p>
        </w:tc>
        <w:tc>
          <w:tcPr>
            <w:tcW w:w="4182" w:type="dxa"/>
            <w:vAlign w:val="center"/>
          </w:tcPr>
          <w:p>
            <w:pPr>
              <w:widowControl/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次循环，涂层无起皱、无剥落、无起泡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9</w:t>
            </w:r>
          </w:p>
        </w:tc>
        <w:tc>
          <w:tcPr>
            <w:tcW w:w="2201" w:type="dxa"/>
            <w:gridSpan w:val="2"/>
            <w:vAlign w:val="center"/>
          </w:tcPr>
          <w:p>
            <w:pPr>
              <w:widowControl/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抗弯性</w:t>
            </w:r>
          </w:p>
        </w:tc>
        <w:tc>
          <w:tcPr>
            <w:tcW w:w="4182" w:type="dxa"/>
            <w:vAlign w:val="center"/>
          </w:tcPr>
          <w:p>
            <w:pPr>
              <w:widowControl/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涂层无起层、无脱落、无剥落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  <w:tc>
          <w:tcPr>
            <w:tcW w:w="2201" w:type="dxa"/>
            <w:gridSpan w:val="2"/>
            <w:vAlign w:val="center"/>
          </w:tcPr>
          <w:p>
            <w:pPr>
              <w:widowControl/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阻燃性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/m</w:t>
            </w:r>
          </w:p>
        </w:tc>
        <w:tc>
          <w:tcPr>
            <w:tcW w:w="4182" w:type="dxa"/>
            <w:vAlign w:val="center"/>
          </w:tcPr>
          <w:p>
            <w:pPr>
              <w:widowControl/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炭化高度＜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2.50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11</w:t>
            </w:r>
          </w:p>
        </w:tc>
        <w:tc>
          <w:tcPr>
            <w:tcW w:w="7699" w:type="dxa"/>
            <w:gridSpan w:val="4"/>
            <w:vAlign w:val="center"/>
          </w:tcPr>
          <w:p>
            <w:pPr>
              <w:widowControl/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注：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A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为致命缺陷，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B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为严重缺陷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,C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为轻缺陷。</w:t>
            </w:r>
          </w:p>
        </w:tc>
      </w:tr>
    </w:tbl>
    <w:p>
      <w:pPr>
        <w:spacing w:line="360" w:lineRule="auto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表</w:t>
      </w:r>
      <w:r>
        <w:rPr>
          <w:rFonts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：电缆防火涂料技术性能指标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、施工前提报施工方案经委托方审核后进行施工。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、施工材料到货后，由委托方进行检验，产品具备所有合格证后方可使用。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color w:val="000000"/>
          <w:sz w:val="28"/>
          <w:szCs w:val="28"/>
        </w:rPr>
        <w:t>7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、项目自合同签订之日起至项目通过验收工期为</w:t>
      </w:r>
      <w:r>
        <w:rPr>
          <w:rFonts w:ascii="仿宋_GB2312" w:hAnsi="仿宋_GB2312" w:eastAsia="仿宋_GB2312" w:cs="仿宋_GB2312"/>
          <w:color w:val="000000"/>
          <w:sz w:val="28"/>
          <w:szCs w:val="28"/>
        </w:rPr>
        <w:t>180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天。</w:t>
      </w:r>
    </w:p>
    <w:p>
      <w:pPr>
        <w:spacing w:line="360" w:lineRule="auto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四、工程项目验收和质量保证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  <w:sectPr>
          <w:footerReference r:id="rId4" w:type="default"/>
          <w:pgSz w:w="11906" w:h="16838"/>
          <w:pgMar w:top="2098" w:right="1474" w:bottom="1984" w:left="1587" w:header="851" w:footer="992" w:gutter="0"/>
          <w:pgNumType w:fmt="numberInDash"/>
          <w:cols w:space="0" w:num="1"/>
          <w:docGrid w:type="lines" w:linePitch="318" w:charSpace="0"/>
        </w:sectPr>
      </w:pP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、项目完工后中标单位会同项目主管部门进行预验，预验合格后由中标单位提交竣工资料和验收申请、项目主管部门组织相关部门进行竣工验收。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>、施工项目质量和验收按本技术规格书第二条第</w:t>
      </w:r>
      <w:r>
        <w:rPr>
          <w:rFonts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款列出的标准和现行使用的国家有关标准及行业标准执行。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bookmarkStart w:id="17" w:name="_Toc12696"/>
      <w:r>
        <w:rPr>
          <w:rFonts w:ascii="仿宋_GB2312" w:hAnsi="仿宋_GB2312" w:eastAsia="仿宋_GB2312" w:cs="仿宋_GB2312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、售后服务</w:t>
      </w:r>
      <w:bookmarkEnd w:id="17"/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）保修期：竣工验收合格后</w:t>
      </w:r>
      <w:r>
        <w:rPr>
          <w:rFonts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年。在工程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保</w:t>
      </w:r>
      <w:r>
        <w:rPr>
          <w:rFonts w:hint="eastAsia" w:ascii="仿宋_GB2312" w:hAnsi="仿宋_GB2312" w:eastAsia="仿宋_GB2312" w:cs="仿宋_GB2312"/>
          <w:sz w:val="28"/>
          <w:szCs w:val="28"/>
        </w:rPr>
        <w:t>修期内发生质量问题中标人均应免费维修。</w:t>
      </w:r>
    </w:p>
    <w:p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>）保修响应要求：工程发生质量问题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中标单位接到通知后</w:t>
      </w:r>
      <w:r>
        <w:rPr>
          <w:rFonts w:ascii="仿宋_GB2312" w:hAnsi="仿宋_GB2312" w:eastAsia="仿宋_GB2312" w:cs="仿宋_GB2312"/>
          <w:sz w:val="28"/>
          <w:szCs w:val="28"/>
        </w:rPr>
        <w:t>48</w:t>
      </w:r>
      <w:r>
        <w:rPr>
          <w:rFonts w:hint="eastAsia" w:ascii="仿宋_GB2312" w:hAnsi="仿宋_GB2312" w:eastAsia="仿宋_GB2312" w:cs="仿宋_GB2312"/>
          <w:sz w:val="28"/>
          <w:szCs w:val="28"/>
        </w:rPr>
        <w:t>小时到达现场进行维修处理。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G 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93" w:csb1="00000000"/>
  </w:font>
  <w:font w:name="RomanD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全真中明體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CG Omega">
    <w:altName w:val="Segoe Print"/>
    <w:panose1 w:val="020B0502050508020304"/>
    <w:charset w:val="00"/>
    <w:family w:val="swiss"/>
    <w:pitch w:val="default"/>
    <w:sig w:usb0="00000000" w:usb1="00000000" w:usb2="00000000" w:usb3="00000000" w:csb0="00000093" w:csb1="00000000"/>
  </w:font>
  <w:font w:name="Abadi MT Condensed Light">
    <w:altName w:val="MV Boli"/>
    <w:panose1 w:val="020B0306030101010103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tique Olive Roma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 (W1)">
    <w:altName w:val="Arial"/>
    <w:panose1 w:val="020B0604020202020204"/>
    <w:charset w:val="00"/>
    <w:family w:val="swiss"/>
    <w:pitch w:val="default"/>
    <w:sig w:usb0="00000000" w:usb1="00000000" w:usb2="00000008" w:usb3="00000000" w:csb0="000001FF" w:csb1="00000000"/>
  </w:font>
  <w:font w:name="Times New (W1)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ngLiU">
    <w:altName w:val="PMingLiU-ExtB"/>
    <w:panose1 w:val="02020509000000000000"/>
    <w:charset w:val="88"/>
    <w:family w:val="auto"/>
    <w:pitch w:val="default"/>
    <w:sig w:usb0="00000000" w:usb1="00000000" w:usb2="00000016" w:usb3="00000000" w:csb0="00100001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Arail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SWTxt">
    <w:altName w:val="Segoe UI Semilight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Eras Light ITC">
    <w:panose1 w:val="020B0402030504020804"/>
    <w:charset w:val="00"/>
    <w:family w:val="auto"/>
    <w:pitch w:val="default"/>
    <w:sig w:usb0="00000003" w:usb1="00000000" w:usb2="00000000" w:usb3="00000000" w:csb0="2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Vrinda">
    <w:altName w:val="Segoe UI Symbol"/>
    <w:panose1 w:val="020B0502040204020203"/>
    <w:charset w:val="00"/>
    <w:family w:val="auto"/>
    <w:pitch w:val="default"/>
    <w:sig w:usb0="00000000" w:usb1="00000000" w:usb2="00000000" w:usb3="00000000" w:csb0="00000001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Meiryo UI">
    <w:altName w:val="Yu Gothic UI"/>
    <w:panose1 w:val="020B0604030504040204"/>
    <w:charset w:val="80"/>
    <w:family w:val="auto"/>
    <w:pitch w:val="default"/>
    <w:sig w:usb0="00000000" w:usb1="00000000" w:usb2="00010012" w:usb3="00000000" w:csb0="6002009F" w:csb1="DFD70000"/>
  </w:font>
  <w:font w:name="Broadway">
    <w:panose1 w:val="04040905080B02020502"/>
    <w:charset w:val="00"/>
    <w:family w:val="auto"/>
    <w:pitch w:val="default"/>
    <w:sig w:usb0="00000003" w:usb1="00000000" w:usb2="00000000" w:usb3="00000000" w:csb0="20000001" w:csb1="00000000"/>
  </w:font>
  <w:font w:name="Browallia New">
    <w:altName w:val="Segoe Print"/>
    <w:panose1 w:val="020B0604020202020204"/>
    <w:charset w:val="00"/>
    <w:family w:val="auto"/>
    <w:pitch w:val="default"/>
    <w:sig w:usb0="00000000" w:usb1="00000000" w:usb2="00000000" w:usb3="00000000" w:csb0="0001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788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788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Dp&#10;Z8kWtwEAAFQDAAAOAAAAAAAAAAEAIAAAAB4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91936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919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A2213"/>
    <w:multiLevelType w:val="singleLevel"/>
    <w:tmpl w:val="5C8A2213"/>
    <w:lvl w:ilvl="0" w:tentative="0">
      <w:start w:val="2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A233F7"/>
    <w:rsid w:val="26180200"/>
    <w:rsid w:val="57DD2350"/>
    <w:rsid w:val="6F702BE2"/>
    <w:rsid w:val="77C1254E"/>
    <w:rsid w:val="79A233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2019-04-03T08:27:00Z</dcterms:created>
  <dc:creator>李建楼</dc:creator>
  <cp:lastModifiedBy>于俊清</cp:lastModifiedBy>
  <dcterms:modified xsi:type="dcterms:W3CDTF">2019-04-12T03:39:34Z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