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Lines w:val="0"/>
        <w:pageBreakBefore w:val="0"/>
        <w:kinsoku/>
        <w:wordWrap/>
        <w:topLinePunct w:val="0"/>
        <w:autoSpaceDE/>
        <w:autoSpaceDN/>
        <w:bidi w:val="0"/>
        <w:adjustRightInd/>
        <w:spacing w:line="560" w:lineRule="exact"/>
        <w:ind w:left="0" w:leftChars="0"/>
        <w:jc w:val="center"/>
        <w:textAlignment w:val="auto"/>
        <w:rPr>
          <w:rFonts w:hint="eastAsia" w:ascii="黑体" w:eastAsia="黑体"/>
          <w:sz w:val="36"/>
          <w:szCs w:val="36"/>
          <w:lang w:val="en-US" w:eastAsia="zh-CN"/>
        </w:rPr>
      </w:pPr>
      <w:r>
        <w:rPr>
          <w:rFonts w:hint="eastAsia" w:ascii="黑体" w:eastAsia="黑体"/>
          <w:sz w:val="36"/>
          <w:szCs w:val="36"/>
          <w:lang w:val="en-US" w:eastAsia="zh-CN"/>
        </w:rPr>
        <w:t>船舶污染物清除单位二级资质综合</w:t>
      </w:r>
    </w:p>
    <w:p>
      <w:pPr>
        <w:keepLines w:val="0"/>
        <w:pageBreakBefore w:val="0"/>
        <w:kinsoku/>
        <w:wordWrap/>
        <w:topLinePunct w:val="0"/>
        <w:autoSpaceDE/>
        <w:autoSpaceDN/>
        <w:bidi w:val="0"/>
        <w:adjustRightInd/>
        <w:spacing w:line="560" w:lineRule="exact"/>
        <w:ind w:left="0" w:leftChars="0"/>
        <w:jc w:val="center"/>
        <w:textAlignment w:val="auto"/>
        <w:rPr>
          <w:rFonts w:hint="eastAsia" w:ascii="黑体" w:eastAsia="黑体"/>
          <w:sz w:val="36"/>
          <w:szCs w:val="36"/>
          <w:lang w:val="en-US" w:eastAsia="zh-CN"/>
        </w:rPr>
      </w:pPr>
      <w:r>
        <w:rPr>
          <w:rFonts w:hint="eastAsia" w:ascii="黑体" w:eastAsia="黑体"/>
          <w:sz w:val="36"/>
          <w:szCs w:val="36"/>
          <w:lang w:val="en-US" w:eastAsia="zh-CN"/>
        </w:rPr>
        <w:t>服务项目技术规格书</w:t>
      </w:r>
    </w:p>
    <w:p>
      <w:pPr>
        <w:pStyle w:val="2"/>
        <w:keepLines w:val="0"/>
        <w:pageBreakBefore w:val="0"/>
        <w:kinsoku/>
        <w:wordWrap/>
        <w:topLinePunct w:val="0"/>
        <w:autoSpaceDE/>
        <w:autoSpaceDN/>
        <w:bidi w:val="0"/>
        <w:adjustRightInd/>
        <w:spacing w:line="560" w:lineRule="exact"/>
        <w:ind w:left="0" w:leftChars="0" w:firstLine="422" w:firstLineChars="150"/>
        <w:jc w:val="both"/>
        <w:textAlignment w:val="auto"/>
        <w:rPr>
          <w:rFonts w:hint="eastAsia" w:asciiTheme="minorEastAsia" w:hAnsiTheme="minorEastAsia" w:eastAsiaTheme="minorEastAsia" w:cstheme="minorEastAsia"/>
          <w:b/>
          <w:szCs w:val="28"/>
        </w:rPr>
      </w:pPr>
      <w:bookmarkStart w:id="0" w:name="_Toc76976716"/>
      <w:r>
        <w:rPr>
          <w:rFonts w:hint="eastAsia" w:asciiTheme="minorEastAsia" w:hAnsiTheme="minorEastAsia" w:eastAsiaTheme="minorEastAsia" w:cstheme="minorEastAsia"/>
          <w:b/>
          <w:szCs w:val="28"/>
        </w:rPr>
        <w:t xml:space="preserve">1  </w:t>
      </w:r>
      <w:bookmarkEnd w:id="0"/>
      <w:r>
        <w:rPr>
          <w:rFonts w:hint="eastAsia" w:asciiTheme="minorEastAsia" w:hAnsiTheme="minorEastAsia" w:eastAsiaTheme="minorEastAsia" w:cstheme="minorEastAsia"/>
          <w:b/>
          <w:szCs w:val="28"/>
        </w:rPr>
        <w:t>概述</w:t>
      </w:r>
    </w:p>
    <w:p>
      <w:pPr>
        <w:keepLines w:val="0"/>
        <w:pageBreakBefore w:val="0"/>
        <w:kinsoku/>
        <w:wordWrap/>
        <w:overflowPunct w:val="0"/>
        <w:topLinePunct w:val="0"/>
        <w:autoSpaceDE/>
        <w:autoSpaceDN/>
        <w:bidi w:val="0"/>
        <w:adjustRightInd/>
        <w:snapToGrid w:val="0"/>
        <w:spacing w:line="560" w:lineRule="exact"/>
        <w:ind w:left="0" w:leftChars="0" w:right="396" w:rightChars="165" w:firstLine="478" w:firstLineChars="171"/>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val="en-US" w:eastAsia="zh-CN"/>
        </w:rPr>
        <w:t>1.1</w:t>
      </w:r>
      <w:r>
        <w:rPr>
          <w:rFonts w:hint="eastAsia" w:asciiTheme="minorEastAsia" w:hAnsiTheme="minorEastAsia" w:eastAsiaTheme="minorEastAsia" w:cstheme="minorEastAsia"/>
          <w:sz w:val="28"/>
          <w:szCs w:val="28"/>
          <w:lang w:eastAsia="zh-CN"/>
        </w:rPr>
        <w:t>本项目包括以下内容：编制污染清除作业方案，编制污染物处理方案，建立船舶安全管理体系</w:t>
      </w:r>
      <w:r>
        <w:rPr>
          <w:rFonts w:hint="eastAsia" w:asciiTheme="minorEastAsia" w:hAnsiTheme="minorEastAsia" w:eastAsiaTheme="minorEastAsia" w:cstheme="minorEastAsia"/>
          <w:sz w:val="28"/>
          <w:szCs w:val="28"/>
          <w:lang w:val="en-US" w:eastAsia="zh-CN"/>
        </w:rPr>
        <w:t>并配套船舶安全管理系统</w:t>
      </w:r>
      <w:r>
        <w:rPr>
          <w:rFonts w:hint="eastAsia" w:asciiTheme="minorEastAsia" w:hAnsiTheme="minorEastAsia" w:eastAsiaTheme="minorEastAsia" w:cstheme="minorEastAsia"/>
          <w:sz w:val="28"/>
          <w:szCs w:val="28"/>
          <w:lang w:eastAsia="zh-CN"/>
        </w:rPr>
        <w:t>。</w:t>
      </w:r>
    </w:p>
    <w:p>
      <w:pPr>
        <w:keepLines w:val="0"/>
        <w:pageBreakBefore w:val="0"/>
        <w:kinsoku/>
        <w:wordWrap/>
        <w:overflowPunct w:val="0"/>
        <w:topLinePunct w:val="0"/>
        <w:autoSpaceDE/>
        <w:autoSpaceDN/>
        <w:bidi w:val="0"/>
        <w:adjustRightInd/>
        <w:snapToGrid w:val="0"/>
        <w:spacing w:line="560" w:lineRule="exact"/>
        <w:ind w:left="0" w:leftChars="0" w:right="396" w:rightChars="165" w:firstLine="478" w:firstLineChars="171"/>
        <w:textAlignment w:val="auto"/>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1.2</w:t>
      </w:r>
      <w:r>
        <w:rPr>
          <w:rFonts w:hint="eastAsia" w:asciiTheme="minorEastAsia" w:hAnsiTheme="minorEastAsia" w:eastAsiaTheme="minorEastAsia" w:cstheme="minorEastAsia"/>
          <w:sz w:val="28"/>
          <w:szCs w:val="28"/>
        </w:rPr>
        <w:t>投标方</w:t>
      </w:r>
      <w:r>
        <w:rPr>
          <w:rFonts w:hint="eastAsia" w:asciiTheme="minorEastAsia" w:hAnsiTheme="minorEastAsia" w:eastAsiaTheme="minorEastAsia" w:cstheme="minorEastAsia"/>
          <w:sz w:val="28"/>
          <w:szCs w:val="28"/>
          <w:lang w:val="en-US" w:eastAsia="zh-CN"/>
        </w:rPr>
        <w:t>提供</w:t>
      </w:r>
      <w:r>
        <w:rPr>
          <w:rFonts w:hint="eastAsia" w:asciiTheme="minorEastAsia" w:hAnsiTheme="minorEastAsia" w:eastAsiaTheme="minorEastAsia" w:cstheme="minorEastAsia"/>
          <w:sz w:val="28"/>
          <w:szCs w:val="28"/>
        </w:rPr>
        <w:t>的服务</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硬件</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软件应完全遵循本技术规格书的要求，如有偏离应取得招标方的书面认可。</w:t>
      </w:r>
    </w:p>
    <w:p>
      <w:pPr>
        <w:pStyle w:val="2"/>
        <w:keepLines w:val="0"/>
        <w:pageBreakBefore w:val="0"/>
        <w:kinsoku/>
        <w:wordWrap/>
        <w:topLinePunct w:val="0"/>
        <w:autoSpaceDE/>
        <w:autoSpaceDN/>
        <w:bidi w:val="0"/>
        <w:adjustRightInd/>
        <w:spacing w:line="560" w:lineRule="exact"/>
        <w:ind w:left="0" w:leftChars="0" w:firstLine="422" w:firstLineChars="150"/>
        <w:jc w:val="both"/>
        <w:textAlignment w:val="auto"/>
        <w:rPr>
          <w:rFonts w:asciiTheme="minorEastAsia" w:hAnsiTheme="minorEastAsia" w:eastAsiaTheme="minorEastAsia" w:cstheme="minorEastAsia"/>
          <w:b/>
          <w:szCs w:val="28"/>
        </w:rPr>
      </w:pPr>
      <w:bookmarkStart w:id="1" w:name="_Toc76976717"/>
      <w:r>
        <w:rPr>
          <w:rFonts w:hint="eastAsia" w:asciiTheme="minorEastAsia" w:hAnsiTheme="minorEastAsia" w:eastAsiaTheme="minorEastAsia" w:cstheme="minorEastAsia"/>
          <w:b/>
          <w:szCs w:val="28"/>
        </w:rPr>
        <w:t>2  适用标准</w:t>
      </w:r>
      <w:bookmarkEnd w:id="1"/>
    </w:p>
    <w:p>
      <w:pPr>
        <w:keepLines w:val="0"/>
        <w:pageBreakBefore w:val="0"/>
        <w:kinsoku/>
        <w:wordWrap/>
        <w:overflowPunct w:val="0"/>
        <w:topLinePunct w:val="0"/>
        <w:autoSpaceDE/>
        <w:autoSpaceDN/>
        <w:bidi w:val="0"/>
        <w:adjustRightInd/>
        <w:snapToGrid w:val="0"/>
        <w:spacing w:line="560" w:lineRule="exact"/>
        <w:ind w:left="0" w:leftChars="0" w:right="396" w:rightChars="165" w:firstLine="478" w:firstLineChars="171"/>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t>2.1 本项目根据《中华人民共和国海上交通安全法》、《中华人民共和国船舶安全营运和防止污染管理规则》(NSM规则)《中华人民共和国海事局船舶污染清除协议管理制度实施细则》等法律、行政法规、行政规章、国家标准，我国缔结或者加入的相关国际公约，交通部、海事局、船舶检验机关的相关文件等要求实施。</w:t>
      </w:r>
      <w:r>
        <w:rPr>
          <w:rFonts w:hint="eastAsia" w:asciiTheme="minorEastAsia" w:hAnsiTheme="minorEastAsia" w:eastAsiaTheme="minorEastAsia" w:cstheme="minorEastAsia"/>
          <w:sz w:val="28"/>
          <w:szCs w:val="28"/>
          <w:lang w:val="en-US" w:eastAsia="zh-CN"/>
        </w:rPr>
        <w:t>配套</w:t>
      </w:r>
      <w:r>
        <w:rPr>
          <w:rFonts w:hint="eastAsia" w:asciiTheme="minorEastAsia" w:hAnsiTheme="minorEastAsia" w:eastAsiaTheme="minorEastAsia" w:cstheme="minorEastAsia"/>
          <w:sz w:val="28"/>
          <w:szCs w:val="28"/>
          <w:lang w:eastAsia="zh-CN"/>
        </w:rPr>
        <w:t>信息系统满足国家信息系统安全保护相关标准和招标方企业规定。</w:t>
      </w:r>
    </w:p>
    <w:p>
      <w:pPr>
        <w:keepLines w:val="0"/>
        <w:pageBreakBefore w:val="0"/>
        <w:kinsoku/>
        <w:wordWrap/>
        <w:overflowPunct w:val="0"/>
        <w:topLinePunct w:val="0"/>
        <w:autoSpaceDE/>
        <w:autoSpaceDN/>
        <w:bidi w:val="0"/>
        <w:adjustRightInd/>
        <w:snapToGrid w:val="0"/>
        <w:spacing w:line="560" w:lineRule="exact"/>
        <w:ind w:left="0" w:leftChars="0" w:right="396" w:rightChars="165" w:firstLine="476" w:firstLineChars="170"/>
        <w:textAlignment w:val="auto"/>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2.2 当上述要求与本技术规格书、采购合同、数据表和图纸等工程文件有矛盾时，投标方应在项目实施之前向招标方澄清，一般来说，应遵循最严格的要求。</w:t>
      </w:r>
    </w:p>
    <w:p>
      <w:pPr>
        <w:keepLines w:val="0"/>
        <w:pageBreakBefore w:val="0"/>
        <w:kinsoku/>
        <w:wordWrap/>
        <w:overflowPunct w:val="0"/>
        <w:topLinePunct w:val="0"/>
        <w:autoSpaceDE/>
        <w:autoSpaceDN/>
        <w:bidi w:val="0"/>
        <w:adjustRightInd/>
        <w:snapToGrid w:val="0"/>
        <w:spacing w:line="560" w:lineRule="exact"/>
        <w:ind w:left="0" w:leftChars="0" w:right="396" w:rightChars="165" w:firstLine="478" w:firstLineChars="171"/>
        <w:textAlignment w:val="auto"/>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2.3 遵循本技术规格书的要求不能减轻和解除投标方履行合同、满足技术要求的任何责任。</w:t>
      </w:r>
    </w:p>
    <w:p>
      <w:pPr>
        <w:pStyle w:val="2"/>
        <w:keepLines w:val="0"/>
        <w:pageBreakBefore w:val="0"/>
        <w:kinsoku/>
        <w:wordWrap/>
        <w:topLinePunct w:val="0"/>
        <w:autoSpaceDE/>
        <w:autoSpaceDN/>
        <w:bidi w:val="0"/>
        <w:adjustRightInd/>
        <w:spacing w:line="560" w:lineRule="exact"/>
        <w:ind w:left="0" w:leftChars="0" w:firstLine="422" w:firstLineChars="150"/>
        <w:jc w:val="both"/>
        <w:textAlignment w:val="auto"/>
        <w:rPr>
          <w:rFonts w:hint="eastAsia" w:asciiTheme="minorEastAsia" w:hAnsiTheme="minorEastAsia" w:eastAsiaTheme="minorEastAsia" w:cstheme="minorEastAsia"/>
          <w:b/>
          <w:szCs w:val="28"/>
        </w:rPr>
      </w:pPr>
      <w:bookmarkStart w:id="2" w:name="_Toc76976718"/>
      <w:r>
        <w:rPr>
          <w:rFonts w:hint="eastAsia" w:asciiTheme="minorEastAsia" w:hAnsiTheme="minorEastAsia" w:eastAsiaTheme="minorEastAsia" w:cstheme="minorEastAsia"/>
          <w:b/>
          <w:szCs w:val="28"/>
        </w:rPr>
        <w:t>3  建设</w:t>
      </w:r>
      <w:bookmarkEnd w:id="2"/>
      <w:r>
        <w:rPr>
          <w:rFonts w:hint="eastAsia" w:asciiTheme="minorEastAsia" w:hAnsiTheme="minorEastAsia" w:eastAsiaTheme="minorEastAsia" w:cstheme="minorEastAsia"/>
          <w:b/>
          <w:szCs w:val="28"/>
        </w:rPr>
        <w:t>目标</w:t>
      </w:r>
    </w:p>
    <w:p>
      <w:pPr>
        <w:keepLines w:val="0"/>
        <w:pageBreakBefore w:val="0"/>
        <w:kinsoku/>
        <w:wordWrap/>
        <w:overflowPunct w:val="0"/>
        <w:topLinePunct w:val="0"/>
        <w:autoSpaceDE/>
        <w:autoSpaceDN/>
        <w:bidi w:val="0"/>
        <w:adjustRightInd/>
        <w:snapToGrid w:val="0"/>
        <w:spacing w:line="560" w:lineRule="exact"/>
        <w:ind w:left="0" w:leftChars="0" w:right="396" w:rightChars="165" w:firstLine="560" w:firstLineChars="200"/>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3.1 投标方负责根据招标方要求</w:t>
      </w:r>
      <w:r>
        <w:rPr>
          <w:rFonts w:hint="eastAsia" w:asciiTheme="minorEastAsia" w:hAnsiTheme="minorEastAsia" w:eastAsiaTheme="minorEastAsia" w:cstheme="minorEastAsia"/>
          <w:sz w:val="28"/>
          <w:szCs w:val="28"/>
          <w:lang w:eastAsia="zh-CN"/>
        </w:rPr>
        <w:t>编制满足黄骅港务公司环保应急处理船</w:t>
      </w:r>
      <w:r>
        <w:rPr>
          <w:rFonts w:hint="eastAsia" w:asciiTheme="minorEastAsia" w:hAnsiTheme="minorEastAsia" w:eastAsiaTheme="minorEastAsia" w:cstheme="minorEastAsia"/>
          <w:sz w:val="28"/>
          <w:szCs w:val="28"/>
        </w:rPr>
        <w:t>（预计2020年1月底交船）</w:t>
      </w:r>
      <w:r>
        <w:rPr>
          <w:rFonts w:hint="eastAsia" w:asciiTheme="minorEastAsia" w:hAnsiTheme="minorEastAsia" w:eastAsiaTheme="minorEastAsia" w:cstheme="minorEastAsia"/>
          <w:sz w:val="28"/>
          <w:szCs w:val="28"/>
          <w:lang w:eastAsia="zh-CN"/>
        </w:rPr>
        <w:t>按照二级污染清除作业单位工作开展所需要的</w:t>
      </w:r>
      <w:r>
        <w:rPr>
          <w:rFonts w:hint="eastAsia" w:asciiTheme="minorEastAsia" w:hAnsiTheme="minorEastAsia" w:eastAsiaTheme="minorEastAsia" w:cstheme="minorEastAsia"/>
          <w:sz w:val="28"/>
          <w:szCs w:val="28"/>
        </w:rPr>
        <w:t>污染清除作业方案</w:t>
      </w:r>
      <w:r>
        <w:rPr>
          <w:rFonts w:hint="eastAsia" w:asciiTheme="minorEastAsia" w:hAnsiTheme="minorEastAsia" w:eastAsiaTheme="minorEastAsia" w:cstheme="minorEastAsia"/>
          <w:sz w:val="28"/>
          <w:szCs w:val="28"/>
          <w:lang w:eastAsia="zh-CN"/>
        </w:rPr>
        <w:t>和</w:t>
      </w:r>
      <w:r>
        <w:rPr>
          <w:rFonts w:hint="eastAsia" w:asciiTheme="minorEastAsia" w:hAnsiTheme="minorEastAsia" w:eastAsiaTheme="minorEastAsia" w:cstheme="minorEastAsia"/>
          <w:sz w:val="28"/>
          <w:szCs w:val="28"/>
        </w:rPr>
        <w:t>污染物处理方案</w:t>
      </w:r>
      <w:r>
        <w:rPr>
          <w:rFonts w:hint="eastAsia" w:asciiTheme="minorEastAsia" w:hAnsiTheme="minorEastAsia" w:eastAsiaTheme="minorEastAsia" w:cstheme="minorEastAsia"/>
          <w:sz w:val="28"/>
          <w:szCs w:val="28"/>
          <w:lang w:eastAsia="zh-CN"/>
        </w:rPr>
        <w:t>，并通过海事部门的</w:t>
      </w:r>
      <w:r>
        <w:rPr>
          <w:rFonts w:hint="eastAsia" w:asciiTheme="minorEastAsia" w:hAnsiTheme="minorEastAsia" w:eastAsiaTheme="minorEastAsia" w:cstheme="minorEastAsia"/>
          <w:sz w:val="28"/>
          <w:szCs w:val="28"/>
          <w:lang w:val="en-US" w:eastAsia="zh-CN"/>
        </w:rPr>
        <w:t>审核</w:t>
      </w:r>
      <w:r>
        <w:rPr>
          <w:rFonts w:hint="eastAsia" w:asciiTheme="minorEastAsia" w:hAnsiTheme="minorEastAsia" w:eastAsiaTheme="minorEastAsia" w:cstheme="minorEastAsia"/>
          <w:sz w:val="28"/>
          <w:szCs w:val="28"/>
          <w:lang w:eastAsia="zh-CN"/>
        </w:rPr>
        <w:t>。</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left="0" w:leftChars="0" w:right="0" w:firstLine="42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3.2</w:t>
      </w:r>
      <w:r>
        <w:rPr>
          <w:rFonts w:hint="default" w:asciiTheme="minorEastAsia" w:hAnsiTheme="minorEastAsia" w:eastAsiaTheme="minorEastAsia" w:cstheme="minorEastAsia"/>
          <w:kern w:val="2"/>
          <w:sz w:val="28"/>
          <w:szCs w:val="28"/>
          <w:lang w:val="en-US" w:eastAsia="zh-CN" w:bidi="ar-SA"/>
        </w:rPr>
        <w:t xml:space="preserve"> </w:t>
      </w:r>
      <w:r>
        <w:rPr>
          <w:rFonts w:hint="eastAsia" w:asciiTheme="minorEastAsia" w:hAnsiTheme="minorEastAsia" w:eastAsiaTheme="minorEastAsia" w:cstheme="minorEastAsia"/>
          <w:kern w:val="2"/>
          <w:sz w:val="28"/>
          <w:szCs w:val="28"/>
          <w:lang w:val="en-US" w:eastAsia="zh-CN" w:bidi="ar-SA"/>
        </w:rPr>
        <w:t>建设安全管理体系</w:t>
      </w:r>
      <w:r>
        <w:rPr>
          <w:rFonts w:hint="default" w:asciiTheme="minorEastAsia" w:hAnsiTheme="minorEastAsia" w:eastAsiaTheme="minorEastAsia" w:cstheme="minorEastAsia"/>
          <w:kern w:val="2"/>
          <w:sz w:val="28"/>
          <w:szCs w:val="28"/>
          <w:lang w:val="en-US" w:eastAsia="zh-CN" w:bidi="ar-SA"/>
        </w:rPr>
        <w:t>目标</w:t>
      </w:r>
      <w:r>
        <w:rPr>
          <w:rFonts w:hint="eastAsia" w:asciiTheme="minorEastAsia" w:hAnsiTheme="minorEastAsia" w:eastAsiaTheme="minorEastAsia" w:cstheme="minorEastAsia"/>
          <w:kern w:val="2"/>
          <w:sz w:val="28"/>
          <w:szCs w:val="28"/>
          <w:lang w:val="en-US" w:eastAsia="zh-CN" w:bidi="ar-SA"/>
        </w:rPr>
        <w:t>：</w:t>
      </w:r>
      <w:r>
        <w:rPr>
          <w:rFonts w:hint="default" w:asciiTheme="minorEastAsia" w:hAnsiTheme="minorEastAsia" w:eastAsiaTheme="minorEastAsia" w:cstheme="minorEastAsia"/>
          <w:kern w:val="2"/>
          <w:sz w:val="28"/>
          <w:szCs w:val="28"/>
          <w:lang w:val="en-US" w:eastAsia="zh-CN" w:bidi="ar-SA"/>
        </w:rPr>
        <w:t>保障水上交通安全，防止人员伤亡，避免对环境，特别是水域环境造成危害以及造成财产损失。</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right="0" w:firstLine="560" w:firstLineChars="20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主要</w:t>
      </w:r>
      <w:r>
        <w:rPr>
          <w:rFonts w:hint="default" w:asciiTheme="minorEastAsia" w:hAnsiTheme="minorEastAsia" w:eastAsiaTheme="minorEastAsia" w:cstheme="minorEastAsia"/>
          <w:kern w:val="2"/>
          <w:sz w:val="28"/>
          <w:szCs w:val="28"/>
          <w:lang w:val="en-US" w:eastAsia="zh-CN" w:bidi="ar-SA"/>
        </w:rPr>
        <w:t>包括:</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right="0" w:firstLine="560" w:firstLineChars="20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（1）</w:t>
      </w:r>
      <w:r>
        <w:rPr>
          <w:rFonts w:hint="default" w:asciiTheme="minorEastAsia" w:hAnsiTheme="minorEastAsia" w:eastAsiaTheme="minorEastAsia" w:cstheme="minorEastAsia"/>
          <w:kern w:val="2"/>
          <w:sz w:val="28"/>
          <w:szCs w:val="28"/>
          <w:lang w:val="en-US" w:eastAsia="zh-CN" w:bidi="ar-SA"/>
        </w:rPr>
        <w:t>提供船舶营运的安全做法和安全工作环境;</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right="0" w:firstLine="560" w:firstLineChars="20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（2）</w:t>
      </w:r>
      <w:r>
        <w:rPr>
          <w:rFonts w:hint="default" w:asciiTheme="minorEastAsia" w:hAnsiTheme="minorEastAsia" w:eastAsiaTheme="minorEastAsia" w:cstheme="minorEastAsia"/>
          <w:kern w:val="2"/>
          <w:sz w:val="28"/>
          <w:szCs w:val="28"/>
          <w:lang w:val="en-US" w:eastAsia="zh-CN" w:bidi="ar-SA"/>
        </w:rPr>
        <w:t>针对已认定的所有风险制定防范措施;</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right="0" w:firstLine="560" w:firstLineChars="20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（3）</w:t>
      </w:r>
      <w:r>
        <w:rPr>
          <w:rFonts w:hint="default" w:asciiTheme="minorEastAsia" w:hAnsiTheme="minorEastAsia" w:eastAsiaTheme="minorEastAsia" w:cstheme="minorEastAsia"/>
          <w:kern w:val="2"/>
          <w:sz w:val="28"/>
          <w:szCs w:val="28"/>
          <w:lang w:val="en-US" w:eastAsia="zh-CN" w:bidi="ar-SA"/>
        </w:rPr>
        <w:t>不断提高船、岸人员的安全管理技能以及安全与环境保护应急反应能力。</w:t>
      </w:r>
    </w:p>
    <w:p>
      <w:pPr>
        <w:keepLines w:val="0"/>
        <w:pageBreakBefore w:val="0"/>
        <w:kinsoku/>
        <w:wordWrap/>
        <w:overflowPunct w:val="0"/>
        <w:topLinePunct w:val="0"/>
        <w:autoSpaceDE/>
        <w:autoSpaceDN/>
        <w:bidi w:val="0"/>
        <w:adjustRightInd/>
        <w:snapToGrid w:val="0"/>
        <w:spacing w:line="560" w:lineRule="exact"/>
        <w:ind w:left="0" w:leftChars="0" w:right="396" w:rightChars="165"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3.3</w:t>
      </w:r>
      <w:r>
        <w:rPr>
          <w:rFonts w:hint="eastAsia" w:asciiTheme="minorEastAsia" w:hAnsiTheme="minorEastAsia" w:eastAsiaTheme="minorEastAsia" w:cstheme="minorEastAsia"/>
          <w:sz w:val="28"/>
          <w:szCs w:val="28"/>
        </w:rPr>
        <w:t>投标方负责根据招标方要求建立充分满足审核需要的安全管理体系文件及相关材料，并通过</w:t>
      </w:r>
      <w:r>
        <w:rPr>
          <w:rFonts w:hint="eastAsia" w:asciiTheme="minorEastAsia" w:hAnsiTheme="minorEastAsia" w:eastAsiaTheme="minorEastAsia" w:cstheme="minorEastAsia"/>
          <w:sz w:val="28"/>
          <w:szCs w:val="28"/>
          <w:lang w:eastAsia="zh-CN"/>
        </w:rPr>
        <w:t>政府</w:t>
      </w:r>
      <w:r>
        <w:rPr>
          <w:rFonts w:hint="eastAsia" w:asciiTheme="minorEastAsia" w:hAnsiTheme="minorEastAsia" w:eastAsiaTheme="minorEastAsia" w:cstheme="minorEastAsia"/>
          <w:sz w:val="28"/>
          <w:szCs w:val="28"/>
        </w:rPr>
        <w:t>主管机关指定的审核发证机构（以下简称审核发证机构）的审核，公司取得“符合证明”，</w:t>
      </w:r>
      <w:r>
        <w:rPr>
          <w:rFonts w:hint="eastAsia" w:asciiTheme="minorEastAsia" w:hAnsiTheme="minorEastAsia" w:eastAsiaTheme="minorEastAsia" w:cstheme="minorEastAsia"/>
          <w:sz w:val="28"/>
          <w:szCs w:val="28"/>
          <w:lang w:eastAsia="zh-CN"/>
        </w:rPr>
        <w:t>黄骅港务公司环保应急处理船</w:t>
      </w:r>
      <w:r>
        <w:rPr>
          <w:rFonts w:hint="eastAsia" w:asciiTheme="minorEastAsia" w:hAnsiTheme="minorEastAsia" w:eastAsiaTheme="minorEastAsia" w:cstheme="minorEastAsia"/>
          <w:sz w:val="28"/>
          <w:szCs w:val="28"/>
        </w:rPr>
        <w:t>（预计2020年1月底交船）取得“安全管理证书”</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投标方负责提供技术支持，保证安全管理体系正常运行并通过质保期内的年度审核</w:t>
      </w:r>
      <w:r>
        <w:rPr>
          <w:rFonts w:hint="eastAsia" w:asciiTheme="minorEastAsia" w:hAnsiTheme="minorEastAsia" w:eastAsiaTheme="minorEastAsia" w:cstheme="minorEastAsia"/>
          <w:sz w:val="28"/>
          <w:szCs w:val="28"/>
        </w:rPr>
        <w:t>。</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right="0" w:firstLine="560" w:firstLineChars="200"/>
        <w:textAlignment w:val="auto"/>
        <w:rPr>
          <w:rFonts w:hint="eastAsia" w:asciiTheme="minorEastAsia" w:hAnsiTheme="minorEastAsia" w:eastAsiaTheme="minorEastAsia" w:cstheme="minorEastAsia"/>
          <w:b w:val="0"/>
          <w:bCs w:val="0"/>
          <w:sz w:val="28"/>
          <w:szCs w:val="28"/>
        </w:rPr>
      </w:pPr>
      <w:r>
        <w:rPr>
          <w:rFonts w:hint="eastAsia" w:asciiTheme="minorEastAsia" w:hAnsiTheme="minorEastAsia" w:eastAsiaTheme="minorEastAsia" w:cstheme="minorEastAsia"/>
          <w:sz w:val="28"/>
          <w:szCs w:val="28"/>
          <w:lang w:val="en-US" w:eastAsia="zh-CN"/>
        </w:rPr>
        <w:t>3.4体系应保证</w:t>
      </w:r>
      <w:r>
        <w:rPr>
          <w:rFonts w:hint="default" w:asciiTheme="minorEastAsia" w:hAnsiTheme="minorEastAsia" w:eastAsiaTheme="minorEastAsia" w:cstheme="minorEastAsia"/>
          <w:kern w:val="2"/>
          <w:sz w:val="28"/>
          <w:szCs w:val="28"/>
          <w:lang w:val="en-US" w:eastAsia="zh-CN" w:bidi="ar-SA"/>
        </w:rPr>
        <w:t>符合强制性规定和标准</w:t>
      </w:r>
      <w:r>
        <w:rPr>
          <w:rFonts w:hint="eastAsia" w:asciiTheme="minorEastAsia" w:hAnsiTheme="minorEastAsia" w:eastAsiaTheme="minorEastAsia" w:cstheme="minorEastAsia"/>
          <w:kern w:val="2"/>
          <w:sz w:val="28"/>
          <w:szCs w:val="28"/>
          <w:lang w:val="en-US" w:eastAsia="zh-CN" w:bidi="ar-SA"/>
        </w:rPr>
        <w:t>；</w:t>
      </w:r>
      <w:r>
        <w:rPr>
          <w:rFonts w:hint="default" w:asciiTheme="minorEastAsia" w:hAnsiTheme="minorEastAsia" w:eastAsiaTheme="minorEastAsia" w:cstheme="minorEastAsia"/>
          <w:kern w:val="2"/>
          <w:sz w:val="28"/>
          <w:szCs w:val="28"/>
          <w:lang w:val="en-US" w:eastAsia="zh-CN" w:bidi="ar-SA"/>
        </w:rPr>
        <w:t>充分考虑国际海事组织、主管机关、船舶检验机构和行业组织所建议的规则、指南和标准</w:t>
      </w:r>
      <w:r>
        <w:rPr>
          <w:rFonts w:hint="eastAsia" w:asciiTheme="minorEastAsia" w:hAnsiTheme="minorEastAsia" w:eastAsiaTheme="minorEastAsia" w:cstheme="minorEastAsia"/>
          <w:kern w:val="2"/>
          <w:sz w:val="28"/>
          <w:szCs w:val="28"/>
          <w:lang w:val="en-US" w:eastAsia="zh-CN" w:bidi="ar-SA"/>
        </w:rPr>
        <w:t>；</w:t>
      </w:r>
      <w:r>
        <w:rPr>
          <w:rFonts w:hint="eastAsia" w:asciiTheme="minorEastAsia" w:hAnsiTheme="minorEastAsia" w:eastAsiaTheme="minorEastAsia" w:cstheme="minorEastAsia"/>
          <w:sz w:val="28"/>
          <w:szCs w:val="28"/>
        </w:rPr>
        <w:t>满足中华人民共和国海事局关于船舶安全管理体系认证的申请、实施和保持的全部要求</w:t>
      </w:r>
      <w:r>
        <w:rPr>
          <w:rFonts w:hint="eastAsia" w:asciiTheme="minorEastAsia" w:hAnsiTheme="minorEastAsia" w:eastAsiaTheme="minorEastAsia" w:cstheme="minorEastAsia"/>
          <w:sz w:val="28"/>
          <w:szCs w:val="28"/>
          <w:lang w:val="en-US" w:eastAsia="zh-CN"/>
        </w:rPr>
        <w:t>且</w:t>
      </w:r>
      <w:r>
        <w:rPr>
          <w:rFonts w:hint="eastAsia" w:asciiTheme="minorEastAsia" w:hAnsiTheme="minorEastAsia" w:eastAsiaTheme="minorEastAsia" w:cstheme="minorEastAsia"/>
          <w:sz w:val="28"/>
          <w:szCs w:val="28"/>
        </w:rPr>
        <w:t>应当与</w:t>
      </w:r>
      <w:r>
        <w:rPr>
          <w:rFonts w:hint="eastAsia" w:asciiTheme="minorEastAsia" w:hAnsiTheme="minorEastAsia" w:eastAsiaTheme="minorEastAsia" w:cstheme="minorEastAsia"/>
          <w:b w:val="0"/>
          <w:bCs w:val="0"/>
          <w:sz w:val="28"/>
          <w:szCs w:val="28"/>
        </w:rPr>
        <w:t>招标方安全风险预控管理体系相融合，并满足</w:t>
      </w:r>
      <w:r>
        <w:rPr>
          <w:rFonts w:hint="eastAsia" w:asciiTheme="minorEastAsia" w:hAnsiTheme="minorEastAsia" w:eastAsiaTheme="minorEastAsia" w:cstheme="minorEastAsia"/>
          <w:b w:val="0"/>
          <w:bCs w:val="0"/>
          <w:sz w:val="28"/>
          <w:szCs w:val="28"/>
          <w:lang w:val="en-US" w:eastAsia="zh-CN"/>
        </w:rPr>
        <w:t>其</w:t>
      </w:r>
      <w:r>
        <w:rPr>
          <w:rFonts w:hint="eastAsia" w:asciiTheme="minorEastAsia" w:hAnsiTheme="minorEastAsia" w:eastAsiaTheme="minorEastAsia" w:cstheme="minorEastAsia"/>
          <w:b w:val="0"/>
          <w:bCs w:val="0"/>
          <w:sz w:val="28"/>
          <w:szCs w:val="28"/>
        </w:rPr>
        <w:t>相关要求。</w:t>
      </w:r>
    </w:p>
    <w:p>
      <w:pPr>
        <w:keepLines w:val="0"/>
        <w:pageBreakBefore w:val="0"/>
        <w:kinsoku/>
        <w:wordWrap/>
        <w:overflowPunct w:val="0"/>
        <w:topLinePunct w:val="0"/>
        <w:autoSpaceDE/>
        <w:autoSpaceDN/>
        <w:bidi w:val="0"/>
        <w:adjustRightInd/>
        <w:snapToGrid w:val="0"/>
        <w:spacing w:line="560" w:lineRule="exact"/>
        <w:ind w:right="396" w:rightChars="165" w:firstLine="560" w:firstLineChars="200"/>
        <w:textAlignment w:val="auto"/>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3.</w:t>
      </w:r>
      <w:r>
        <w:rPr>
          <w:rFonts w:hint="eastAsia" w:asciiTheme="minorEastAsia" w:hAnsiTheme="minorEastAsia" w:eastAsiaTheme="minorEastAsia" w:cstheme="minorEastAsia"/>
          <w:sz w:val="28"/>
          <w:szCs w:val="28"/>
          <w:lang w:val="en-US" w:eastAsia="zh-CN"/>
        </w:rPr>
        <w:t>5</w:t>
      </w:r>
      <w:r>
        <w:rPr>
          <w:rFonts w:hint="eastAsia" w:asciiTheme="minorEastAsia" w:hAnsiTheme="minorEastAsia" w:eastAsiaTheme="minorEastAsia" w:cstheme="minorEastAsia"/>
          <w:sz w:val="28"/>
          <w:szCs w:val="28"/>
        </w:rPr>
        <w:t>投标方负责根据招标方要求，采用“互联网+船舶安全管理体系”的模式，构建船舶信息化管理系统</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并</w:t>
      </w:r>
      <w:r>
        <w:rPr>
          <w:rFonts w:hint="eastAsia" w:asciiTheme="minorEastAsia" w:hAnsiTheme="minorEastAsia" w:eastAsiaTheme="minorEastAsia" w:cstheme="minorEastAsia"/>
          <w:sz w:val="28"/>
          <w:szCs w:val="28"/>
        </w:rPr>
        <w:t>考虑业务的变化、组织的变动等需求，应当做到可用性高，信息及时、运行高效，界面友好，兼容性好，升级和扩展性强。</w:t>
      </w:r>
    </w:p>
    <w:p>
      <w:pPr>
        <w:pStyle w:val="2"/>
        <w:keepLines w:val="0"/>
        <w:pageBreakBefore w:val="0"/>
        <w:kinsoku/>
        <w:wordWrap/>
        <w:topLinePunct w:val="0"/>
        <w:autoSpaceDE/>
        <w:autoSpaceDN/>
        <w:bidi w:val="0"/>
        <w:adjustRightInd/>
        <w:spacing w:line="560" w:lineRule="exact"/>
        <w:ind w:firstLine="562" w:firstLineChars="200"/>
        <w:jc w:val="both"/>
        <w:textAlignment w:val="auto"/>
        <w:rPr>
          <w:rFonts w:hint="eastAsia" w:asciiTheme="minorEastAsia" w:hAnsiTheme="minorEastAsia" w:eastAsiaTheme="minorEastAsia" w:cstheme="minorEastAsia"/>
          <w:b/>
          <w:szCs w:val="28"/>
        </w:rPr>
      </w:pPr>
      <w:r>
        <w:rPr>
          <w:rFonts w:hint="eastAsia" w:asciiTheme="minorEastAsia" w:hAnsiTheme="minorEastAsia" w:eastAsiaTheme="minorEastAsia" w:cstheme="minorEastAsia"/>
          <w:b/>
          <w:szCs w:val="28"/>
        </w:rPr>
        <w:t>4  功能需求</w:t>
      </w:r>
    </w:p>
    <w:p>
      <w:pPr>
        <w:keepLines w:val="0"/>
        <w:pageBreakBefore w:val="0"/>
        <w:kinsoku/>
        <w:wordWrap/>
        <w:overflowPunct w:val="0"/>
        <w:topLinePunct w:val="0"/>
        <w:autoSpaceDE/>
        <w:autoSpaceDN/>
        <w:bidi w:val="0"/>
        <w:adjustRightInd/>
        <w:snapToGrid w:val="0"/>
        <w:spacing w:line="560" w:lineRule="exact"/>
        <w:ind w:left="0" w:leftChars="0" w:right="396" w:rightChars="165"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4.1</w:t>
      </w:r>
      <w:r>
        <w:rPr>
          <w:rFonts w:hint="eastAsia" w:asciiTheme="minorEastAsia" w:hAnsiTheme="minorEastAsia" w:eastAsiaTheme="minorEastAsia" w:cstheme="minorEastAsia"/>
          <w:sz w:val="28"/>
          <w:szCs w:val="28"/>
        </w:rPr>
        <w:t xml:space="preserve"> 污染清除作业方案   </w:t>
      </w:r>
    </w:p>
    <w:p>
      <w:pPr>
        <w:keepLines w:val="0"/>
        <w:pageBreakBefore w:val="0"/>
        <w:kinsoku/>
        <w:wordWrap/>
        <w:overflowPunct w:val="0"/>
        <w:topLinePunct w:val="0"/>
        <w:autoSpaceDE/>
        <w:autoSpaceDN/>
        <w:bidi w:val="0"/>
        <w:adjustRightInd/>
        <w:snapToGrid w:val="0"/>
        <w:spacing w:line="560" w:lineRule="exact"/>
        <w:ind w:left="0" w:leftChars="0" w:right="396" w:rightChars="165"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4.1.1 </w:t>
      </w:r>
      <w:r>
        <w:rPr>
          <w:rFonts w:hint="eastAsia" w:asciiTheme="minorEastAsia" w:hAnsiTheme="minorEastAsia" w:eastAsiaTheme="minorEastAsia" w:cstheme="minorEastAsia"/>
          <w:sz w:val="28"/>
          <w:szCs w:val="28"/>
          <w:lang w:eastAsia="zh-CN"/>
        </w:rPr>
        <w:t>投标方</w:t>
      </w:r>
      <w:r>
        <w:rPr>
          <w:rFonts w:hint="eastAsia" w:asciiTheme="minorEastAsia" w:hAnsiTheme="minorEastAsia" w:eastAsiaTheme="minorEastAsia" w:cstheme="minorEastAsia"/>
          <w:sz w:val="28"/>
          <w:szCs w:val="28"/>
        </w:rPr>
        <w:t>根据</w:t>
      </w:r>
      <w:r>
        <w:rPr>
          <w:rFonts w:hint="eastAsia" w:asciiTheme="minorEastAsia" w:hAnsiTheme="minorEastAsia" w:eastAsiaTheme="minorEastAsia" w:cstheme="minorEastAsia"/>
          <w:sz w:val="28"/>
          <w:szCs w:val="28"/>
          <w:lang w:val="en-US" w:eastAsia="zh-CN"/>
        </w:rPr>
        <w:t>神华</w:t>
      </w:r>
      <w:r>
        <w:rPr>
          <w:rFonts w:hint="eastAsia" w:asciiTheme="minorEastAsia" w:hAnsiTheme="minorEastAsia" w:eastAsiaTheme="minorEastAsia" w:cstheme="minorEastAsia"/>
          <w:sz w:val="28"/>
          <w:szCs w:val="28"/>
          <w:lang w:eastAsia="zh-CN"/>
        </w:rPr>
        <w:t>黄骅港务公司</w:t>
      </w:r>
      <w:r>
        <w:rPr>
          <w:rFonts w:hint="eastAsia" w:asciiTheme="minorEastAsia" w:hAnsiTheme="minorEastAsia" w:eastAsiaTheme="minorEastAsia" w:cstheme="minorEastAsia"/>
          <w:sz w:val="28"/>
          <w:szCs w:val="28"/>
        </w:rPr>
        <w:t>服务区域环境特点和服务区域内可能签订</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船舶污染清除协议</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船舶的风险，</w:t>
      </w:r>
      <w:r>
        <w:rPr>
          <w:rFonts w:hint="eastAsia" w:asciiTheme="minorEastAsia" w:hAnsiTheme="minorEastAsia" w:eastAsiaTheme="minorEastAsia" w:cstheme="minorEastAsia"/>
          <w:sz w:val="28"/>
          <w:szCs w:val="28"/>
          <w:lang w:eastAsia="zh-CN"/>
        </w:rPr>
        <w:t>编制</w:t>
      </w:r>
      <w:r>
        <w:rPr>
          <w:rFonts w:hint="eastAsia" w:asciiTheme="minorEastAsia" w:hAnsiTheme="minorEastAsia" w:eastAsiaTheme="minorEastAsia" w:cstheme="minorEastAsia"/>
          <w:sz w:val="28"/>
          <w:szCs w:val="28"/>
        </w:rPr>
        <w:t>污染清除作业方案。  </w:t>
      </w:r>
    </w:p>
    <w:p>
      <w:pPr>
        <w:keepLines w:val="0"/>
        <w:pageBreakBefore w:val="0"/>
        <w:kinsoku/>
        <w:wordWrap/>
        <w:overflowPunct w:val="0"/>
        <w:topLinePunct w:val="0"/>
        <w:autoSpaceDE/>
        <w:autoSpaceDN/>
        <w:bidi w:val="0"/>
        <w:adjustRightInd/>
        <w:snapToGrid w:val="0"/>
        <w:spacing w:line="560" w:lineRule="exact"/>
        <w:ind w:left="0" w:leftChars="0" w:right="396" w:rightChars="165"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w:t>
      </w:r>
      <w:r>
        <w:rPr>
          <w:rFonts w:hint="eastAsia" w:asciiTheme="minorEastAsia" w:hAnsiTheme="minorEastAsia" w:eastAsiaTheme="minorEastAsia" w:cstheme="minorEastAsia"/>
          <w:sz w:val="28"/>
          <w:szCs w:val="28"/>
          <w:lang w:eastAsia="zh-CN"/>
        </w:rPr>
        <w:t>编制</w:t>
      </w:r>
      <w:r>
        <w:rPr>
          <w:rFonts w:hint="eastAsia" w:asciiTheme="minorEastAsia" w:hAnsiTheme="minorEastAsia" w:eastAsiaTheme="minorEastAsia" w:cstheme="minorEastAsia"/>
          <w:sz w:val="28"/>
          <w:szCs w:val="28"/>
        </w:rPr>
        <w:t>污染清除作业方案时，应当注重应急策略和技术，并与程序性的应急预案作好衔接。同时，应当考虑防止二次污染问题。  4.</w:t>
      </w: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2</w:t>
      </w:r>
      <w:r>
        <w:rPr>
          <w:rFonts w:hint="eastAsia" w:asciiTheme="minorEastAsia" w:hAnsiTheme="minorEastAsia" w:eastAsiaTheme="minorEastAsia" w:cstheme="minorEastAsia"/>
          <w:sz w:val="28"/>
          <w:szCs w:val="28"/>
        </w:rPr>
        <w:t> 污染清除作业方案应当至少包括以下内容： </w:t>
      </w:r>
    </w:p>
    <w:p>
      <w:pPr>
        <w:keepLines w:val="0"/>
        <w:pageBreakBefore w:val="0"/>
        <w:kinsoku/>
        <w:wordWrap/>
        <w:overflowPunct w:val="0"/>
        <w:topLinePunct w:val="0"/>
        <w:autoSpaceDE/>
        <w:autoSpaceDN/>
        <w:bidi w:val="0"/>
        <w:adjustRightInd/>
        <w:snapToGrid w:val="0"/>
        <w:spacing w:line="560" w:lineRule="exact"/>
        <w:ind w:left="0" w:leftChars="0" w:right="396" w:rightChars="165"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（1）符合</w:t>
      </w:r>
      <w:r>
        <w:rPr>
          <w:rFonts w:hint="eastAsia" w:asciiTheme="minorEastAsia" w:hAnsiTheme="minorEastAsia" w:eastAsiaTheme="minorEastAsia" w:cstheme="minorEastAsia"/>
          <w:sz w:val="28"/>
          <w:szCs w:val="28"/>
          <w:lang w:val="en-US" w:eastAsia="zh-CN"/>
        </w:rPr>
        <w:t>神华</w:t>
      </w:r>
      <w:r>
        <w:rPr>
          <w:rFonts w:hint="eastAsia" w:asciiTheme="minorEastAsia" w:hAnsiTheme="minorEastAsia" w:eastAsiaTheme="minorEastAsia" w:cstheme="minorEastAsia"/>
          <w:sz w:val="28"/>
          <w:szCs w:val="28"/>
          <w:lang w:eastAsia="zh-CN"/>
        </w:rPr>
        <w:t>黄骅港务公司</w:t>
      </w:r>
      <w:r>
        <w:rPr>
          <w:rFonts w:hint="eastAsia" w:asciiTheme="minorEastAsia" w:hAnsiTheme="minorEastAsia" w:eastAsiaTheme="minorEastAsia" w:cstheme="minorEastAsia"/>
          <w:sz w:val="28"/>
          <w:szCs w:val="28"/>
        </w:rPr>
        <w:t xml:space="preserve">和服务区域特点的总体应急策略描述；   </w:t>
      </w:r>
    </w:p>
    <w:p>
      <w:pPr>
        <w:keepLines w:val="0"/>
        <w:pageBreakBefore w:val="0"/>
        <w:kinsoku/>
        <w:wordWrap/>
        <w:overflowPunct w:val="0"/>
        <w:topLinePunct w:val="0"/>
        <w:autoSpaceDE/>
        <w:autoSpaceDN/>
        <w:bidi w:val="0"/>
        <w:adjustRightInd/>
        <w:snapToGrid w:val="0"/>
        <w:spacing w:line="560" w:lineRule="exact"/>
        <w:ind w:left="0" w:leftChars="0" w:right="396" w:rightChars="165"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（2）针对服务的主要船舶类型及其载货种类的应急堵漏、卸载等污染控制方案；</w:t>
      </w:r>
    </w:p>
    <w:p>
      <w:pPr>
        <w:keepLines w:val="0"/>
        <w:pageBreakBefore w:val="0"/>
        <w:kinsoku/>
        <w:wordWrap/>
        <w:overflowPunct w:val="0"/>
        <w:topLinePunct w:val="0"/>
        <w:autoSpaceDE/>
        <w:autoSpaceDN/>
        <w:bidi w:val="0"/>
        <w:adjustRightInd/>
        <w:snapToGrid w:val="0"/>
        <w:spacing w:line="560" w:lineRule="exact"/>
        <w:ind w:left="0" w:leftChars="0" w:right="396" w:rightChars="165"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（3）保护服务区域内的主要敏感资源的围护方案； </w:t>
      </w:r>
    </w:p>
    <w:p>
      <w:pPr>
        <w:keepLines w:val="0"/>
        <w:pageBreakBefore w:val="0"/>
        <w:kinsoku/>
        <w:wordWrap/>
        <w:overflowPunct w:val="0"/>
        <w:topLinePunct w:val="0"/>
        <w:autoSpaceDE/>
        <w:autoSpaceDN/>
        <w:bidi w:val="0"/>
        <w:adjustRightInd/>
        <w:snapToGrid w:val="0"/>
        <w:spacing w:line="560" w:lineRule="exact"/>
        <w:ind w:left="0" w:leftChars="0" w:right="396" w:rightChars="165"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（4）海上污染物回收和清除方案；</w:t>
      </w:r>
    </w:p>
    <w:p>
      <w:pPr>
        <w:keepLines w:val="0"/>
        <w:pageBreakBefore w:val="0"/>
        <w:kinsoku/>
        <w:wordWrap/>
        <w:overflowPunct w:val="0"/>
        <w:topLinePunct w:val="0"/>
        <w:autoSpaceDE/>
        <w:autoSpaceDN/>
        <w:bidi w:val="0"/>
        <w:adjustRightInd/>
        <w:snapToGrid w:val="0"/>
        <w:spacing w:line="560" w:lineRule="exact"/>
        <w:ind w:left="0" w:leftChars="0" w:right="396" w:rightChars="165"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5</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针对服务区域岸线特点的岸线清污方案；  </w:t>
      </w:r>
    </w:p>
    <w:p>
      <w:pPr>
        <w:keepLines w:val="0"/>
        <w:pageBreakBefore w:val="0"/>
        <w:kinsoku/>
        <w:wordWrap/>
        <w:overflowPunct w:val="0"/>
        <w:topLinePunct w:val="0"/>
        <w:autoSpaceDE/>
        <w:autoSpaceDN/>
        <w:bidi w:val="0"/>
        <w:adjustRightInd/>
        <w:snapToGrid w:val="0"/>
        <w:spacing w:line="560" w:lineRule="exact"/>
        <w:ind w:left="0" w:leftChars="0" w:right="396" w:rightChars="165"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6</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污染清除作业安全方案。</w:t>
      </w:r>
    </w:p>
    <w:p>
      <w:pPr>
        <w:keepLines w:val="0"/>
        <w:pageBreakBefore w:val="0"/>
        <w:kinsoku/>
        <w:wordWrap/>
        <w:overflowPunct w:val="0"/>
        <w:topLinePunct w:val="0"/>
        <w:autoSpaceDE/>
        <w:autoSpaceDN/>
        <w:bidi w:val="0"/>
        <w:adjustRightInd/>
        <w:snapToGrid w:val="0"/>
        <w:spacing w:line="560" w:lineRule="exact"/>
        <w:ind w:left="0" w:leftChars="0" w:right="396" w:rightChars="165"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 4.</w:t>
      </w:r>
      <w:r>
        <w:rPr>
          <w:rFonts w:hint="eastAsia" w:asciiTheme="minorEastAsia" w:hAnsiTheme="minorEastAsia" w:eastAsiaTheme="minorEastAsia" w:cstheme="minorEastAsia"/>
          <w:sz w:val="28"/>
          <w:szCs w:val="28"/>
          <w:lang w:val="en-US" w:eastAsia="zh-CN"/>
        </w:rPr>
        <w:t>2</w:t>
      </w:r>
      <w:r>
        <w:rPr>
          <w:rFonts w:hint="eastAsia" w:asciiTheme="minorEastAsia" w:hAnsiTheme="minorEastAsia" w:eastAsiaTheme="minorEastAsia" w:cstheme="minorEastAsia"/>
          <w:sz w:val="28"/>
          <w:szCs w:val="28"/>
        </w:rPr>
        <w:t>污染物处理方案</w:t>
      </w:r>
    </w:p>
    <w:p>
      <w:pPr>
        <w:keepLines w:val="0"/>
        <w:pageBreakBefore w:val="0"/>
        <w:kinsoku/>
        <w:wordWrap/>
        <w:overflowPunct w:val="0"/>
        <w:topLinePunct w:val="0"/>
        <w:autoSpaceDE/>
        <w:autoSpaceDN/>
        <w:bidi w:val="0"/>
        <w:adjustRightInd/>
        <w:snapToGrid w:val="0"/>
        <w:spacing w:line="560" w:lineRule="exact"/>
        <w:ind w:left="0" w:leftChars="0" w:right="396" w:rightChars="165"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4.</w:t>
      </w:r>
      <w:r>
        <w:rPr>
          <w:rFonts w:hint="eastAsia" w:asciiTheme="minorEastAsia" w:hAnsiTheme="minorEastAsia" w:eastAsiaTheme="minorEastAsia" w:cstheme="minorEastAsia"/>
          <w:sz w:val="28"/>
          <w:szCs w:val="28"/>
          <w:lang w:val="en-US" w:eastAsia="zh-CN"/>
        </w:rPr>
        <w:t>2</w:t>
      </w:r>
      <w:r>
        <w:rPr>
          <w:rFonts w:hint="eastAsia" w:asciiTheme="minorEastAsia" w:hAnsiTheme="minorEastAsia" w:eastAsiaTheme="minorEastAsia" w:cstheme="minorEastAsia"/>
          <w:sz w:val="28"/>
          <w:szCs w:val="28"/>
        </w:rPr>
        <w:t>.1 </w:t>
      </w:r>
      <w:r>
        <w:rPr>
          <w:rFonts w:hint="eastAsia" w:asciiTheme="minorEastAsia" w:hAnsiTheme="minorEastAsia" w:eastAsiaTheme="minorEastAsia" w:cstheme="minorEastAsia"/>
          <w:sz w:val="28"/>
          <w:szCs w:val="28"/>
          <w:lang w:eastAsia="zh-CN"/>
        </w:rPr>
        <w:t>投标单位编制</w:t>
      </w:r>
      <w:r>
        <w:rPr>
          <w:rFonts w:hint="eastAsia" w:asciiTheme="minorEastAsia" w:hAnsiTheme="minorEastAsia" w:eastAsiaTheme="minorEastAsia" w:cstheme="minorEastAsia"/>
          <w:sz w:val="28"/>
          <w:szCs w:val="28"/>
        </w:rPr>
        <w:t>污染物处理方案时，应当与</w:t>
      </w:r>
      <w:r>
        <w:rPr>
          <w:rFonts w:hint="eastAsia" w:asciiTheme="minorEastAsia" w:hAnsiTheme="minorEastAsia" w:eastAsiaTheme="minorEastAsia" w:cstheme="minorEastAsia"/>
          <w:sz w:val="28"/>
          <w:szCs w:val="28"/>
          <w:lang w:val="en-US" w:eastAsia="zh-CN"/>
        </w:rPr>
        <w:t>神华</w:t>
      </w:r>
      <w:r>
        <w:rPr>
          <w:rFonts w:hint="eastAsia" w:asciiTheme="minorEastAsia" w:hAnsiTheme="minorEastAsia" w:eastAsiaTheme="minorEastAsia" w:cstheme="minorEastAsia"/>
          <w:sz w:val="28"/>
          <w:szCs w:val="28"/>
          <w:lang w:eastAsia="zh-CN"/>
        </w:rPr>
        <w:t>黄骅港务公司</w:t>
      </w:r>
      <w:r>
        <w:rPr>
          <w:rFonts w:hint="eastAsia" w:asciiTheme="minorEastAsia" w:hAnsiTheme="minorEastAsia" w:eastAsiaTheme="minorEastAsia" w:cstheme="minorEastAsia"/>
          <w:sz w:val="28"/>
          <w:szCs w:val="28"/>
        </w:rPr>
        <w:t>应急预案作好衔接。同时，应当考虑防止二次污染问题。 </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  4.</w:t>
      </w:r>
      <w:r>
        <w:rPr>
          <w:rFonts w:hint="eastAsia" w:asciiTheme="minorEastAsia" w:hAnsiTheme="minorEastAsia" w:eastAsiaTheme="minorEastAsia" w:cstheme="minorEastAsia"/>
          <w:sz w:val="28"/>
          <w:szCs w:val="28"/>
          <w:lang w:val="en-US" w:eastAsia="zh-CN"/>
        </w:rPr>
        <w:t>2</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2</w:t>
      </w:r>
      <w:r>
        <w:rPr>
          <w:rFonts w:hint="eastAsia" w:asciiTheme="minorEastAsia" w:hAnsiTheme="minorEastAsia" w:eastAsiaTheme="minorEastAsia" w:cstheme="minorEastAsia"/>
          <w:sz w:val="28"/>
          <w:szCs w:val="28"/>
        </w:rPr>
        <w:t> 污染物处理方案应当至少包括以下内容：  </w:t>
      </w:r>
    </w:p>
    <w:p>
      <w:pPr>
        <w:keepLines w:val="0"/>
        <w:pageBreakBefore w:val="0"/>
        <w:kinsoku/>
        <w:wordWrap/>
        <w:overflowPunct w:val="0"/>
        <w:topLinePunct w:val="0"/>
        <w:autoSpaceDE/>
        <w:autoSpaceDN/>
        <w:bidi w:val="0"/>
        <w:adjustRightInd/>
        <w:snapToGrid w:val="0"/>
        <w:spacing w:line="560" w:lineRule="exact"/>
        <w:ind w:left="0" w:leftChars="0" w:right="396" w:rightChars="165"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（1）符合</w:t>
      </w:r>
      <w:r>
        <w:rPr>
          <w:rFonts w:hint="eastAsia" w:asciiTheme="minorEastAsia" w:hAnsiTheme="minorEastAsia" w:eastAsiaTheme="minorEastAsia" w:cstheme="minorEastAsia"/>
          <w:sz w:val="28"/>
          <w:szCs w:val="28"/>
          <w:lang w:val="en-US" w:eastAsia="zh-CN"/>
        </w:rPr>
        <w:t>神华</w:t>
      </w:r>
      <w:bookmarkStart w:id="9" w:name="_GoBack"/>
      <w:bookmarkEnd w:id="9"/>
      <w:r>
        <w:rPr>
          <w:rFonts w:hint="eastAsia" w:asciiTheme="minorEastAsia" w:hAnsiTheme="minorEastAsia" w:eastAsiaTheme="minorEastAsia" w:cstheme="minorEastAsia"/>
          <w:sz w:val="28"/>
          <w:szCs w:val="28"/>
          <w:lang w:eastAsia="zh-CN"/>
        </w:rPr>
        <w:t>黄骅港务公司</w:t>
      </w:r>
      <w:r>
        <w:rPr>
          <w:rFonts w:hint="eastAsia" w:asciiTheme="minorEastAsia" w:hAnsiTheme="minorEastAsia" w:eastAsiaTheme="minorEastAsia" w:cstheme="minorEastAsia"/>
          <w:sz w:val="28"/>
          <w:szCs w:val="28"/>
        </w:rPr>
        <w:t xml:space="preserve">和服务区域特点以及环境保护要求的总体污染物处理策略描述；   </w:t>
      </w:r>
    </w:p>
    <w:p>
      <w:pPr>
        <w:keepLines w:val="0"/>
        <w:pageBreakBefore w:val="0"/>
        <w:kinsoku/>
        <w:wordWrap/>
        <w:overflowPunct w:val="0"/>
        <w:topLinePunct w:val="0"/>
        <w:autoSpaceDE/>
        <w:autoSpaceDN/>
        <w:bidi w:val="0"/>
        <w:adjustRightInd/>
        <w:snapToGrid w:val="0"/>
        <w:spacing w:line="560" w:lineRule="exact"/>
        <w:ind w:left="0" w:leftChars="0" w:right="396" w:rightChars="165"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2</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回收到的污染物临时储存方案；  </w:t>
      </w:r>
    </w:p>
    <w:p>
      <w:pPr>
        <w:keepLines w:val="0"/>
        <w:pageBreakBefore w:val="0"/>
        <w:kinsoku/>
        <w:wordWrap/>
        <w:overflowPunct w:val="0"/>
        <w:topLinePunct w:val="0"/>
        <w:autoSpaceDE/>
        <w:autoSpaceDN/>
        <w:bidi w:val="0"/>
        <w:adjustRightInd/>
        <w:snapToGrid w:val="0"/>
        <w:spacing w:line="560" w:lineRule="exact"/>
        <w:ind w:left="0" w:leftChars="0" w:right="396" w:rightChars="165"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3</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污染物运输方案；  </w:t>
      </w:r>
    </w:p>
    <w:p>
      <w:pPr>
        <w:keepLines w:val="0"/>
        <w:pageBreakBefore w:val="0"/>
        <w:kinsoku/>
        <w:wordWrap/>
        <w:overflowPunct w:val="0"/>
        <w:topLinePunct w:val="0"/>
        <w:autoSpaceDE/>
        <w:autoSpaceDN/>
        <w:bidi w:val="0"/>
        <w:adjustRightInd/>
        <w:snapToGrid w:val="0"/>
        <w:spacing w:line="560" w:lineRule="exact"/>
        <w:ind w:left="0" w:leftChars="0" w:right="396" w:rightChars="165"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4</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应急清污船舶、设施、设备和器材清洗或销毁方案；  </w:t>
      </w:r>
    </w:p>
    <w:p>
      <w:pPr>
        <w:keepLines w:val="0"/>
        <w:pageBreakBefore w:val="0"/>
        <w:kinsoku/>
        <w:wordWrap/>
        <w:overflowPunct w:val="0"/>
        <w:topLinePunct w:val="0"/>
        <w:autoSpaceDE/>
        <w:autoSpaceDN/>
        <w:bidi w:val="0"/>
        <w:adjustRightInd/>
        <w:snapToGrid w:val="0"/>
        <w:spacing w:line="560" w:lineRule="exact"/>
        <w:ind w:left="0" w:leftChars="0" w:right="396" w:rightChars="165"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5</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污染物送岸处理方案。</w:t>
      </w:r>
    </w:p>
    <w:p>
      <w:pPr>
        <w:keepLines w:val="0"/>
        <w:pageBreakBefore w:val="0"/>
        <w:kinsoku/>
        <w:wordWrap/>
        <w:overflowPunct w:val="0"/>
        <w:topLinePunct w:val="0"/>
        <w:autoSpaceDE/>
        <w:autoSpaceDN/>
        <w:bidi w:val="0"/>
        <w:adjustRightInd/>
        <w:snapToGrid w:val="0"/>
        <w:spacing w:line="560" w:lineRule="exact"/>
        <w:ind w:left="0" w:leftChars="0" w:right="396" w:rightChars="165" w:firstLine="560" w:firstLineChars="20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sz w:val="28"/>
          <w:szCs w:val="28"/>
          <w:lang w:val="en-US" w:eastAsia="zh-CN"/>
        </w:rPr>
        <w:t>4.3</w:t>
      </w:r>
      <w:r>
        <w:rPr>
          <w:rFonts w:hint="eastAsia" w:asciiTheme="minorEastAsia" w:hAnsiTheme="minorEastAsia" w:eastAsiaTheme="minorEastAsia" w:cstheme="minorEastAsia"/>
          <w:sz w:val="28"/>
          <w:szCs w:val="28"/>
        </w:rPr>
        <w:t>船舶安全管理体系</w:t>
      </w:r>
      <w:r>
        <w:rPr>
          <w:rFonts w:hint="default" w:asciiTheme="minorEastAsia" w:hAnsiTheme="minorEastAsia" w:eastAsiaTheme="minorEastAsia" w:cstheme="minorEastAsia"/>
          <w:kern w:val="2"/>
          <w:sz w:val="28"/>
          <w:szCs w:val="28"/>
          <w:lang w:val="en-US" w:eastAsia="zh-CN" w:bidi="ar-SA"/>
        </w:rPr>
        <w:t>应建立、实施并保持包括以下功能要求:</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right="0" w:firstLine="560" w:firstLineChars="20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（1）</w:t>
      </w:r>
      <w:r>
        <w:rPr>
          <w:rFonts w:hint="default" w:asciiTheme="minorEastAsia" w:hAnsiTheme="minorEastAsia" w:eastAsiaTheme="minorEastAsia" w:cstheme="minorEastAsia"/>
          <w:kern w:val="2"/>
          <w:sz w:val="28"/>
          <w:szCs w:val="28"/>
          <w:lang w:val="en-US" w:eastAsia="zh-CN" w:bidi="ar-SA"/>
        </w:rPr>
        <w:t>安全和环境保护方针;</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right="0" w:firstLine="560" w:firstLineChars="20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（2）</w:t>
      </w:r>
      <w:r>
        <w:rPr>
          <w:rFonts w:hint="default" w:asciiTheme="minorEastAsia" w:hAnsiTheme="minorEastAsia" w:eastAsiaTheme="minorEastAsia" w:cstheme="minorEastAsia"/>
          <w:kern w:val="2"/>
          <w:sz w:val="28"/>
          <w:szCs w:val="28"/>
          <w:lang w:val="en-US" w:eastAsia="zh-CN" w:bidi="ar-SA"/>
        </w:rPr>
        <w:t>保证船舶的安全和防污染操作符合有关规定和标准的工作程序和须知;</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right="0" w:firstLine="560" w:firstLineChars="20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（3）</w:t>
      </w:r>
      <w:r>
        <w:rPr>
          <w:rFonts w:hint="default" w:asciiTheme="minorEastAsia" w:hAnsiTheme="minorEastAsia" w:eastAsiaTheme="minorEastAsia" w:cstheme="minorEastAsia"/>
          <w:kern w:val="2"/>
          <w:sz w:val="28"/>
          <w:szCs w:val="28"/>
          <w:lang w:val="en-US" w:eastAsia="zh-CN" w:bidi="ar-SA"/>
        </w:rPr>
        <w:t>船、岸人员的职责、权限和相互间的联系渠道;</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right="0" w:firstLine="560" w:firstLineChars="20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（4）</w:t>
      </w:r>
      <w:r>
        <w:rPr>
          <w:rFonts w:hint="default" w:asciiTheme="minorEastAsia" w:hAnsiTheme="minorEastAsia" w:eastAsiaTheme="minorEastAsia" w:cstheme="minorEastAsia"/>
          <w:kern w:val="2"/>
          <w:sz w:val="28"/>
          <w:szCs w:val="28"/>
          <w:lang w:val="en-US" w:eastAsia="zh-CN" w:bidi="ar-SA"/>
        </w:rPr>
        <w:t>事故和不符合规定情况的报告程序;</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right="0" w:firstLine="560" w:firstLineChars="20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（5）</w:t>
      </w:r>
      <w:r>
        <w:rPr>
          <w:rFonts w:hint="default" w:asciiTheme="minorEastAsia" w:hAnsiTheme="minorEastAsia" w:eastAsiaTheme="minorEastAsia" w:cstheme="minorEastAsia"/>
          <w:kern w:val="2"/>
          <w:sz w:val="28"/>
          <w:szCs w:val="28"/>
          <w:lang w:val="en-US" w:eastAsia="zh-CN" w:bidi="ar-SA"/>
        </w:rPr>
        <w:t>对紧急情况的准备和反应程序;</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right="0" w:firstLine="560" w:firstLineChars="20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（6）</w:t>
      </w:r>
      <w:r>
        <w:rPr>
          <w:rFonts w:hint="default" w:asciiTheme="minorEastAsia" w:hAnsiTheme="minorEastAsia" w:eastAsiaTheme="minorEastAsia" w:cstheme="minorEastAsia"/>
          <w:kern w:val="2"/>
          <w:sz w:val="28"/>
          <w:szCs w:val="28"/>
          <w:lang w:val="en-US" w:eastAsia="zh-CN" w:bidi="ar-SA"/>
        </w:rPr>
        <w:t>内部审核、有效性评价和管理复查程序。</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right="0" w:firstLine="560" w:firstLineChars="20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4.3.1</w:t>
      </w:r>
      <w:r>
        <w:rPr>
          <w:rFonts w:hint="default" w:asciiTheme="minorEastAsia" w:hAnsiTheme="minorEastAsia" w:eastAsiaTheme="minorEastAsia" w:cstheme="minorEastAsia"/>
          <w:kern w:val="2"/>
          <w:sz w:val="28"/>
          <w:szCs w:val="28"/>
          <w:lang w:val="en-US" w:eastAsia="zh-CN" w:bidi="ar-SA"/>
        </w:rPr>
        <w:t>安全和环境保护方针</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right="0" w:firstLine="560" w:firstLineChars="20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4.3.1.1体系</w:t>
      </w:r>
      <w:r>
        <w:rPr>
          <w:rFonts w:hint="default" w:asciiTheme="minorEastAsia" w:hAnsiTheme="minorEastAsia" w:eastAsiaTheme="minorEastAsia" w:cstheme="minorEastAsia"/>
          <w:kern w:val="2"/>
          <w:sz w:val="28"/>
          <w:szCs w:val="28"/>
          <w:lang w:val="en-US" w:eastAsia="zh-CN" w:bidi="ar-SA"/>
        </w:rPr>
        <w:t>应制定安全和环境保护方针，其内容应能说明如何实现</w:t>
      </w:r>
      <w:r>
        <w:rPr>
          <w:rFonts w:hint="eastAsia" w:asciiTheme="minorEastAsia" w:hAnsiTheme="minorEastAsia" w:eastAsiaTheme="minorEastAsia" w:cstheme="minorEastAsia"/>
          <w:kern w:val="2"/>
          <w:sz w:val="28"/>
          <w:szCs w:val="28"/>
          <w:lang w:val="en-US" w:eastAsia="zh-CN" w:bidi="ar-SA"/>
        </w:rPr>
        <w:t>安全管理体系要求的</w:t>
      </w:r>
      <w:r>
        <w:rPr>
          <w:rFonts w:hint="default" w:asciiTheme="minorEastAsia" w:hAnsiTheme="minorEastAsia" w:eastAsiaTheme="minorEastAsia" w:cstheme="minorEastAsia"/>
          <w:kern w:val="2"/>
          <w:sz w:val="28"/>
          <w:szCs w:val="28"/>
          <w:lang w:val="en-US" w:eastAsia="zh-CN" w:bidi="ar-SA"/>
        </w:rPr>
        <w:t>目标。</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right="0" w:firstLine="560" w:firstLineChars="20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4.3.1.2体系</w:t>
      </w:r>
      <w:r>
        <w:rPr>
          <w:rFonts w:hint="default" w:asciiTheme="minorEastAsia" w:hAnsiTheme="minorEastAsia" w:eastAsiaTheme="minorEastAsia" w:cstheme="minorEastAsia"/>
          <w:kern w:val="2"/>
          <w:sz w:val="28"/>
          <w:szCs w:val="28"/>
          <w:lang w:val="en-US" w:eastAsia="zh-CN" w:bidi="ar-SA"/>
        </w:rPr>
        <w:t>应当采取措施，确保船岸各级机构均能始终贯彻执行此方针。</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right="0" w:firstLine="560" w:firstLineChars="20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4.3.2体系应明确</w:t>
      </w:r>
      <w:r>
        <w:rPr>
          <w:rFonts w:hint="default" w:asciiTheme="minorEastAsia" w:hAnsiTheme="minorEastAsia" w:eastAsiaTheme="minorEastAsia" w:cstheme="minorEastAsia"/>
          <w:kern w:val="2"/>
          <w:sz w:val="28"/>
          <w:szCs w:val="28"/>
          <w:lang w:val="en-US" w:eastAsia="zh-CN" w:bidi="ar-SA"/>
        </w:rPr>
        <w:t>公司的责任和权力</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right="0" w:firstLine="560" w:firstLineChars="20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4.3.2.1</w:t>
      </w:r>
      <w:r>
        <w:rPr>
          <w:rFonts w:hint="default" w:asciiTheme="minorEastAsia" w:hAnsiTheme="minorEastAsia" w:eastAsiaTheme="minorEastAsia" w:cstheme="minorEastAsia"/>
          <w:kern w:val="2"/>
          <w:sz w:val="28"/>
          <w:szCs w:val="28"/>
          <w:lang w:val="en-US" w:eastAsia="zh-CN" w:bidi="ar-SA"/>
        </w:rPr>
        <w:t>当船舶安全和防污染与生产、经营、效益发生矛盾时，应当坚持安全第一和保护环境的原则;</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right="0" w:firstLine="560" w:firstLineChars="20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4.3.2.2</w:t>
      </w:r>
      <w:r>
        <w:rPr>
          <w:rFonts w:hint="default" w:asciiTheme="minorEastAsia" w:hAnsiTheme="minorEastAsia" w:eastAsiaTheme="minorEastAsia" w:cstheme="minorEastAsia"/>
          <w:kern w:val="2"/>
          <w:sz w:val="28"/>
          <w:szCs w:val="28"/>
          <w:lang w:val="en-US" w:eastAsia="zh-CN" w:bidi="ar-SA"/>
        </w:rPr>
        <w:t>对管理、执行以及审核监控安全和防污染工作的所有人员，</w:t>
      </w:r>
      <w:r>
        <w:rPr>
          <w:rFonts w:hint="eastAsia" w:asciiTheme="minorEastAsia" w:hAnsiTheme="minorEastAsia" w:eastAsiaTheme="minorEastAsia" w:cstheme="minorEastAsia"/>
          <w:kern w:val="2"/>
          <w:sz w:val="28"/>
          <w:szCs w:val="28"/>
          <w:lang w:val="en-US" w:eastAsia="zh-CN" w:bidi="ar-SA"/>
        </w:rPr>
        <w:t>体系</w:t>
      </w:r>
      <w:r>
        <w:rPr>
          <w:rFonts w:hint="default" w:asciiTheme="minorEastAsia" w:hAnsiTheme="minorEastAsia" w:eastAsiaTheme="minorEastAsia" w:cstheme="minorEastAsia"/>
          <w:kern w:val="2"/>
          <w:sz w:val="28"/>
          <w:szCs w:val="28"/>
          <w:lang w:val="en-US" w:eastAsia="zh-CN" w:bidi="ar-SA"/>
        </w:rPr>
        <w:t>应当用文件形式明确规定其责任、权力及相互关系。</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right="0" w:firstLine="560" w:firstLineChars="20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4.3.2.3</w:t>
      </w:r>
      <w:r>
        <w:rPr>
          <w:rFonts w:hint="default" w:asciiTheme="minorEastAsia" w:hAnsiTheme="minorEastAsia" w:eastAsiaTheme="minorEastAsia" w:cstheme="minorEastAsia"/>
          <w:kern w:val="2"/>
          <w:sz w:val="28"/>
          <w:szCs w:val="28"/>
          <w:lang w:val="en-US" w:eastAsia="zh-CN" w:bidi="ar-SA"/>
        </w:rPr>
        <w:t>为使指定人员能够履行职责，</w:t>
      </w:r>
      <w:r>
        <w:rPr>
          <w:rFonts w:hint="eastAsia" w:asciiTheme="minorEastAsia" w:hAnsiTheme="minorEastAsia" w:eastAsiaTheme="minorEastAsia" w:cstheme="minorEastAsia"/>
          <w:kern w:val="2"/>
          <w:sz w:val="28"/>
          <w:szCs w:val="28"/>
          <w:lang w:val="en-US" w:eastAsia="zh-CN" w:bidi="ar-SA"/>
        </w:rPr>
        <w:t>体系应有制度保证</w:t>
      </w:r>
      <w:r>
        <w:rPr>
          <w:rFonts w:hint="default" w:asciiTheme="minorEastAsia" w:hAnsiTheme="minorEastAsia" w:eastAsiaTheme="minorEastAsia" w:cstheme="minorEastAsia"/>
          <w:kern w:val="2"/>
          <w:sz w:val="28"/>
          <w:szCs w:val="28"/>
          <w:lang w:val="en-US" w:eastAsia="zh-CN" w:bidi="ar-SA"/>
        </w:rPr>
        <w:t>对其提供足够的资源和岸基支持。</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right="0" w:firstLine="560" w:firstLineChars="20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4.3.3</w:t>
      </w:r>
      <w:r>
        <w:rPr>
          <w:rFonts w:hint="default" w:asciiTheme="minorEastAsia" w:hAnsiTheme="minorEastAsia" w:eastAsiaTheme="minorEastAsia" w:cstheme="minorEastAsia"/>
          <w:kern w:val="2"/>
          <w:sz w:val="28"/>
          <w:szCs w:val="28"/>
          <w:lang w:val="en-US" w:eastAsia="zh-CN" w:bidi="ar-SA"/>
        </w:rPr>
        <w:t>指定人员</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right="0" w:firstLine="560" w:firstLineChars="20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4.3.3.1体系</w:t>
      </w:r>
      <w:r>
        <w:rPr>
          <w:rFonts w:hint="default" w:asciiTheme="minorEastAsia" w:hAnsiTheme="minorEastAsia" w:eastAsiaTheme="minorEastAsia" w:cstheme="minorEastAsia"/>
          <w:kern w:val="2"/>
          <w:sz w:val="28"/>
          <w:szCs w:val="28"/>
          <w:lang w:val="en-US" w:eastAsia="zh-CN" w:bidi="ar-SA"/>
        </w:rPr>
        <w:t>应当任命指定人员，以直接同最高管理层联系，提供公司与船舶的联系渠道。</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right="0" w:firstLine="560" w:firstLineChars="20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4.3.3.2</w:t>
      </w:r>
      <w:r>
        <w:rPr>
          <w:rFonts w:hint="default" w:asciiTheme="minorEastAsia" w:hAnsiTheme="minorEastAsia" w:eastAsiaTheme="minorEastAsia" w:cstheme="minorEastAsia"/>
          <w:kern w:val="2"/>
          <w:sz w:val="28"/>
          <w:szCs w:val="28"/>
          <w:lang w:val="en-US" w:eastAsia="zh-CN" w:bidi="ar-SA"/>
        </w:rPr>
        <w:t xml:space="preserve"> </w:t>
      </w:r>
      <w:r>
        <w:rPr>
          <w:rFonts w:hint="eastAsia" w:asciiTheme="minorEastAsia" w:hAnsiTheme="minorEastAsia" w:eastAsiaTheme="minorEastAsia" w:cstheme="minorEastAsia"/>
          <w:kern w:val="2"/>
          <w:sz w:val="28"/>
          <w:szCs w:val="28"/>
          <w:lang w:val="en-US" w:eastAsia="zh-CN" w:bidi="ar-SA"/>
        </w:rPr>
        <w:t>体系</w:t>
      </w:r>
      <w:r>
        <w:rPr>
          <w:rFonts w:hint="default" w:asciiTheme="minorEastAsia" w:hAnsiTheme="minorEastAsia" w:eastAsiaTheme="minorEastAsia" w:cstheme="minorEastAsia"/>
          <w:kern w:val="2"/>
          <w:sz w:val="28"/>
          <w:szCs w:val="28"/>
          <w:lang w:val="en-US" w:eastAsia="zh-CN" w:bidi="ar-SA"/>
        </w:rPr>
        <w:t>应当以文件形式明确规定指定人员的责任和权力。指定人员的责任和权利应包括:</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left="0" w:leftChars="0" w:right="0" w:firstLine="42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（1）</w:t>
      </w:r>
      <w:r>
        <w:rPr>
          <w:rFonts w:hint="default" w:asciiTheme="minorEastAsia" w:hAnsiTheme="minorEastAsia" w:eastAsiaTheme="minorEastAsia" w:cstheme="minorEastAsia"/>
          <w:kern w:val="2"/>
          <w:sz w:val="28"/>
          <w:szCs w:val="28"/>
          <w:lang w:val="en-US" w:eastAsia="zh-CN" w:bidi="ar-SA"/>
        </w:rPr>
        <w:t>对公司船岸的安全和防污染工作进行监控;</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left="0" w:leftChars="0" w:right="0" w:firstLine="42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（2）</w:t>
      </w:r>
      <w:r>
        <w:rPr>
          <w:rFonts w:hint="default" w:asciiTheme="minorEastAsia" w:hAnsiTheme="minorEastAsia" w:eastAsiaTheme="minorEastAsia" w:cstheme="minorEastAsia"/>
          <w:kern w:val="2"/>
          <w:sz w:val="28"/>
          <w:szCs w:val="28"/>
          <w:lang w:val="en-US" w:eastAsia="zh-CN" w:bidi="ar-SA"/>
        </w:rPr>
        <w:t>确保公司向船舶提供足够的资源和岸基支持。</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right="0" w:firstLine="560" w:firstLineChars="20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4.3.4</w:t>
      </w:r>
      <w:r>
        <w:rPr>
          <w:rFonts w:hint="default" w:asciiTheme="minorEastAsia" w:hAnsiTheme="minorEastAsia" w:eastAsiaTheme="minorEastAsia" w:cstheme="minorEastAsia"/>
          <w:kern w:val="2"/>
          <w:sz w:val="28"/>
          <w:szCs w:val="28"/>
          <w:lang w:val="en-US" w:eastAsia="zh-CN" w:bidi="ar-SA"/>
        </w:rPr>
        <w:t>船长的责任和权力</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right="0" w:firstLine="560" w:firstLineChars="20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4.3.4.1体系</w:t>
      </w:r>
      <w:r>
        <w:rPr>
          <w:rFonts w:hint="default" w:asciiTheme="minorEastAsia" w:hAnsiTheme="minorEastAsia" w:eastAsiaTheme="minorEastAsia" w:cstheme="minorEastAsia"/>
          <w:kern w:val="2"/>
          <w:sz w:val="28"/>
          <w:szCs w:val="28"/>
          <w:lang w:val="en-US" w:eastAsia="zh-CN" w:bidi="ar-SA"/>
        </w:rPr>
        <w:t>应当以文件形式明确规定船长的下列责任:</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left="0" w:leftChars="0" w:right="0" w:firstLine="42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（1）</w:t>
      </w:r>
      <w:r>
        <w:rPr>
          <w:rFonts w:hint="default" w:asciiTheme="minorEastAsia" w:hAnsiTheme="minorEastAsia" w:eastAsiaTheme="minorEastAsia" w:cstheme="minorEastAsia"/>
          <w:kern w:val="2"/>
          <w:sz w:val="28"/>
          <w:szCs w:val="28"/>
          <w:lang w:val="en-US" w:eastAsia="zh-CN" w:bidi="ar-SA"/>
        </w:rPr>
        <w:t>执行公司的安全和环境保护方针;</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left="0" w:leftChars="0" w:right="0" w:firstLine="42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（2）</w:t>
      </w:r>
      <w:r>
        <w:rPr>
          <w:rFonts w:hint="default" w:asciiTheme="minorEastAsia" w:hAnsiTheme="minorEastAsia" w:eastAsiaTheme="minorEastAsia" w:cstheme="minorEastAsia"/>
          <w:kern w:val="2"/>
          <w:sz w:val="28"/>
          <w:szCs w:val="28"/>
          <w:lang w:val="en-US" w:eastAsia="zh-CN" w:bidi="ar-SA"/>
        </w:rPr>
        <w:t>激励船员遵守该方针;</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left="0" w:leftChars="0" w:right="0" w:firstLine="42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（3）</w:t>
      </w:r>
      <w:r>
        <w:rPr>
          <w:rFonts w:hint="default" w:asciiTheme="minorEastAsia" w:hAnsiTheme="minorEastAsia" w:eastAsiaTheme="minorEastAsia" w:cstheme="minorEastAsia"/>
          <w:kern w:val="2"/>
          <w:sz w:val="28"/>
          <w:szCs w:val="28"/>
          <w:lang w:val="en-US" w:eastAsia="zh-CN" w:bidi="ar-SA"/>
        </w:rPr>
        <w:t>以简明方式发布相应的指令;</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left="0" w:leftChars="0" w:right="0" w:firstLine="42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（4）</w:t>
      </w:r>
      <w:r>
        <w:rPr>
          <w:rFonts w:hint="default" w:asciiTheme="minorEastAsia" w:hAnsiTheme="minorEastAsia" w:eastAsiaTheme="minorEastAsia" w:cstheme="minorEastAsia"/>
          <w:kern w:val="2"/>
          <w:sz w:val="28"/>
          <w:szCs w:val="28"/>
          <w:lang w:val="en-US" w:eastAsia="zh-CN" w:bidi="ar-SA"/>
        </w:rPr>
        <w:t>核查具体要求的遵守情况;</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left="0" w:leftChars="0" w:right="0" w:firstLine="42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（5）</w:t>
      </w:r>
      <w:r>
        <w:rPr>
          <w:rFonts w:hint="default" w:asciiTheme="minorEastAsia" w:hAnsiTheme="minorEastAsia" w:eastAsiaTheme="minorEastAsia" w:cstheme="minorEastAsia"/>
          <w:kern w:val="2"/>
          <w:sz w:val="28"/>
          <w:szCs w:val="28"/>
          <w:lang w:val="en-US" w:eastAsia="zh-CN" w:bidi="ar-SA"/>
        </w:rPr>
        <w:t>复查安全管理体系并向公司岸上管理部门报告其存在的缺陷。</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right="0" w:firstLine="560" w:firstLineChars="20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4.3.4.2</w:t>
      </w:r>
      <w:r>
        <w:rPr>
          <w:rFonts w:hint="default" w:asciiTheme="minorEastAsia" w:hAnsiTheme="minorEastAsia" w:eastAsiaTheme="minorEastAsia" w:cstheme="minorEastAsia"/>
          <w:kern w:val="2"/>
          <w:sz w:val="28"/>
          <w:szCs w:val="28"/>
          <w:lang w:val="en-US" w:eastAsia="zh-CN" w:bidi="ar-SA"/>
        </w:rPr>
        <w:t>安全管理体系中</w:t>
      </w:r>
      <w:r>
        <w:rPr>
          <w:rFonts w:hint="eastAsia" w:asciiTheme="minorEastAsia" w:hAnsiTheme="minorEastAsia" w:eastAsiaTheme="minorEastAsia" w:cstheme="minorEastAsia"/>
          <w:kern w:val="2"/>
          <w:sz w:val="28"/>
          <w:szCs w:val="28"/>
          <w:lang w:val="en-US" w:eastAsia="zh-CN" w:bidi="ar-SA"/>
        </w:rPr>
        <w:t>应</w:t>
      </w:r>
      <w:r>
        <w:rPr>
          <w:rFonts w:hint="default" w:asciiTheme="minorEastAsia" w:hAnsiTheme="minorEastAsia" w:eastAsiaTheme="minorEastAsia" w:cstheme="minorEastAsia"/>
          <w:kern w:val="2"/>
          <w:sz w:val="28"/>
          <w:szCs w:val="28"/>
          <w:lang w:val="en-US" w:eastAsia="zh-CN" w:bidi="ar-SA"/>
        </w:rPr>
        <w:t>包含一个强调船长权力的明确声明，确立船长的绝对权力和责任，以便船长能够就安全和防污染事务做出决定，并在必要时要求公司给予协助。</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right="0" w:firstLine="560" w:firstLineChars="20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4.3.5</w:t>
      </w:r>
      <w:r>
        <w:rPr>
          <w:rFonts w:hint="default" w:asciiTheme="minorEastAsia" w:hAnsiTheme="minorEastAsia" w:eastAsiaTheme="minorEastAsia" w:cstheme="minorEastAsia"/>
          <w:kern w:val="2"/>
          <w:sz w:val="28"/>
          <w:szCs w:val="28"/>
          <w:lang w:val="en-US" w:eastAsia="zh-CN" w:bidi="ar-SA"/>
        </w:rPr>
        <w:t>人力资源</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right="0" w:firstLine="560" w:firstLineChars="20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4.3.5.1体系</w:t>
      </w:r>
      <w:r>
        <w:rPr>
          <w:rFonts w:hint="default" w:asciiTheme="minorEastAsia" w:hAnsiTheme="minorEastAsia" w:eastAsiaTheme="minorEastAsia" w:cstheme="minorEastAsia"/>
          <w:kern w:val="2"/>
          <w:sz w:val="28"/>
          <w:szCs w:val="28"/>
          <w:lang w:val="en-US" w:eastAsia="zh-CN" w:bidi="ar-SA"/>
        </w:rPr>
        <w:t>应当确保船长:</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left="0" w:leftChars="0" w:right="0" w:firstLine="42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（1）</w:t>
      </w:r>
      <w:r>
        <w:rPr>
          <w:rFonts w:hint="default" w:asciiTheme="minorEastAsia" w:hAnsiTheme="minorEastAsia" w:eastAsiaTheme="minorEastAsia" w:cstheme="minorEastAsia"/>
          <w:kern w:val="2"/>
          <w:sz w:val="28"/>
          <w:szCs w:val="28"/>
          <w:lang w:val="en-US" w:eastAsia="zh-CN" w:bidi="ar-SA"/>
        </w:rPr>
        <w:t>具有适当的指挥资格;</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left="0" w:leftChars="0" w:right="0" w:firstLine="42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（2）</w:t>
      </w:r>
      <w:r>
        <w:rPr>
          <w:rFonts w:hint="default" w:asciiTheme="minorEastAsia" w:hAnsiTheme="minorEastAsia" w:eastAsiaTheme="minorEastAsia" w:cstheme="minorEastAsia"/>
          <w:kern w:val="2"/>
          <w:sz w:val="28"/>
          <w:szCs w:val="28"/>
          <w:lang w:val="en-US" w:eastAsia="zh-CN" w:bidi="ar-SA"/>
        </w:rPr>
        <w:t>完全熟悉公司的安全管理体系;</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left="0" w:leftChars="0" w:right="0" w:firstLine="42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（3）</w:t>
      </w:r>
      <w:r>
        <w:rPr>
          <w:rFonts w:hint="default" w:asciiTheme="minorEastAsia" w:hAnsiTheme="minorEastAsia" w:eastAsiaTheme="minorEastAsia" w:cstheme="minorEastAsia"/>
          <w:kern w:val="2"/>
          <w:sz w:val="28"/>
          <w:szCs w:val="28"/>
          <w:lang w:val="en-US" w:eastAsia="zh-CN" w:bidi="ar-SA"/>
        </w:rPr>
        <w:t>得到必要的支持，以便可靠地履行其职责。</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right="0" w:firstLine="560" w:firstLineChars="20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4.3.5.2</w:t>
      </w:r>
      <w:r>
        <w:rPr>
          <w:rFonts w:hint="default" w:asciiTheme="minorEastAsia" w:hAnsiTheme="minorEastAsia" w:eastAsiaTheme="minorEastAsia" w:cstheme="minorEastAsia"/>
          <w:kern w:val="2"/>
          <w:sz w:val="28"/>
          <w:szCs w:val="28"/>
          <w:lang w:val="en-US" w:eastAsia="zh-CN" w:bidi="ar-SA"/>
        </w:rPr>
        <w:t xml:space="preserve"> </w:t>
      </w:r>
      <w:r>
        <w:rPr>
          <w:rFonts w:hint="eastAsia" w:asciiTheme="minorEastAsia" w:hAnsiTheme="minorEastAsia" w:eastAsiaTheme="minorEastAsia" w:cstheme="minorEastAsia"/>
          <w:kern w:val="2"/>
          <w:sz w:val="28"/>
          <w:szCs w:val="28"/>
          <w:lang w:val="en-US" w:eastAsia="zh-CN" w:bidi="ar-SA"/>
        </w:rPr>
        <w:t>体系</w:t>
      </w:r>
      <w:r>
        <w:rPr>
          <w:rFonts w:hint="default" w:asciiTheme="minorEastAsia" w:hAnsiTheme="minorEastAsia" w:eastAsiaTheme="minorEastAsia" w:cstheme="minorEastAsia"/>
          <w:kern w:val="2"/>
          <w:sz w:val="28"/>
          <w:szCs w:val="28"/>
          <w:lang w:val="en-US" w:eastAsia="zh-CN" w:bidi="ar-SA"/>
        </w:rPr>
        <w:t>应当</w:t>
      </w:r>
      <w:r>
        <w:rPr>
          <w:rFonts w:hint="eastAsia" w:asciiTheme="minorEastAsia" w:hAnsiTheme="minorEastAsia" w:eastAsiaTheme="minorEastAsia" w:cstheme="minorEastAsia"/>
          <w:kern w:val="2"/>
          <w:sz w:val="28"/>
          <w:szCs w:val="28"/>
          <w:lang w:val="en-US" w:eastAsia="zh-CN" w:bidi="ar-SA"/>
        </w:rPr>
        <w:t>要求公司</w:t>
      </w:r>
      <w:r>
        <w:rPr>
          <w:rFonts w:hint="default" w:asciiTheme="minorEastAsia" w:hAnsiTheme="minorEastAsia" w:eastAsiaTheme="minorEastAsia" w:cstheme="minorEastAsia"/>
          <w:kern w:val="2"/>
          <w:sz w:val="28"/>
          <w:szCs w:val="28"/>
          <w:lang w:val="en-US" w:eastAsia="zh-CN" w:bidi="ar-SA"/>
        </w:rPr>
        <w:t>保证按照有关规定为每艘船舶配备合格并健康的船员。</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right="0" w:firstLine="560" w:firstLineChars="20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4.3.5.3</w:t>
      </w:r>
      <w:r>
        <w:rPr>
          <w:rFonts w:hint="default" w:asciiTheme="minorEastAsia" w:hAnsiTheme="minorEastAsia" w:eastAsiaTheme="minorEastAsia" w:cstheme="minorEastAsia"/>
          <w:kern w:val="2"/>
          <w:sz w:val="28"/>
          <w:szCs w:val="28"/>
          <w:lang w:val="en-US" w:eastAsia="zh-CN" w:bidi="ar-SA"/>
        </w:rPr>
        <w:t xml:space="preserve"> </w:t>
      </w:r>
      <w:r>
        <w:rPr>
          <w:rFonts w:hint="eastAsia" w:asciiTheme="minorEastAsia" w:hAnsiTheme="minorEastAsia" w:eastAsiaTheme="minorEastAsia" w:cstheme="minorEastAsia"/>
          <w:kern w:val="2"/>
          <w:sz w:val="28"/>
          <w:szCs w:val="28"/>
          <w:lang w:val="en-US" w:eastAsia="zh-CN" w:bidi="ar-SA"/>
        </w:rPr>
        <w:t>体系</w:t>
      </w:r>
      <w:r>
        <w:rPr>
          <w:rFonts w:hint="default" w:asciiTheme="minorEastAsia" w:hAnsiTheme="minorEastAsia" w:eastAsiaTheme="minorEastAsia" w:cstheme="minorEastAsia"/>
          <w:kern w:val="2"/>
          <w:sz w:val="28"/>
          <w:szCs w:val="28"/>
          <w:lang w:val="en-US" w:eastAsia="zh-CN" w:bidi="ar-SA"/>
        </w:rPr>
        <w:t>应当建立有关程序，以便保证涉及安全和环境保护工作的新聘和转岗人员熟悉其职责，凡需在开航前发出的重要指令均应当标明并以书面形式下达。</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right="0" w:firstLine="560" w:firstLineChars="20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4.3.5.4</w:t>
      </w:r>
      <w:r>
        <w:rPr>
          <w:rFonts w:hint="default" w:asciiTheme="minorEastAsia" w:hAnsiTheme="minorEastAsia" w:eastAsiaTheme="minorEastAsia" w:cstheme="minorEastAsia"/>
          <w:kern w:val="2"/>
          <w:sz w:val="28"/>
          <w:szCs w:val="28"/>
          <w:lang w:val="en-US" w:eastAsia="zh-CN" w:bidi="ar-SA"/>
        </w:rPr>
        <w:t xml:space="preserve"> </w:t>
      </w:r>
      <w:r>
        <w:rPr>
          <w:rFonts w:hint="eastAsia" w:asciiTheme="minorEastAsia" w:hAnsiTheme="minorEastAsia" w:eastAsiaTheme="minorEastAsia" w:cstheme="minorEastAsia"/>
          <w:kern w:val="2"/>
          <w:sz w:val="28"/>
          <w:szCs w:val="28"/>
          <w:lang w:val="en-US" w:eastAsia="zh-CN" w:bidi="ar-SA"/>
        </w:rPr>
        <w:t>体系</w:t>
      </w:r>
      <w:r>
        <w:rPr>
          <w:rFonts w:hint="default" w:asciiTheme="minorEastAsia" w:hAnsiTheme="minorEastAsia" w:eastAsiaTheme="minorEastAsia" w:cstheme="minorEastAsia"/>
          <w:kern w:val="2"/>
          <w:sz w:val="28"/>
          <w:szCs w:val="28"/>
          <w:lang w:val="en-US" w:eastAsia="zh-CN" w:bidi="ar-SA"/>
        </w:rPr>
        <w:t>应当</w:t>
      </w:r>
      <w:r>
        <w:rPr>
          <w:rFonts w:hint="eastAsia" w:asciiTheme="minorEastAsia" w:hAnsiTheme="minorEastAsia" w:eastAsiaTheme="minorEastAsia" w:cstheme="minorEastAsia"/>
          <w:kern w:val="2"/>
          <w:sz w:val="28"/>
          <w:szCs w:val="28"/>
          <w:lang w:val="en-US" w:eastAsia="zh-CN" w:bidi="ar-SA"/>
        </w:rPr>
        <w:t>建设相关制度保证</w:t>
      </w:r>
      <w:r>
        <w:rPr>
          <w:rFonts w:hint="default" w:asciiTheme="minorEastAsia" w:hAnsiTheme="minorEastAsia" w:eastAsiaTheme="minorEastAsia" w:cstheme="minorEastAsia"/>
          <w:kern w:val="2"/>
          <w:sz w:val="28"/>
          <w:szCs w:val="28"/>
          <w:lang w:val="en-US" w:eastAsia="zh-CN" w:bidi="ar-SA"/>
        </w:rPr>
        <w:t>安全管理体系内的所有人员充分地理解有关规定、标准和相关指南。</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right="0" w:firstLine="560" w:firstLineChars="20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4.3.5.5</w:t>
      </w:r>
      <w:r>
        <w:rPr>
          <w:rFonts w:hint="default" w:asciiTheme="minorEastAsia" w:hAnsiTheme="minorEastAsia" w:eastAsiaTheme="minorEastAsia" w:cstheme="minorEastAsia"/>
          <w:kern w:val="2"/>
          <w:sz w:val="28"/>
          <w:szCs w:val="28"/>
          <w:lang w:val="en-US" w:eastAsia="zh-CN" w:bidi="ar-SA"/>
        </w:rPr>
        <w:t xml:space="preserve"> </w:t>
      </w:r>
      <w:r>
        <w:rPr>
          <w:rFonts w:hint="eastAsia" w:asciiTheme="minorEastAsia" w:hAnsiTheme="minorEastAsia" w:eastAsiaTheme="minorEastAsia" w:cstheme="minorEastAsia"/>
          <w:kern w:val="2"/>
          <w:sz w:val="28"/>
          <w:szCs w:val="28"/>
          <w:lang w:val="en-US" w:eastAsia="zh-CN" w:bidi="ar-SA"/>
        </w:rPr>
        <w:t>体系</w:t>
      </w:r>
      <w:r>
        <w:rPr>
          <w:rFonts w:hint="default" w:asciiTheme="minorEastAsia" w:hAnsiTheme="minorEastAsia" w:eastAsiaTheme="minorEastAsia" w:cstheme="minorEastAsia"/>
          <w:kern w:val="2"/>
          <w:sz w:val="28"/>
          <w:szCs w:val="28"/>
          <w:lang w:val="en-US" w:eastAsia="zh-CN" w:bidi="ar-SA"/>
        </w:rPr>
        <w:t>应当建立有关程序，支持可能需要的任何培训，并保证向所有相关人员提供这种培训。</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right="0" w:firstLine="560" w:firstLineChars="20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4.3.5.6</w:t>
      </w:r>
      <w:r>
        <w:rPr>
          <w:rFonts w:hint="default" w:asciiTheme="minorEastAsia" w:hAnsiTheme="minorEastAsia" w:eastAsiaTheme="minorEastAsia" w:cstheme="minorEastAsia"/>
          <w:kern w:val="2"/>
          <w:sz w:val="28"/>
          <w:szCs w:val="28"/>
          <w:lang w:val="en-US" w:eastAsia="zh-CN" w:bidi="ar-SA"/>
        </w:rPr>
        <w:t xml:space="preserve"> </w:t>
      </w:r>
      <w:r>
        <w:rPr>
          <w:rFonts w:hint="eastAsia" w:asciiTheme="minorEastAsia" w:hAnsiTheme="minorEastAsia" w:eastAsiaTheme="minorEastAsia" w:cstheme="minorEastAsia"/>
          <w:kern w:val="2"/>
          <w:sz w:val="28"/>
          <w:szCs w:val="28"/>
          <w:lang w:val="en-US" w:eastAsia="zh-CN" w:bidi="ar-SA"/>
        </w:rPr>
        <w:t>体系</w:t>
      </w:r>
      <w:r>
        <w:rPr>
          <w:rFonts w:hint="default" w:asciiTheme="minorEastAsia" w:hAnsiTheme="minorEastAsia" w:eastAsiaTheme="minorEastAsia" w:cstheme="minorEastAsia"/>
          <w:kern w:val="2"/>
          <w:sz w:val="28"/>
          <w:szCs w:val="28"/>
          <w:lang w:val="en-US" w:eastAsia="zh-CN" w:bidi="ar-SA"/>
        </w:rPr>
        <w:t>应当建立有关程序，确保船员能够及时获得有关体系的信息。</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right="0" w:firstLine="560" w:firstLineChars="20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4.3.5.7</w:t>
      </w:r>
      <w:r>
        <w:rPr>
          <w:rFonts w:hint="default" w:asciiTheme="minorEastAsia" w:hAnsiTheme="minorEastAsia" w:eastAsiaTheme="minorEastAsia" w:cstheme="minorEastAsia"/>
          <w:kern w:val="2"/>
          <w:sz w:val="28"/>
          <w:szCs w:val="28"/>
          <w:lang w:val="en-US" w:eastAsia="zh-CN" w:bidi="ar-SA"/>
        </w:rPr>
        <w:t xml:space="preserve"> </w:t>
      </w:r>
      <w:r>
        <w:rPr>
          <w:rFonts w:hint="eastAsia" w:asciiTheme="minorEastAsia" w:hAnsiTheme="minorEastAsia" w:eastAsiaTheme="minorEastAsia" w:cstheme="minorEastAsia"/>
          <w:kern w:val="2"/>
          <w:sz w:val="28"/>
          <w:szCs w:val="28"/>
          <w:lang w:val="en-US" w:eastAsia="zh-CN" w:bidi="ar-SA"/>
        </w:rPr>
        <w:t>体系</w:t>
      </w:r>
      <w:r>
        <w:rPr>
          <w:rFonts w:hint="default" w:asciiTheme="minorEastAsia" w:hAnsiTheme="minorEastAsia" w:eastAsiaTheme="minorEastAsia" w:cstheme="minorEastAsia"/>
          <w:kern w:val="2"/>
          <w:sz w:val="28"/>
          <w:szCs w:val="28"/>
          <w:lang w:val="en-US" w:eastAsia="zh-CN" w:bidi="ar-SA"/>
        </w:rPr>
        <w:t>应</w:t>
      </w:r>
      <w:r>
        <w:rPr>
          <w:rFonts w:hint="eastAsia" w:asciiTheme="minorEastAsia" w:hAnsiTheme="minorEastAsia" w:eastAsiaTheme="minorEastAsia" w:cstheme="minorEastAsia"/>
          <w:kern w:val="2"/>
          <w:sz w:val="28"/>
          <w:szCs w:val="28"/>
          <w:lang w:val="en-US" w:eastAsia="zh-CN" w:bidi="ar-SA"/>
        </w:rPr>
        <w:t>建立机制</w:t>
      </w:r>
      <w:r>
        <w:rPr>
          <w:rFonts w:hint="default" w:asciiTheme="minorEastAsia" w:hAnsiTheme="minorEastAsia" w:eastAsiaTheme="minorEastAsia" w:cstheme="minorEastAsia"/>
          <w:kern w:val="2"/>
          <w:sz w:val="28"/>
          <w:szCs w:val="28"/>
          <w:lang w:val="en-US" w:eastAsia="zh-CN" w:bidi="ar-SA"/>
        </w:rPr>
        <w:t>保证船员在履行其涉及安全管理体系的职责时能够有效地交流。</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right="0" w:firstLine="560" w:firstLineChars="20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4.3.6</w:t>
      </w:r>
      <w:r>
        <w:rPr>
          <w:rFonts w:hint="default" w:asciiTheme="minorEastAsia" w:hAnsiTheme="minorEastAsia" w:eastAsiaTheme="minorEastAsia" w:cstheme="minorEastAsia"/>
          <w:kern w:val="2"/>
          <w:sz w:val="28"/>
          <w:szCs w:val="28"/>
          <w:lang w:val="en-US" w:eastAsia="zh-CN" w:bidi="ar-SA"/>
        </w:rPr>
        <w:t>船上操作方案的制定</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right="0" w:firstLine="560" w:firstLineChars="200"/>
        <w:textAlignment w:val="auto"/>
        <w:rPr>
          <w:rFonts w:hint="default" w:asciiTheme="minorEastAsia" w:hAnsiTheme="minorEastAsia" w:eastAsiaTheme="minorEastAsia" w:cstheme="minorEastAsia"/>
          <w:kern w:val="2"/>
          <w:sz w:val="28"/>
          <w:szCs w:val="28"/>
          <w:lang w:val="en-US" w:eastAsia="zh-CN" w:bidi="ar-SA"/>
        </w:rPr>
      </w:pPr>
      <w:r>
        <w:rPr>
          <w:rFonts w:hint="default" w:asciiTheme="minorEastAsia" w:hAnsiTheme="minorEastAsia" w:eastAsiaTheme="minorEastAsia" w:cstheme="minorEastAsia"/>
          <w:kern w:val="2"/>
          <w:sz w:val="28"/>
          <w:szCs w:val="28"/>
          <w:lang w:val="en-US" w:eastAsia="zh-CN" w:bidi="ar-SA"/>
        </w:rPr>
        <w:t>对涉及船舶安全和防止污染的关键性的船上操作，</w:t>
      </w:r>
      <w:r>
        <w:rPr>
          <w:rFonts w:hint="eastAsia" w:asciiTheme="minorEastAsia" w:hAnsiTheme="minorEastAsia" w:eastAsiaTheme="minorEastAsia" w:cstheme="minorEastAsia"/>
          <w:kern w:val="2"/>
          <w:sz w:val="28"/>
          <w:szCs w:val="28"/>
          <w:lang w:val="en-US" w:eastAsia="zh-CN" w:bidi="ar-SA"/>
        </w:rPr>
        <w:t>体系</w:t>
      </w:r>
      <w:r>
        <w:rPr>
          <w:rFonts w:hint="default" w:asciiTheme="minorEastAsia" w:hAnsiTheme="minorEastAsia" w:eastAsiaTheme="minorEastAsia" w:cstheme="minorEastAsia"/>
          <w:kern w:val="2"/>
          <w:sz w:val="28"/>
          <w:szCs w:val="28"/>
          <w:lang w:val="en-US" w:eastAsia="zh-CN" w:bidi="ar-SA"/>
        </w:rPr>
        <w:t>应当建立制订有关方案和须知(包括需要的检查清单)的程序。与之相关的各项工作，应明确规定由适任人员承担。</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right="0" w:firstLine="560" w:firstLineChars="20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4.3.7</w:t>
      </w:r>
      <w:r>
        <w:rPr>
          <w:rFonts w:hint="default" w:asciiTheme="minorEastAsia" w:hAnsiTheme="minorEastAsia" w:eastAsiaTheme="minorEastAsia" w:cstheme="minorEastAsia"/>
          <w:kern w:val="2"/>
          <w:sz w:val="28"/>
          <w:szCs w:val="28"/>
          <w:lang w:val="en-US" w:eastAsia="zh-CN" w:bidi="ar-SA"/>
        </w:rPr>
        <w:t>应急准备</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right="0" w:firstLine="560" w:firstLineChars="20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4.3.7.1体系</w:t>
      </w:r>
      <w:r>
        <w:rPr>
          <w:rFonts w:hint="default" w:asciiTheme="minorEastAsia" w:hAnsiTheme="minorEastAsia" w:eastAsiaTheme="minorEastAsia" w:cstheme="minorEastAsia"/>
          <w:kern w:val="2"/>
          <w:sz w:val="28"/>
          <w:szCs w:val="28"/>
          <w:lang w:val="en-US" w:eastAsia="zh-CN" w:bidi="ar-SA"/>
        </w:rPr>
        <w:t>应当建立程序，以标识、描述船上可能出现的紧急情况，并明确对这些紧急情况如何做出反应。</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right="0" w:firstLine="560" w:firstLineChars="20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4.3.7.2</w:t>
      </w:r>
      <w:r>
        <w:rPr>
          <w:rFonts w:hint="default" w:asciiTheme="minorEastAsia" w:hAnsiTheme="minorEastAsia" w:eastAsiaTheme="minorEastAsia" w:cstheme="minorEastAsia"/>
          <w:kern w:val="2"/>
          <w:sz w:val="28"/>
          <w:szCs w:val="28"/>
          <w:lang w:val="en-US" w:eastAsia="zh-CN" w:bidi="ar-SA"/>
        </w:rPr>
        <w:t xml:space="preserve"> </w:t>
      </w:r>
      <w:r>
        <w:rPr>
          <w:rFonts w:hint="eastAsia" w:asciiTheme="minorEastAsia" w:hAnsiTheme="minorEastAsia" w:eastAsiaTheme="minorEastAsia" w:cstheme="minorEastAsia"/>
          <w:kern w:val="2"/>
          <w:sz w:val="28"/>
          <w:szCs w:val="28"/>
          <w:lang w:val="en-US" w:eastAsia="zh-CN" w:bidi="ar-SA"/>
        </w:rPr>
        <w:t>体系</w:t>
      </w:r>
      <w:r>
        <w:rPr>
          <w:rFonts w:hint="default" w:asciiTheme="minorEastAsia" w:hAnsiTheme="minorEastAsia" w:eastAsiaTheme="minorEastAsia" w:cstheme="minorEastAsia"/>
          <w:kern w:val="2"/>
          <w:sz w:val="28"/>
          <w:szCs w:val="28"/>
          <w:lang w:val="en-US" w:eastAsia="zh-CN" w:bidi="ar-SA"/>
        </w:rPr>
        <w:t>应当制定应急行动的训练和演习计划。</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right="0" w:firstLine="560" w:firstLineChars="20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4.3.7.3</w:t>
      </w:r>
      <w:r>
        <w:rPr>
          <w:rFonts w:hint="default" w:asciiTheme="minorEastAsia" w:hAnsiTheme="minorEastAsia" w:eastAsiaTheme="minorEastAsia" w:cstheme="minorEastAsia"/>
          <w:kern w:val="2"/>
          <w:sz w:val="28"/>
          <w:szCs w:val="28"/>
          <w:lang w:val="en-US" w:eastAsia="zh-CN" w:bidi="ar-SA"/>
        </w:rPr>
        <w:t xml:space="preserve"> 体系应提供措施，确保公司能在任何时候对其船舶所面临的危险、紧急情况和事故做出反应。</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right="0" w:firstLine="560" w:firstLineChars="20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4.3.8</w:t>
      </w:r>
      <w:r>
        <w:rPr>
          <w:rFonts w:hint="default" w:asciiTheme="minorEastAsia" w:hAnsiTheme="minorEastAsia" w:eastAsiaTheme="minorEastAsia" w:cstheme="minorEastAsia"/>
          <w:kern w:val="2"/>
          <w:sz w:val="28"/>
          <w:szCs w:val="28"/>
          <w:lang w:val="en-US" w:eastAsia="zh-CN" w:bidi="ar-SA"/>
        </w:rPr>
        <w:t>报告和分析</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right="0" w:firstLine="560" w:firstLineChars="20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4.3.8.1体系</w:t>
      </w:r>
      <w:r>
        <w:rPr>
          <w:rFonts w:hint="default" w:asciiTheme="minorEastAsia" w:hAnsiTheme="minorEastAsia" w:eastAsiaTheme="minorEastAsia" w:cstheme="minorEastAsia"/>
          <w:kern w:val="2"/>
          <w:sz w:val="28"/>
          <w:szCs w:val="28"/>
          <w:lang w:val="en-US" w:eastAsia="zh-CN" w:bidi="ar-SA"/>
        </w:rPr>
        <w:t>应当建立程序，确保不符合规定的情况、事故和险情及时报告公司，并保证进行调查和分析，以便改进安全和防污染工作。</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right="0" w:firstLine="560" w:firstLineChars="20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4.3.8.2</w:t>
      </w:r>
      <w:r>
        <w:rPr>
          <w:rFonts w:hint="default" w:asciiTheme="minorEastAsia" w:hAnsiTheme="minorEastAsia" w:eastAsiaTheme="minorEastAsia" w:cstheme="minorEastAsia"/>
          <w:kern w:val="2"/>
          <w:sz w:val="28"/>
          <w:szCs w:val="28"/>
          <w:lang w:val="en-US" w:eastAsia="zh-CN" w:bidi="ar-SA"/>
        </w:rPr>
        <w:t xml:space="preserve"> </w:t>
      </w:r>
      <w:r>
        <w:rPr>
          <w:rFonts w:hint="eastAsia" w:asciiTheme="minorEastAsia" w:hAnsiTheme="minorEastAsia" w:eastAsiaTheme="minorEastAsia" w:cstheme="minorEastAsia"/>
          <w:kern w:val="2"/>
          <w:sz w:val="28"/>
          <w:szCs w:val="28"/>
          <w:lang w:val="en-US" w:eastAsia="zh-CN" w:bidi="ar-SA"/>
        </w:rPr>
        <w:t>体系</w:t>
      </w:r>
      <w:r>
        <w:rPr>
          <w:rFonts w:hint="default" w:asciiTheme="minorEastAsia" w:hAnsiTheme="minorEastAsia" w:eastAsiaTheme="minorEastAsia" w:cstheme="minorEastAsia"/>
          <w:kern w:val="2"/>
          <w:sz w:val="28"/>
          <w:szCs w:val="28"/>
          <w:lang w:val="en-US" w:eastAsia="zh-CN" w:bidi="ar-SA"/>
        </w:rPr>
        <w:t>应当建立实施纠正措施的程序。</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right="0" w:firstLine="560" w:firstLineChars="20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4.3.9</w:t>
      </w:r>
      <w:r>
        <w:rPr>
          <w:rFonts w:hint="default" w:asciiTheme="minorEastAsia" w:hAnsiTheme="minorEastAsia" w:eastAsiaTheme="minorEastAsia" w:cstheme="minorEastAsia"/>
          <w:kern w:val="2"/>
          <w:sz w:val="28"/>
          <w:szCs w:val="28"/>
          <w:lang w:val="en-US" w:eastAsia="zh-CN" w:bidi="ar-SA"/>
        </w:rPr>
        <w:t>船舶和设备的维护</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right="0" w:firstLine="560" w:firstLineChars="20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4.3.9.1</w:t>
      </w:r>
      <w:r>
        <w:rPr>
          <w:rFonts w:hint="default" w:asciiTheme="minorEastAsia" w:hAnsiTheme="minorEastAsia" w:eastAsiaTheme="minorEastAsia" w:cstheme="minorEastAsia"/>
          <w:kern w:val="2"/>
          <w:sz w:val="28"/>
          <w:szCs w:val="28"/>
          <w:lang w:val="en-US" w:eastAsia="zh-CN" w:bidi="ar-SA"/>
        </w:rPr>
        <w:t xml:space="preserve"> </w:t>
      </w:r>
      <w:r>
        <w:rPr>
          <w:rFonts w:hint="eastAsia" w:asciiTheme="minorEastAsia" w:hAnsiTheme="minorEastAsia" w:eastAsiaTheme="minorEastAsia" w:cstheme="minorEastAsia"/>
          <w:kern w:val="2"/>
          <w:sz w:val="28"/>
          <w:szCs w:val="28"/>
          <w:lang w:val="en-US" w:eastAsia="zh-CN" w:bidi="ar-SA"/>
        </w:rPr>
        <w:t>体系</w:t>
      </w:r>
      <w:r>
        <w:rPr>
          <w:rFonts w:hint="default" w:asciiTheme="minorEastAsia" w:hAnsiTheme="minorEastAsia" w:eastAsiaTheme="minorEastAsia" w:cstheme="minorEastAsia"/>
          <w:kern w:val="2"/>
          <w:sz w:val="28"/>
          <w:szCs w:val="28"/>
          <w:lang w:val="en-US" w:eastAsia="zh-CN" w:bidi="ar-SA"/>
        </w:rPr>
        <w:t>应当制定程序，保证船舶及设备按照有关规定和标准以及公司可能制定的任何附加要求进行维护。</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right="0" w:firstLine="560" w:firstLineChars="20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4.3.9.2</w:t>
      </w:r>
      <w:r>
        <w:rPr>
          <w:rFonts w:hint="default" w:asciiTheme="minorEastAsia" w:hAnsiTheme="minorEastAsia" w:eastAsiaTheme="minorEastAsia" w:cstheme="minorEastAsia"/>
          <w:kern w:val="2"/>
          <w:sz w:val="28"/>
          <w:szCs w:val="28"/>
          <w:lang w:val="en-US" w:eastAsia="zh-CN" w:bidi="ar-SA"/>
        </w:rPr>
        <w:t xml:space="preserve"> </w:t>
      </w:r>
      <w:r>
        <w:rPr>
          <w:rFonts w:hint="eastAsia" w:asciiTheme="minorEastAsia" w:hAnsiTheme="minorEastAsia" w:eastAsiaTheme="minorEastAsia" w:cstheme="minorEastAsia"/>
          <w:kern w:val="2"/>
          <w:sz w:val="28"/>
          <w:szCs w:val="28"/>
          <w:lang w:val="en-US" w:eastAsia="zh-CN" w:bidi="ar-SA"/>
        </w:rPr>
        <w:t>体系关于船舶和设备的检查制度应</w:t>
      </w:r>
      <w:r>
        <w:rPr>
          <w:rFonts w:hint="default" w:asciiTheme="minorEastAsia" w:hAnsiTheme="minorEastAsia" w:eastAsiaTheme="minorEastAsia" w:cstheme="minorEastAsia"/>
          <w:kern w:val="2"/>
          <w:sz w:val="28"/>
          <w:szCs w:val="28"/>
          <w:lang w:val="en-US" w:eastAsia="zh-CN" w:bidi="ar-SA"/>
        </w:rPr>
        <w:t>保证:</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left="0" w:leftChars="0" w:right="0" w:firstLine="42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（1）</w:t>
      </w:r>
      <w:r>
        <w:rPr>
          <w:rFonts w:hint="default" w:asciiTheme="minorEastAsia" w:hAnsiTheme="minorEastAsia" w:eastAsiaTheme="minorEastAsia" w:cstheme="minorEastAsia"/>
          <w:kern w:val="2"/>
          <w:sz w:val="28"/>
          <w:szCs w:val="28"/>
          <w:lang w:val="en-US" w:eastAsia="zh-CN" w:bidi="ar-SA"/>
        </w:rPr>
        <w:t>按照适当的间隔期进行检查;</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left="0" w:leftChars="0" w:right="0" w:firstLine="42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（2）</w:t>
      </w:r>
      <w:r>
        <w:rPr>
          <w:rFonts w:hint="default" w:asciiTheme="minorEastAsia" w:hAnsiTheme="minorEastAsia" w:eastAsiaTheme="minorEastAsia" w:cstheme="minorEastAsia"/>
          <w:kern w:val="2"/>
          <w:sz w:val="28"/>
          <w:szCs w:val="28"/>
          <w:lang w:val="en-US" w:eastAsia="zh-CN" w:bidi="ar-SA"/>
        </w:rPr>
        <w:t>任何不符合规定的情况及可能的原因得到报告;</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left="0" w:leftChars="0" w:right="0" w:firstLine="42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（3）</w:t>
      </w:r>
      <w:r>
        <w:rPr>
          <w:rFonts w:hint="default" w:asciiTheme="minorEastAsia" w:hAnsiTheme="minorEastAsia" w:eastAsiaTheme="minorEastAsia" w:cstheme="minorEastAsia"/>
          <w:kern w:val="2"/>
          <w:sz w:val="28"/>
          <w:szCs w:val="28"/>
          <w:lang w:val="en-US" w:eastAsia="zh-CN" w:bidi="ar-SA"/>
        </w:rPr>
        <w:t>采取适当的纠正措施;</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left="0" w:leftChars="0" w:right="0" w:firstLine="42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（4）</w:t>
      </w:r>
      <w:r>
        <w:rPr>
          <w:rFonts w:hint="default" w:asciiTheme="minorEastAsia" w:hAnsiTheme="minorEastAsia" w:eastAsiaTheme="minorEastAsia" w:cstheme="minorEastAsia"/>
          <w:kern w:val="2"/>
          <w:sz w:val="28"/>
          <w:szCs w:val="28"/>
          <w:lang w:val="en-US" w:eastAsia="zh-CN" w:bidi="ar-SA"/>
        </w:rPr>
        <w:t>保存这些活动的记录。</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right="0" w:firstLine="560" w:firstLineChars="20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4.3.9.3体系</w:t>
      </w:r>
      <w:r>
        <w:rPr>
          <w:rFonts w:hint="default" w:asciiTheme="minorEastAsia" w:hAnsiTheme="minorEastAsia" w:eastAsiaTheme="minorEastAsia" w:cstheme="minorEastAsia"/>
          <w:kern w:val="2"/>
          <w:sz w:val="28"/>
          <w:szCs w:val="28"/>
          <w:lang w:val="en-US" w:eastAsia="zh-CN" w:bidi="ar-SA"/>
        </w:rPr>
        <w:t>应当制定有关程序，以便标识那些会因突发性运行故障而导致险情的设备和技术系统，并提供具体措施，以提高这些设备和系统的可靠性。这些措施应当包括对备用装置及设备或非连续使用的技术系统的定期测试。</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right="0" w:firstLine="560" w:firstLineChars="20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4.3.9.4</w:t>
      </w:r>
      <w:r>
        <w:rPr>
          <w:rFonts w:hint="default" w:asciiTheme="minorEastAsia" w:hAnsiTheme="minorEastAsia" w:eastAsiaTheme="minorEastAsia" w:cstheme="minorEastAsia"/>
          <w:kern w:val="2"/>
          <w:sz w:val="28"/>
          <w:szCs w:val="28"/>
          <w:lang w:val="en-US" w:eastAsia="zh-CN" w:bidi="ar-SA"/>
        </w:rPr>
        <w:t xml:space="preserve"> 第</w:t>
      </w:r>
      <w:r>
        <w:rPr>
          <w:rFonts w:hint="eastAsia" w:asciiTheme="minorEastAsia" w:hAnsiTheme="minorEastAsia" w:eastAsiaTheme="minorEastAsia" w:cstheme="minorEastAsia"/>
          <w:kern w:val="2"/>
          <w:sz w:val="28"/>
          <w:szCs w:val="28"/>
          <w:lang w:val="en-US" w:eastAsia="zh-CN" w:bidi="ar-SA"/>
        </w:rPr>
        <w:t>4.3.9.2</w:t>
      </w:r>
      <w:r>
        <w:rPr>
          <w:rFonts w:hint="default" w:asciiTheme="minorEastAsia" w:hAnsiTheme="minorEastAsia" w:eastAsiaTheme="minorEastAsia" w:cstheme="minorEastAsia"/>
          <w:kern w:val="2"/>
          <w:sz w:val="28"/>
          <w:szCs w:val="28"/>
          <w:lang w:val="en-US" w:eastAsia="zh-CN" w:bidi="ar-SA"/>
        </w:rPr>
        <w:t>条所述的检查和第</w:t>
      </w:r>
      <w:r>
        <w:rPr>
          <w:rFonts w:hint="eastAsia" w:asciiTheme="minorEastAsia" w:hAnsiTheme="minorEastAsia" w:eastAsiaTheme="minorEastAsia" w:cstheme="minorEastAsia"/>
          <w:kern w:val="2"/>
          <w:sz w:val="28"/>
          <w:szCs w:val="28"/>
          <w:lang w:val="en-US" w:eastAsia="zh-CN" w:bidi="ar-SA"/>
        </w:rPr>
        <w:t>4.3.9.3</w:t>
      </w:r>
      <w:r>
        <w:rPr>
          <w:rFonts w:hint="default" w:asciiTheme="minorEastAsia" w:hAnsiTheme="minorEastAsia" w:eastAsiaTheme="minorEastAsia" w:cstheme="minorEastAsia"/>
          <w:kern w:val="2"/>
          <w:sz w:val="28"/>
          <w:szCs w:val="28"/>
          <w:lang w:val="en-US" w:eastAsia="zh-CN" w:bidi="ar-SA"/>
        </w:rPr>
        <w:t>条所提及的措施应纳入船舶的日常操作性维护。</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right="0" w:firstLine="560" w:firstLineChars="20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4.3.10</w:t>
      </w:r>
      <w:r>
        <w:rPr>
          <w:rFonts w:hint="default" w:asciiTheme="minorEastAsia" w:hAnsiTheme="minorEastAsia" w:eastAsiaTheme="minorEastAsia" w:cstheme="minorEastAsia"/>
          <w:kern w:val="2"/>
          <w:sz w:val="28"/>
          <w:szCs w:val="28"/>
          <w:lang w:val="en-US" w:eastAsia="zh-CN" w:bidi="ar-SA"/>
        </w:rPr>
        <w:t>文件</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right="0" w:firstLine="560" w:firstLineChars="20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4.3.10.1</w:t>
      </w:r>
      <w:r>
        <w:rPr>
          <w:rFonts w:hint="default" w:asciiTheme="minorEastAsia" w:hAnsiTheme="minorEastAsia" w:eastAsiaTheme="minorEastAsia" w:cstheme="minorEastAsia"/>
          <w:kern w:val="2"/>
          <w:sz w:val="28"/>
          <w:szCs w:val="28"/>
          <w:lang w:val="en-US" w:eastAsia="zh-CN" w:bidi="ar-SA"/>
        </w:rPr>
        <w:t xml:space="preserve"> </w:t>
      </w:r>
      <w:r>
        <w:rPr>
          <w:rFonts w:hint="eastAsia" w:asciiTheme="minorEastAsia" w:hAnsiTheme="minorEastAsia" w:eastAsiaTheme="minorEastAsia" w:cstheme="minorEastAsia"/>
          <w:kern w:val="2"/>
          <w:sz w:val="28"/>
          <w:szCs w:val="28"/>
          <w:lang w:val="en-US" w:eastAsia="zh-CN" w:bidi="ar-SA"/>
        </w:rPr>
        <w:t>体系</w:t>
      </w:r>
      <w:r>
        <w:rPr>
          <w:rFonts w:hint="default" w:asciiTheme="minorEastAsia" w:hAnsiTheme="minorEastAsia" w:eastAsiaTheme="minorEastAsia" w:cstheme="minorEastAsia"/>
          <w:kern w:val="2"/>
          <w:sz w:val="28"/>
          <w:szCs w:val="28"/>
          <w:lang w:val="en-US" w:eastAsia="zh-CN" w:bidi="ar-SA"/>
        </w:rPr>
        <w:t>应当建立有关程序，对与体系有关的所有文件和资料进行控制。</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right="0" w:firstLine="560" w:firstLineChars="20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4.3.10.2</w:t>
      </w:r>
      <w:r>
        <w:rPr>
          <w:rFonts w:hint="default" w:asciiTheme="minorEastAsia" w:hAnsiTheme="minorEastAsia" w:eastAsiaTheme="minorEastAsia" w:cstheme="minorEastAsia"/>
          <w:kern w:val="2"/>
          <w:sz w:val="28"/>
          <w:szCs w:val="28"/>
          <w:lang w:val="en-US" w:eastAsia="zh-CN" w:bidi="ar-SA"/>
        </w:rPr>
        <w:t xml:space="preserve"> </w:t>
      </w:r>
      <w:r>
        <w:rPr>
          <w:rFonts w:hint="eastAsia" w:asciiTheme="minorEastAsia" w:hAnsiTheme="minorEastAsia" w:eastAsiaTheme="minorEastAsia" w:cstheme="minorEastAsia"/>
          <w:kern w:val="2"/>
          <w:sz w:val="28"/>
          <w:szCs w:val="28"/>
          <w:lang w:val="en-US" w:eastAsia="zh-CN" w:bidi="ar-SA"/>
        </w:rPr>
        <w:t>体系</w:t>
      </w:r>
      <w:r>
        <w:rPr>
          <w:rFonts w:hint="default" w:asciiTheme="minorEastAsia" w:hAnsiTheme="minorEastAsia" w:eastAsiaTheme="minorEastAsia" w:cstheme="minorEastAsia"/>
          <w:kern w:val="2"/>
          <w:sz w:val="28"/>
          <w:szCs w:val="28"/>
          <w:lang w:val="en-US" w:eastAsia="zh-CN" w:bidi="ar-SA"/>
        </w:rPr>
        <w:t>应当保证:</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left="0" w:leftChars="0" w:right="0" w:firstLine="42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（1）</w:t>
      </w:r>
      <w:r>
        <w:rPr>
          <w:rFonts w:hint="default" w:asciiTheme="minorEastAsia" w:hAnsiTheme="minorEastAsia" w:eastAsiaTheme="minorEastAsia" w:cstheme="minorEastAsia"/>
          <w:kern w:val="2"/>
          <w:sz w:val="28"/>
          <w:szCs w:val="28"/>
          <w:lang w:val="en-US" w:eastAsia="zh-CN" w:bidi="ar-SA"/>
        </w:rPr>
        <w:t>在所有相关场所均能够获得有效的文件;</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left="0" w:leftChars="0" w:right="0" w:firstLine="42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（2）</w:t>
      </w:r>
      <w:r>
        <w:rPr>
          <w:rFonts w:hint="default" w:asciiTheme="minorEastAsia" w:hAnsiTheme="minorEastAsia" w:eastAsiaTheme="minorEastAsia" w:cstheme="minorEastAsia"/>
          <w:kern w:val="2"/>
          <w:sz w:val="28"/>
          <w:szCs w:val="28"/>
          <w:lang w:val="en-US" w:eastAsia="zh-CN" w:bidi="ar-SA"/>
        </w:rPr>
        <w:t>文件的更改应由经授权的人审查批准;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left="0" w:leftChars="0" w:right="0" w:firstLine="42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（3）</w:t>
      </w:r>
      <w:r>
        <w:rPr>
          <w:rFonts w:hint="default" w:asciiTheme="minorEastAsia" w:hAnsiTheme="minorEastAsia" w:eastAsiaTheme="minorEastAsia" w:cstheme="minorEastAsia"/>
          <w:kern w:val="2"/>
          <w:sz w:val="28"/>
          <w:szCs w:val="28"/>
          <w:lang w:val="en-US" w:eastAsia="zh-CN" w:bidi="ar-SA"/>
        </w:rPr>
        <w:t>被废止的文件应及时清除。</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right="0" w:firstLine="560" w:firstLineChars="20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4.3.10.3</w:t>
      </w:r>
      <w:r>
        <w:rPr>
          <w:rFonts w:hint="default" w:asciiTheme="minorEastAsia" w:hAnsiTheme="minorEastAsia" w:eastAsiaTheme="minorEastAsia" w:cstheme="minorEastAsia"/>
          <w:kern w:val="2"/>
          <w:sz w:val="28"/>
          <w:szCs w:val="28"/>
          <w:lang w:val="en-US" w:eastAsia="zh-CN" w:bidi="ar-SA"/>
        </w:rPr>
        <w:t>用于阐述和实施安全管理体系的文件可称为"安全管理手册"。</w:t>
      </w:r>
      <w:r>
        <w:rPr>
          <w:rFonts w:hint="eastAsia" w:asciiTheme="minorEastAsia" w:hAnsiTheme="minorEastAsia" w:eastAsiaTheme="minorEastAsia" w:cstheme="minorEastAsia"/>
          <w:kern w:val="2"/>
          <w:sz w:val="28"/>
          <w:szCs w:val="28"/>
          <w:lang w:val="en-US" w:eastAsia="zh-CN" w:bidi="ar-SA"/>
        </w:rPr>
        <w:t>应为</w:t>
      </w:r>
      <w:r>
        <w:rPr>
          <w:rFonts w:hint="default" w:asciiTheme="minorEastAsia" w:hAnsiTheme="minorEastAsia" w:eastAsiaTheme="minorEastAsia" w:cstheme="minorEastAsia"/>
          <w:kern w:val="2"/>
          <w:sz w:val="28"/>
          <w:szCs w:val="28"/>
          <w:lang w:val="en-US" w:eastAsia="zh-CN" w:bidi="ar-SA"/>
        </w:rPr>
        <w:t>每</w:t>
      </w:r>
      <w:r>
        <w:rPr>
          <w:rFonts w:hint="eastAsia" w:asciiTheme="minorEastAsia" w:hAnsiTheme="minorEastAsia" w:eastAsiaTheme="minorEastAsia" w:cstheme="minorEastAsia"/>
          <w:kern w:val="2"/>
          <w:sz w:val="28"/>
          <w:szCs w:val="28"/>
          <w:lang w:val="en-US" w:eastAsia="zh-CN" w:bidi="ar-SA"/>
        </w:rPr>
        <w:t>条</w:t>
      </w:r>
      <w:r>
        <w:rPr>
          <w:rFonts w:hint="default" w:asciiTheme="minorEastAsia" w:hAnsiTheme="minorEastAsia" w:eastAsiaTheme="minorEastAsia" w:cstheme="minorEastAsia"/>
          <w:kern w:val="2"/>
          <w:sz w:val="28"/>
          <w:szCs w:val="28"/>
          <w:lang w:val="en-US" w:eastAsia="zh-CN" w:bidi="ar-SA"/>
        </w:rPr>
        <w:t>船舶配备与之有关的全部文件。</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right="0" w:firstLine="560" w:firstLineChars="20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4.3.11</w:t>
      </w:r>
      <w:r>
        <w:rPr>
          <w:rFonts w:hint="default" w:asciiTheme="minorEastAsia" w:hAnsiTheme="minorEastAsia" w:eastAsiaTheme="minorEastAsia" w:cstheme="minorEastAsia"/>
          <w:kern w:val="2"/>
          <w:sz w:val="28"/>
          <w:szCs w:val="28"/>
          <w:lang w:val="en-US" w:eastAsia="zh-CN" w:bidi="ar-SA"/>
        </w:rPr>
        <w:t>内部审核、有效性评价和管理复查</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right="0" w:firstLine="560" w:firstLineChars="20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4.3.11.1</w:t>
      </w:r>
      <w:r>
        <w:rPr>
          <w:rFonts w:hint="default" w:asciiTheme="minorEastAsia" w:hAnsiTheme="minorEastAsia" w:eastAsiaTheme="minorEastAsia" w:cstheme="minorEastAsia"/>
          <w:kern w:val="2"/>
          <w:sz w:val="28"/>
          <w:szCs w:val="28"/>
          <w:lang w:val="en-US" w:eastAsia="zh-CN" w:bidi="ar-SA"/>
        </w:rPr>
        <w:t xml:space="preserve"> </w:t>
      </w:r>
      <w:r>
        <w:rPr>
          <w:rFonts w:hint="eastAsia" w:asciiTheme="minorEastAsia" w:hAnsiTheme="minorEastAsia" w:eastAsiaTheme="minorEastAsia" w:cstheme="minorEastAsia"/>
          <w:kern w:val="2"/>
          <w:sz w:val="28"/>
          <w:szCs w:val="28"/>
          <w:lang w:val="en-US" w:eastAsia="zh-CN" w:bidi="ar-SA"/>
        </w:rPr>
        <w:t>体系应建立制度</w:t>
      </w:r>
      <w:r>
        <w:rPr>
          <w:rFonts w:hint="default" w:asciiTheme="minorEastAsia" w:hAnsiTheme="minorEastAsia" w:eastAsiaTheme="minorEastAsia" w:cstheme="minorEastAsia"/>
          <w:kern w:val="2"/>
          <w:sz w:val="28"/>
          <w:szCs w:val="28"/>
          <w:lang w:val="en-US" w:eastAsia="zh-CN" w:bidi="ar-SA"/>
        </w:rPr>
        <w:t>定期开展内部审核，以核查安全与防污染活动是否符合安全管理体系的要求。实施内部审核的人员应当不从属于被审核的部门。</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right="0" w:firstLine="560" w:firstLineChars="20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4.3.11.2</w:t>
      </w:r>
      <w:r>
        <w:rPr>
          <w:rFonts w:hint="default" w:asciiTheme="minorEastAsia" w:hAnsiTheme="minorEastAsia" w:eastAsiaTheme="minorEastAsia" w:cstheme="minorEastAsia"/>
          <w:kern w:val="2"/>
          <w:sz w:val="28"/>
          <w:szCs w:val="28"/>
          <w:lang w:val="en-US" w:eastAsia="zh-CN" w:bidi="ar-SA"/>
        </w:rPr>
        <w:t xml:space="preserve"> </w:t>
      </w:r>
      <w:r>
        <w:rPr>
          <w:rFonts w:hint="eastAsia" w:asciiTheme="minorEastAsia" w:hAnsiTheme="minorEastAsia" w:eastAsiaTheme="minorEastAsia" w:cstheme="minorEastAsia"/>
          <w:kern w:val="2"/>
          <w:sz w:val="28"/>
          <w:szCs w:val="28"/>
          <w:lang w:val="en-US" w:eastAsia="zh-CN" w:bidi="ar-SA"/>
        </w:rPr>
        <w:t>体系应建立制度</w:t>
      </w:r>
      <w:r>
        <w:rPr>
          <w:rFonts w:hint="default" w:asciiTheme="minorEastAsia" w:hAnsiTheme="minorEastAsia" w:eastAsiaTheme="minorEastAsia" w:cstheme="minorEastAsia"/>
          <w:kern w:val="2"/>
          <w:sz w:val="28"/>
          <w:szCs w:val="28"/>
          <w:lang w:val="en-US" w:eastAsia="zh-CN" w:bidi="ar-SA"/>
        </w:rPr>
        <w:t>定期评价安全管理体系的有效性，必要时还应当对安全管理体系进行管理复查。</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right="0" w:firstLine="560" w:firstLineChars="20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4.3.11.3</w:t>
      </w:r>
      <w:r>
        <w:rPr>
          <w:rFonts w:hint="default" w:asciiTheme="minorEastAsia" w:hAnsiTheme="minorEastAsia" w:eastAsiaTheme="minorEastAsia" w:cstheme="minorEastAsia"/>
          <w:kern w:val="2"/>
          <w:sz w:val="28"/>
          <w:szCs w:val="28"/>
          <w:lang w:val="en-US" w:eastAsia="zh-CN" w:bidi="ar-SA"/>
        </w:rPr>
        <w:t xml:space="preserve"> 内部审核及管理复查的结果应当告知所有负有责任的人员，以提请他们注意。</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right="0" w:firstLine="560" w:firstLineChars="20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4.3.11.4</w:t>
      </w:r>
      <w:r>
        <w:rPr>
          <w:rFonts w:hint="default" w:asciiTheme="minorEastAsia" w:hAnsiTheme="minorEastAsia" w:eastAsiaTheme="minorEastAsia" w:cstheme="minorEastAsia"/>
          <w:kern w:val="2"/>
          <w:sz w:val="28"/>
          <w:szCs w:val="28"/>
          <w:lang w:val="en-US" w:eastAsia="zh-CN" w:bidi="ar-SA"/>
        </w:rPr>
        <w:t xml:space="preserve"> 负有责任的管理人员应当对所发现的缺陷及时采取纠正措施。</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topLinePunct w:val="0"/>
        <w:autoSpaceDE/>
        <w:autoSpaceDN/>
        <w:bidi w:val="0"/>
        <w:adjustRightInd/>
        <w:spacing w:before="0" w:beforeAutospacing="0" w:after="0" w:afterAutospacing="0" w:line="560" w:lineRule="exact"/>
        <w:ind w:right="0" w:firstLine="560" w:firstLineChars="200"/>
        <w:textAlignment w:val="auto"/>
        <w:rPr>
          <w:rFonts w:hint="default" w:asciiTheme="minorEastAsia" w:hAnsiTheme="minorEastAsia" w:eastAsiaTheme="minorEastAsia" w:cstheme="minorEastAsia"/>
          <w:kern w:val="2"/>
          <w:sz w:val="28"/>
          <w:szCs w:val="28"/>
          <w:lang w:val="en-US" w:eastAsia="zh-CN" w:bidi="ar-SA"/>
        </w:rPr>
      </w:pPr>
      <w:r>
        <w:rPr>
          <w:rFonts w:hint="eastAsia" w:asciiTheme="minorEastAsia" w:hAnsiTheme="minorEastAsia" w:eastAsiaTheme="minorEastAsia" w:cstheme="minorEastAsia"/>
          <w:kern w:val="2"/>
          <w:sz w:val="28"/>
          <w:szCs w:val="28"/>
          <w:lang w:val="en-US" w:eastAsia="zh-CN" w:bidi="ar-SA"/>
        </w:rPr>
        <w:t xml:space="preserve">4.3.11.5 </w:t>
      </w:r>
      <w:r>
        <w:rPr>
          <w:rFonts w:hint="default" w:asciiTheme="minorEastAsia" w:hAnsiTheme="minorEastAsia" w:eastAsiaTheme="minorEastAsia" w:cstheme="minorEastAsia"/>
          <w:kern w:val="2"/>
          <w:sz w:val="28"/>
          <w:szCs w:val="28"/>
          <w:lang w:val="en-US" w:eastAsia="zh-CN" w:bidi="ar-SA"/>
        </w:rPr>
        <w:t>内部审核、有效性评价、管理复查及可能采取的纠正措施应当按文件规定的程序进行。</w:t>
      </w:r>
    </w:p>
    <w:p>
      <w:pPr>
        <w:keepLines w:val="0"/>
        <w:pageBreakBefore w:val="0"/>
        <w:kinsoku/>
        <w:wordWrap/>
        <w:overflowPunct w:val="0"/>
        <w:topLinePunct w:val="0"/>
        <w:autoSpaceDE/>
        <w:autoSpaceDN/>
        <w:bidi w:val="0"/>
        <w:adjustRightInd/>
        <w:snapToGrid w:val="0"/>
        <w:spacing w:line="560" w:lineRule="exact"/>
        <w:ind w:right="396" w:rightChars="165"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4.4船舶安全管理系统</w:t>
      </w:r>
    </w:p>
    <w:p>
      <w:pPr>
        <w:keepLines w:val="0"/>
        <w:pageBreakBefore w:val="0"/>
        <w:kinsoku/>
        <w:wordWrap/>
        <w:overflowPunct w:val="0"/>
        <w:topLinePunct w:val="0"/>
        <w:autoSpaceDE/>
        <w:autoSpaceDN/>
        <w:bidi w:val="0"/>
        <w:adjustRightInd/>
        <w:snapToGrid w:val="0"/>
        <w:spacing w:line="560" w:lineRule="exact"/>
        <w:ind w:left="0" w:leftChars="0" w:right="396" w:rightChars="165" w:firstLine="560" w:firstLineChars="200"/>
        <w:textAlignment w:val="auto"/>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4.</w:t>
      </w:r>
      <w:r>
        <w:rPr>
          <w:rFonts w:hint="eastAsia" w:asciiTheme="minorEastAsia" w:hAnsiTheme="minorEastAsia" w:eastAsiaTheme="minorEastAsia" w:cstheme="minorEastAsia"/>
          <w:sz w:val="28"/>
          <w:szCs w:val="28"/>
          <w:lang w:val="en-US" w:eastAsia="zh-CN"/>
        </w:rPr>
        <w:t>4.1</w:t>
      </w:r>
      <w:r>
        <w:rPr>
          <w:rFonts w:hint="eastAsia" w:asciiTheme="minorEastAsia" w:hAnsiTheme="minorEastAsia" w:eastAsiaTheme="minorEastAsia" w:cstheme="minorEastAsia"/>
          <w:sz w:val="28"/>
          <w:szCs w:val="28"/>
        </w:rPr>
        <w:t>业务支撑层采用集中的模块化支撑各业务应用服务功能，模块间相互独立，通过标准接口实现模块功能复用。</w:t>
      </w:r>
    </w:p>
    <w:p>
      <w:pPr>
        <w:keepLines w:val="0"/>
        <w:pageBreakBefore w:val="0"/>
        <w:kinsoku/>
        <w:wordWrap/>
        <w:overflowPunct w:val="0"/>
        <w:topLinePunct w:val="0"/>
        <w:autoSpaceDE/>
        <w:autoSpaceDN/>
        <w:bidi w:val="0"/>
        <w:adjustRightInd/>
        <w:snapToGrid w:val="0"/>
        <w:spacing w:line="560" w:lineRule="exact"/>
        <w:ind w:left="0" w:leftChars="0" w:right="396" w:rightChars="165"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4.</w:t>
      </w:r>
      <w:r>
        <w:rPr>
          <w:rFonts w:hint="eastAsia" w:asciiTheme="minorEastAsia" w:hAnsiTheme="minorEastAsia" w:eastAsiaTheme="minorEastAsia" w:cstheme="minorEastAsia"/>
          <w:sz w:val="28"/>
          <w:szCs w:val="28"/>
          <w:lang w:val="en-US" w:eastAsia="zh-CN"/>
        </w:rPr>
        <w:t>4.2</w:t>
      </w:r>
      <w:r>
        <w:rPr>
          <w:rFonts w:hint="eastAsia" w:asciiTheme="minorEastAsia" w:hAnsiTheme="minorEastAsia" w:eastAsiaTheme="minorEastAsia" w:cstheme="minorEastAsia"/>
          <w:sz w:val="28"/>
          <w:szCs w:val="28"/>
        </w:rPr>
        <w:t xml:space="preserve"> 基础系统层采用兼容、易用、安全、稳定的Linux操作系统，具有优良稳定性、可扩展性和安全性的MYSQL数据库集群等提供稳定可靠的系统、数据库、网络、信息安全等基础服务。</w:t>
      </w:r>
    </w:p>
    <w:p>
      <w:pPr>
        <w:keepLines w:val="0"/>
        <w:pageBreakBefore w:val="0"/>
        <w:kinsoku/>
        <w:wordWrap/>
        <w:overflowPunct w:val="0"/>
        <w:topLinePunct w:val="0"/>
        <w:autoSpaceDE/>
        <w:autoSpaceDN/>
        <w:bidi w:val="0"/>
        <w:adjustRightInd/>
        <w:snapToGrid w:val="0"/>
        <w:spacing w:line="560" w:lineRule="exact"/>
        <w:ind w:left="0" w:leftChars="0" w:right="396" w:rightChars="165" w:firstLine="560" w:firstLineChars="200"/>
        <w:textAlignment w:val="auto"/>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4.</w:t>
      </w:r>
      <w:r>
        <w:rPr>
          <w:rFonts w:hint="eastAsia" w:asciiTheme="minorEastAsia" w:hAnsiTheme="minorEastAsia" w:eastAsiaTheme="minorEastAsia" w:cstheme="minorEastAsia"/>
          <w:sz w:val="28"/>
          <w:szCs w:val="28"/>
          <w:lang w:val="en-US" w:eastAsia="zh-CN"/>
        </w:rPr>
        <w:t>4.3</w:t>
      </w:r>
      <w:r>
        <w:rPr>
          <w:rFonts w:hint="eastAsia" w:asciiTheme="minorEastAsia" w:hAnsiTheme="minorEastAsia" w:eastAsiaTheme="minorEastAsia" w:cstheme="minorEastAsia"/>
          <w:sz w:val="28"/>
          <w:szCs w:val="28"/>
        </w:rPr>
        <w:t xml:space="preserve"> 系统应具有在多种硬件服务器系统、操作系统和数据库环境下部署运行的跨系统应用能力，具备接收第三方平台数据能力，满足扩充功能分期分批上线的要求，保证系统使用的连贯性。</w:t>
      </w:r>
    </w:p>
    <w:p>
      <w:pPr>
        <w:keepLines w:val="0"/>
        <w:pageBreakBefore w:val="0"/>
        <w:kinsoku/>
        <w:wordWrap/>
        <w:overflowPunct w:val="0"/>
        <w:topLinePunct w:val="0"/>
        <w:autoSpaceDE/>
        <w:autoSpaceDN/>
        <w:bidi w:val="0"/>
        <w:adjustRightInd/>
        <w:snapToGrid w:val="0"/>
        <w:spacing w:line="560" w:lineRule="exact"/>
        <w:ind w:left="0" w:leftChars="0" w:right="396" w:rightChars="165" w:firstLine="560" w:firstLineChars="200"/>
        <w:textAlignment w:val="auto"/>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4.</w:t>
      </w:r>
      <w:r>
        <w:rPr>
          <w:rFonts w:hint="eastAsia" w:asciiTheme="minorEastAsia" w:hAnsiTheme="minorEastAsia" w:eastAsiaTheme="minorEastAsia" w:cstheme="minorEastAsia"/>
          <w:sz w:val="28"/>
          <w:szCs w:val="28"/>
          <w:lang w:val="en-US" w:eastAsia="zh-CN"/>
        </w:rPr>
        <w:t>4.4</w:t>
      </w:r>
      <w:r>
        <w:rPr>
          <w:rFonts w:hint="eastAsia" w:asciiTheme="minorEastAsia" w:hAnsiTheme="minorEastAsia" w:eastAsiaTheme="minorEastAsia" w:cstheme="minorEastAsia"/>
          <w:sz w:val="28"/>
          <w:szCs w:val="28"/>
        </w:rPr>
        <w:t xml:space="preserve"> 系统架构的设计应具有一定的超前性和良好的扩展性，系统、网络、软件结构等各个方面预留可扩展的空间，具有与多种网络协议互通的可能性，互联网系统应用适用不同网络运营商线路间的快速访问。</w:t>
      </w:r>
    </w:p>
    <w:p>
      <w:pPr>
        <w:keepLines w:val="0"/>
        <w:pageBreakBefore w:val="0"/>
        <w:kinsoku/>
        <w:wordWrap/>
        <w:overflowPunct w:val="0"/>
        <w:topLinePunct w:val="0"/>
        <w:autoSpaceDE/>
        <w:autoSpaceDN/>
        <w:bidi w:val="0"/>
        <w:adjustRightInd/>
        <w:snapToGrid w:val="0"/>
        <w:spacing w:line="560" w:lineRule="exact"/>
        <w:ind w:left="0" w:leftChars="0" w:right="396" w:rightChars="165" w:firstLine="560" w:firstLineChars="200"/>
        <w:textAlignment w:val="auto"/>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4.</w:t>
      </w:r>
      <w:r>
        <w:rPr>
          <w:rFonts w:hint="eastAsia" w:asciiTheme="minorEastAsia" w:hAnsiTheme="minorEastAsia" w:eastAsiaTheme="minorEastAsia" w:cstheme="minorEastAsia"/>
          <w:sz w:val="28"/>
          <w:szCs w:val="28"/>
          <w:lang w:val="en-US" w:eastAsia="zh-CN"/>
        </w:rPr>
        <w:t>4.5</w:t>
      </w:r>
      <w:r>
        <w:rPr>
          <w:rFonts w:hint="eastAsia" w:asciiTheme="minorEastAsia" w:hAnsiTheme="minorEastAsia" w:eastAsiaTheme="minorEastAsia" w:cstheme="minorEastAsia"/>
          <w:sz w:val="28"/>
          <w:szCs w:val="28"/>
        </w:rPr>
        <w:t>系统应当针对招标方要求的服务器、操作系统进行开发和设计，满足招标方相关标准和要求。</w:t>
      </w:r>
    </w:p>
    <w:p>
      <w:pPr>
        <w:keepLines w:val="0"/>
        <w:pageBreakBefore w:val="0"/>
        <w:kinsoku/>
        <w:wordWrap/>
        <w:overflowPunct w:val="0"/>
        <w:topLinePunct w:val="0"/>
        <w:autoSpaceDE/>
        <w:autoSpaceDN/>
        <w:bidi w:val="0"/>
        <w:adjustRightInd/>
        <w:snapToGrid w:val="0"/>
        <w:spacing w:line="560" w:lineRule="exact"/>
        <w:ind w:left="0" w:leftChars="0" w:right="396" w:rightChars="165" w:firstLine="560" w:firstLineChars="200"/>
        <w:textAlignment w:val="auto"/>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4.</w:t>
      </w:r>
      <w:r>
        <w:rPr>
          <w:rFonts w:hint="eastAsia" w:asciiTheme="minorEastAsia" w:hAnsiTheme="minorEastAsia" w:eastAsiaTheme="minorEastAsia" w:cstheme="minorEastAsia"/>
          <w:sz w:val="28"/>
          <w:szCs w:val="28"/>
          <w:lang w:val="en-US" w:eastAsia="zh-CN"/>
        </w:rPr>
        <w:t>4.6</w:t>
      </w:r>
      <w:r>
        <w:rPr>
          <w:rFonts w:hint="eastAsia" w:asciiTheme="minorEastAsia" w:hAnsiTheme="minorEastAsia" w:eastAsiaTheme="minorEastAsia" w:cstheme="minorEastAsia"/>
          <w:sz w:val="28"/>
          <w:szCs w:val="28"/>
        </w:rPr>
        <w:t xml:space="preserve"> 系统满足国家信息安全等级保护相关规范，按二级安全标准建设，符合国家能源集团、黄骅港务公司信息安全和网络安全相关要求。</w:t>
      </w:r>
    </w:p>
    <w:p>
      <w:pPr>
        <w:keepLines w:val="0"/>
        <w:pageBreakBefore w:val="0"/>
        <w:kinsoku/>
        <w:wordWrap/>
        <w:overflowPunct w:val="0"/>
        <w:topLinePunct w:val="0"/>
        <w:autoSpaceDE/>
        <w:autoSpaceDN/>
        <w:bidi w:val="0"/>
        <w:adjustRightInd/>
        <w:snapToGrid w:val="0"/>
        <w:spacing w:line="560" w:lineRule="exact"/>
        <w:ind w:left="0" w:leftChars="0" w:right="396" w:rightChars="165" w:firstLine="560" w:firstLineChars="200"/>
        <w:textAlignment w:val="auto"/>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4.</w:t>
      </w:r>
      <w:r>
        <w:rPr>
          <w:rFonts w:hint="eastAsia" w:asciiTheme="minorEastAsia" w:hAnsiTheme="minorEastAsia" w:eastAsiaTheme="minorEastAsia" w:cstheme="minorEastAsia"/>
          <w:sz w:val="28"/>
          <w:szCs w:val="28"/>
          <w:lang w:val="en-US" w:eastAsia="zh-CN"/>
        </w:rPr>
        <w:t>4.7</w:t>
      </w:r>
      <w:r>
        <w:rPr>
          <w:rFonts w:hint="eastAsia" w:asciiTheme="minorEastAsia" w:hAnsiTheme="minorEastAsia" w:eastAsiaTheme="minorEastAsia" w:cstheme="minorEastAsia"/>
          <w:sz w:val="28"/>
          <w:szCs w:val="28"/>
        </w:rPr>
        <w:t>系统在各自层面采用不同维度进行系统保护。以安全加密体系为基石，基础系统各子系统进行签名校验和信息传递保护，构建系统整体的安全体系，为系统安全提供全方位保护。系统关键数据定期备份，后端关键数据和配置采用高强度加密算法保护，并进行访问控制管理。对系统关键服务进行可用性监控，确保服务的持续性和安全性。系统支持通过HTTPS协议对传输的数据进行安全加密保护。</w:t>
      </w:r>
    </w:p>
    <w:p>
      <w:pPr>
        <w:keepLines w:val="0"/>
        <w:pageBreakBefore w:val="0"/>
        <w:kinsoku/>
        <w:wordWrap/>
        <w:overflowPunct w:val="0"/>
        <w:topLinePunct w:val="0"/>
        <w:autoSpaceDE/>
        <w:autoSpaceDN/>
        <w:bidi w:val="0"/>
        <w:adjustRightInd/>
        <w:snapToGrid w:val="0"/>
        <w:spacing w:line="560" w:lineRule="exact"/>
        <w:ind w:left="0" w:leftChars="0" w:right="396" w:rightChars="165" w:firstLine="560" w:firstLineChars="200"/>
        <w:textAlignment w:val="auto"/>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4.</w:t>
      </w:r>
      <w:r>
        <w:rPr>
          <w:rFonts w:hint="eastAsia" w:asciiTheme="minorEastAsia" w:hAnsiTheme="minorEastAsia" w:eastAsiaTheme="minorEastAsia" w:cstheme="minorEastAsia"/>
          <w:sz w:val="28"/>
          <w:szCs w:val="28"/>
          <w:lang w:val="en-US" w:eastAsia="zh-CN"/>
        </w:rPr>
        <w:t>4.8</w:t>
      </w:r>
      <w:r>
        <w:rPr>
          <w:rFonts w:hint="eastAsia" w:asciiTheme="minorEastAsia" w:hAnsiTheme="minorEastAsia" w:eastAsiaTheme="minorEastAsia" w:cstheme="minorEastAsia"/>
          <w:sz w:val="28"/>
          <w:szCs w:val="28"/>
        </w:rPr>
        <w:t>手机端APP应用采用身份认证、终端管理、数据安全管理措施，有效保障手机应用运行安全。</w:t>
      </w:r>
    </w:p>
    <w:p>
      <w:pPr>
        <w:keepLines w:val="0"/>
        <w:pageBreakBefore w:val="0"/>
        <w:kinsoku/>
        <w:wordWrap/>
        <w:overflowPunct w:val="0"/>
        <w:topLinePunct w:val="0"/>
        <w:autoSpaceDE/>
        <w:autoSpaceDN/>
        <w:bidi w:val="0"/>
        <w:adjustRightInd/>
        <w:snapToGrid w:val="0"/>
        <w:spacing w:line="560" w:lineRule="exact"/>
        <w:ind w:left="0" w:leftChars="0" w:right="396" w:rightChars="165"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4.</w:t>
      </w:r>
      <w:r>
        <w:rPr>
          <w:rFonts w:hint="eastAsia" w:asciiTheme="minorEastAsia" w:hAnsiTheme="minorEastAsia" w:eastAsiaTheme="minorEastAsia" w:cstheme="minorEastAsia"/>
          <w:sz w:val="28"/>
          <w:szCs w:val="28"/>
          <w:lang w:val="en-US" w:eastAsia="zh-CN"/>
        </w:rPr>
        <w:t>4.9</w:t>
      </w:r>
      <w:r>
        <w:rPr>
          <w:rFonts w:hint="eastAsia" w:asciiTheme="minorEastAsia" w:hAnsiTheme="minorEastAsia" w:eastAsiaTheme="minorEastAsia" w:cstheme="minorEastAsia"/>
          <w:sz w:val="28"/>
          <w:szCs w:val="28"/>
        </w:rPr>
        <w:t>系统应满足7×24小时运行稳定可靠，系统每年累计故障时间不得超过4小时。</w:t>
      </w:r>
    </w:p>
    <w:p>
      <w:pPr>
        <w:keepLines w:val="0"/>
        <w:pageBreakBefore w:val="0"/>
        <w:kinsoku/>
        <w:wordWrap/>
        <w:overflowPunct w:val="0"/>
        <w:topLinePunct w:val="0"/>
        <w:autoSpaceDE/>
        <w:autoSpaceDN/>
        <w:bidi w:val="0"/>
        <w:adjustRightInd/>
        <w:snapToGrid w:val="0"/>
        <w:spacing w:line="560" w:lineRule="exact"/>
        <w:ind w:left="0" w:leftChars="0" w:right="396" w:rightChars="165"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4.</w:t>
      </w:r>
      <w:r>
        <w:rPr>
          <w:rFonts w:hint="eastAsia" w:asciiTheme="minorEastAsia" w:hAnsiTheme="minorEastAsia" w:eastAsiaTheme="minorEastAsia" w:cstheme="minorEastAsia"/>
          <w:sz w:val="28"/>
          <w:szCs w:val="28"/>
          <w:lang w:val="en-US" w:eastAsia="zh-CN"/>
        </w:rPr>
        <w:t>4.10</w:t>
      </w:r>
      <w:r>
        <w:rPr>
          <w:rFonts w:hint="eastAsia" w:asciiTheme="minorEastAsia" w:hAnsiTheme="minorEastAsia" w:eastAsiaTheme="minorEastAsia" w:cstheme="minorEastAsia"/>
          <w:sz w:val="28"/>
          <w:szCs w:val="28"/>
        </w:rPr>
        <w:t>系统</w:t>
      </w:r>
      <w:r>
        <w:rPr>
          <w:rFonts w:hint="eastAsia" w:asciiTheme="minorEastAsia" w:hAnsiTheme="minorEastAsia" w:eastAsiaTheme="minorEastAsia" w:cstheme="minorEastAsia"/>
          <w:sz w:val="28"/>
          <w:szCs w:val="28"/>
          <w:lang w:val="en-US" w:eastAsia="zh-CN"/>
        </w:rPr>
        <w:t>应设置预警机制，</w:t>
      </w:r>
      <w:r>
        <w:rPr>
          <w:rFonts w:hint="eastAsia" w:asciiTheme="minorEastAsia" w:hAnsiTheme="minorEastAsia" w:eastAsiaTheme="minorEastAsia" w:cstheme="minorEastAsia"/>
          <w:sz w:val="28"/>
          <w:szCs w:val="28"/>
        </w:rPr>
        <w:t>针对船舶证书、船舶物品、船员证书、天气预警、公司车辆、公司资质、公司合同等基础信息进行预警信息设置，当达到系统配置的阈值后，系统能以系统提醒、短信等多种形式及时发送预警信息。</w:t>
      </w:r>
    </w:p>
    <w:p>
      <w:pPr>
        <w:keepLines w:val="0"/>
        <w:pageBreakBefore w:val="0"/>
        <w:kinsoku/>
        <w:wordWrap/>
        <w:overflowPunct w:val="0"/>
        <w:topLinePunct w:val="0"/>
        <w:autoSpaceDE/>
        <w:autoSpaceDN/>
        <w:bidi w:val="0"/>
        <w:adjustRightInd/>
        <w:snapToGrid w:val="0"/>
        <w:spacing w:line="560" w:lineRule="exact"/>
        <w:ind w:left="0" w:leftChars="0" w:right="396" w:rightChars="165"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4.4.11</w:t>
      </w:r>
      <w:r>
        <w:rPr>
          <w:rFonts w:hint="eastAsia" w:asciiTheme="minorEastAsia" w:hAnsiTheme="minorEastAsia" w:eastAsiaTheme="minorEastAsia" w:cstheme="minorEastAsia"/>
          <w:sz w:val="28"/>
          <w:szCs w:val="28"/>
        </w:rPr>
        <w:t>投标方负责对招标方系统使用人员（用户）进行全面技术培训。培训工作自系统上线前一个月开始，投标方负责编制培训方案并经招标方同意。</w:t>
      </w:r>
      <w:bookmarkStart w:id="3" w:name="_Toc10980"/>
      <w:bookmarkStart w:id="4" w:name="_Toc28022"/>
      <w:bookmarkStart w:id="5" w:name="_Toc30486"/>
      <w:bookmarkStart w:id="6" w:name="_Toc20395"/>
      <w:bookmarkStart w:id="7" w:name="_Toc23981"/>
      <w:bookmarkStart w:id="8" w:name="_Toc5062"/>
      <w:r>
        <w:rPr>
          <w:rFonts w:hint="eastAsia" w:asciiTheme="minorEastAsia" w:hAnsiTheme="minorEastAsia" w:eastAsiaTheme="minorEastAsia" w:cstheme="minorEastAsia"/>
          <w:sz w:val="28"/>
          <w:szCs w:val="28"/>
        </w:rPr>
        <w:t>培训内容</w:t>
      </w:r>
      <w:bookmarkEnd w:id="3"/>
      <w:bookmarkEnd w:id="4"/>
      <w:bookmarkEnd w:id="5"/>
      <w:bookmarkEnd w:id="6"/>
      <w:bookmarkEnd w:id="7"/>
      <w:bookmarkEnd w:id="8"/>
      <w:r>
        <w:rPr>
          <w:rFonts w:hint="eastAsia" w:asciiTheme="minorEastAsia" w:hAnsiTheme="minorEastAsia" w:eastAsiaTheme="minorEastAsia" w:cstheme="minorEastAsia"/>
          <w:sz w:val="28"/>
          <w:szCs w:val="28"/>
        </w:rPr>
        <w:t>包括系统模块功能、安装、配置、诊断、管理、维护等方面的使用和技术培训，要求使用户掌握所有产品的使用、维护和管理，以保障船舶安全管理系统能够平稳、安全地运行。</w:t>
      </w:r>
    </w:p>
    <w:p>
      <w:pPr>
        <w:pStyle w:val="2"/>
        <w:keepLines w:val="0"/>
        <w:pageBreakBefore w:val="0"/>
        <w:kinsoku/>
        <w:wordWrap/>
        <w:topLinePunct w:val="0"/>
        <w:autoSpaceDE/>
        <w:autoSpaceDN/>
        <w:bidi w:val="0"/>
        <w:adjustRightInd/>
        <w:spacing w:line="560" w:lineRule="exact"/>
        <w:ind w:left="0" w:leftChars="0" w:firstLine="562" w:firstLineChars="200"/>
        <w:jc w:val="both"/>
        <w:textAlignment w:val="auto"/>
        <w:rPr>
          <w:rFonts w:asciiTheme="minorEastAsia" w:hAnsiTheme="minorEastAsia" w:eastAsiaTheme="minorEastAsia" w:cstheme="minorEastAsia"/>
          <w:b/>
          <w:szCs w:val="28"/>
        </w:rPr>
      </w:pPr>
      <w:r>
        <w:rPr>
          <w:rFonts w:hint="eastAsia" w:asciiTheme="minorEastAsia" w:hAnsiTheme="minorEastAsia" w:eastAsiaTheme="minorEastAsia" w:cstheme="minorEastAsia"/>
          <w:b/>
          <w:szCs w:val="28"/>
          <w:lang w:val="en-US" w:eastAsia="zh-CN"/>
        </w:rPr>
        <w:t>5</w:t>
      </w:r>
      <w:r>
        <w:rPr>
          <w:rFonts w:hint="eastAsia" w:asciiTheme="minorEastAsia" w:hAnsiTheme="minorEastAsia" w:eastAsiaTheme="minorEastAsia" w:cstheme="minorEastAsia"/>
          <w:b/>
          <w:szCs w:val="28"/>
        </w:rPr>
        <w:t xml:space="preserve">  验收</w:t>
      </w:r>
    </w:p>
    <w:p>
      <w:pPr>
        <w:keepLines w:val="0"/>
        <w:pageBreakBefore w:val="0"/>
        <w:kinsoku/>
        <w:wordWrap/>
        <w:overflowPunct w:val="0"/>
        <w:topLinePunct w:val="0"/>
        <w:autoSpaceDE/>
        <w:autoSpaceDN/>
        <w:bidi w:val="0"/>
        <w:adjustRightInd/>
        <w:snapToGrid w:val="0"/>
        <w:spacing w:line="560" w:lineRule="exact"/>
        <w:ind w:left="0" w:leftChars="0" w:right="396" w:rightChars="165" w:firstLine="560" w:firstLineChars="200"/>
        <w:textAlignment w:val="auto"/>
        <w:rPr>
          <w:color w:val="000000"/>
          <w:sz w:val="28"/>
          <w:szCs w:val="28"/>
        </w:rPr>
      </w:pPr>
      <w:r>
        <w:rPr>
          <w:rFonts w:hint="eastAsia" w:asciiTheme="minorEastAsia" w:hAnsiTheme="minorEastAsia" w:eastAsiaTheme="minorEastAsia" w:cstheme="minorEastAsia"/>
          <w:sz w:val="28"/>
          <w:szCs w:val="28"/>
          <w:lang w:val="en-US" w:eastAsia="zh-CN"/>
        </w:rPr>
        <w:t>5</w:t>
      </w:r>
      <w:r>
        <w:rPr>
          <w:rFonts w:hint="eastAsia" w:asciiTheme="minorEastAsia" w:hAnsiTheme="minorEastAsia" w:eastAsiaTheme="minorEastAsia" w:cstheme="minorEastAsia"/>
          <w:sz w:val="28"/>
          <w:szCs w:val="28"/>
        </w:rPr>
        <w:t>.1 验收：</w:t>
      </w:r>
      <w:r>
        <w:rPr>
          <w:rFonts w:hint="eastAsia"/>
          <w:color w:val="000000"/>
          <w:sz w:val="28"/>
          <w:szCs w:val="28"/>
        </w:rPr>
        <w:t>依据招标文件、投标文件等规定进行验收。</w:t>
      </w:r>
    </w:p>
    <w:p>
      <w:pPr>
        <w:keepLines w:val="0"/>
        <w:pageBreakBefore w:val="0"/>
        <w:kinsoku/>
        <w:wordWrap/>
        <w:overflowPunct w:val="0"/>
        <w:topLinePunct w:val="0"/>
        <w:autoSpaceDE/>
        <w:autoSpaceDN/>
        <w:bidi w:val="0"/>
        <w:adjustRightInd/>
        <w:snapToGrid w:val="0"/>
        <w:spacing w:line="560" w:lineRule="exact"/>
        <w:ind w:left="0" w:leftChars="0" w:right="396" w:rightChars="165"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5</w:t>
      </w:r>
      <w:r>
        <w:rPr>
          <w:rFonts w:hint="eastAsia" w:asciiTheme="minorEastAsia" w:hAnsiTheme="minorEastAsia" w:eastAsiaTheme="minorEastAsia" w:cstheme="minorEastAsia"/>
          <w:sz w:val="28"/>
          <w:szCs w:val="28"/>
        </w:rPr>
        <w:t>.2 验收标准：</w:t>
      </w:r>
    </w:p>
    <w:p>
      <w:pPr>
        <w:keepLines w:val="0"/>
        <w:pageBreakBefore w:val="0"/>
        <w:kinsoku/>
        <w:wordWrap/>
        <w:overflowPunct w:val="0"/>
        <w:topLinePunct w:val="0"/>
        <w:autoSpaceDE/>
        <w:autoSpaceDN/>
        <w:bidi w:val="0"/>
        <w:adjustRightInd/>
        <w:snapToGrid w:val="0"/>
        <w:spacing w:line="560" w:lineRule="exact"/>
        <w:ind w:left="0" w:leftChars="0" w:right="396" w:rightChars="165"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污染清除作业方案</w:t>
      </w:r>
      <w:r>
        <w:rPr>
          <w:rFonts w:hint="eastAsia" w:asciiTheme="minorEastAsia" w:hAnsiTheme="minorEastAsia" w:eastAsiaTheme="minorEastAsia" w:cstheme="minorEastAsia"/>
          <w:sz w:val="28"/>
          <w:szCs w:val="28"/>
          <w:lang w:eastAsia="zh-CN"/>
        </w:rPr>
        <w:t>和</w:t>
      </w:r>
      <w:r>
        <w:rPr>
          <w:rFonts w:hint="eastAsia" w:asciiTheme="minorEastAsia" w:hAnsiTheme="minorEastAsia" w:eastAsiaTheme="minorEastAsia" w:cstheme="minorEastAsia"/>
          <w:sz w:val="28"/>
          <w:szCs w:val="28"/>
        </w:rPr>
        <w:t>污染物处理方案与技术规格书和投标书技术要求一致，并符合</w:t>
      </w:r>
      <w:r>
        <w:rPr>
          <w:rFonts w:hint="eastAsia" w:asciiTheme="minorEastAsia" w:hAnsiTheme="minorEastAsia" w:eastAsiaTheme="minorEastAsia" w:cstheme="minorEastAsia"/>
          <w:sz w:val="28"/>
          <w:szCs w:val="28"/>
          <w:lang w:eastAsia="zh-CN"/>
        </w:rPr>
        <w:t>国家</w:t>
      </w:r>
      <w:r>
        <w:rPr>
          <w:rFonts w:hint="eastAsia" w:asciiTheme="minorEastAsia" w:hAnsiTheme="minorEastAsia" w:eastAsiaTheme="minorEastAsia" w:cstheme="minorEastAsia"/>
          <w:sz w:val="28"/>
          <w:szCs w:val="28"/>
        </w:rPr>
        <w:t>相关技术规范和技术标准</w:t>
      </w:r>
      <w:r>
        <w:rPr>
          <w:rFonts w:hint="eastAsia" w:asciiTheme="minorEastAsia" w:hAnsiTheme="minorEastAsia" w:eastAsiaTheme="minorEastAsia" w:cstheme="minorEastAsia"/>
          <w:sz w:val="28"/>
          <w:szCs w:val="28"/>
          <w:lang w:eastAsia="zh-CN"/>
        </w:rPr>
        <w:t>，并通过海事部门的</w:t>
      </w:r>
      <w:r>
        <w:rPr>
          <w:rFonts w:hint="eastAsia" w:asciiTheme="minorEastAsia" w:hAnsiTheme="minorEastAsia" w:eastAsiaTheme="minorEastAsia" w:cstheme="minorEastAsia"/>
          <w:sz w:val="28"/>
          <w:szCs w:val="28"/>
          <w:lang w:val="en-US" w:eastAsia="zh-CN"/>
        </w:rPr>
        <w:t>审核</w:t>
      </w:r>
      <w:r>
        <w:rPr>
          <w:rFonts w:hint="eastAsia" w:asciiTheme="minorEastAsia" w:hAnsiTheme="minorEastAsia" w:eastAsiaTheme="minorEastAsia" w:cstheme="minorEastAsia"/>
          <w:sz w:val="28"/>
          <w:szCs w:val="28"/>
          <w:lang w:eastAsia="zh-CN"/>
        </w:rPr>
        <w:t>。</w:t>
      </w:r>
    </w:p>
    <w:p>
      <w:pPr>
        <w:keepLines w:val="0"/>
        <w:pageBreakBefore w:val="0"/>
        <w:kinsoku/>
        <w:wordWrap/>
        <w:overflowPunct w:val="0"/>
        <w:topLinePunct w:val="0"/>
        <w:autoSpaceDE/>
        <w:autoSpaceDN/>
        <w:bidi w:val="0"/>
        <w:adjustRightInd/>
        <w:snapToGrid w:val="0"/>
        <w:spacing w:line="560" w:lineRule="exact"/>
        <w:ind w:left="0" w:leftChars="0" w:right="396" w:rightChars="165" w:firstLine="560" w:firstLineChars="200"/>
        <w:textAlignment w:val="auto"/>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eastAsia="zh-CN"/>
        </w:rPr>
        <w:t>安全管理体系</w:t>
      </w:r>
      <w:r>
        <w:rPr>
          <w:rFonts w:hint="eastAsia" w:asciiTheme="minorEastAsia" w:hAnsiTheme="minorEastAsia" w:eastAsiaTheme="minorEastAsia" w:cstheme="minorEastAsia"/>
          <w:sz w:val="28"/>
          <w:szCs w:val="28"/>
        </w:rPr>
        <w:t>与技术规格书和投标书技术要求一致，并符合中国海事局和CCS相关技术规范、国家有关技术规范和技术标准。</w:t>
      </w:r>
    </w:p>
    <w:p>
      <w:pPr>
        <w:keepLines w:val="0"/>
        <w:pageBreakBefore w:val="0"/>
        <w:kinsoku/>
        <w:wordWrap/>
        <w:overflowPunct w:val="0"/>
        <w:topLinePunct w:val="0"/>
        <w:autoSpaceDE/>
        <w:autoSpaceDN/>
        <w:bidi w:val="0"/>
        <w:adjustRightInd/>
        <w:snapToGrid w:val="0"/>
        <w:spacing w:line="560" w:lineRule="exact"/>
        <w:ind w:left="0" w:leftChars="0" w:right="396" w:rightChars="165" w:firstLine="560" w:firstLineChars="200"/>
        <w:textAlignment w:val="auto"/>
        <w:rPr>
          <w:color w:val="000000"/>
          <w:sz w:val="28"/>
          <w:szCs w:val="28"/>
        </w:rPr>
      </w:pPr>
      <w:r>
        <w:rPr>
          <w:rFonts w:hint="eastAsia" w:asciiTheme="minorEastAsia" w:hAnsiTheme="minorEastAsia" w:eastAsiaTheme="minorEastAsia" w:cstheme="minorEastAsia"/>
          <w:sz w:val="28"/>
          <w:szCs w:val="28"/>
          <w:lang w:val="en-US" w:eastAsia="zh-CN"/>
        </w:rPr>
        <w:t>5</w:t>
      </w:r>
      <w:r>
        <w:rPr>
          <w:rFonts w:hint="eastAsia" w:asciiTheme="minorEastAsia" w:hAnsiTheme="minorEastAsia" w:eastAsiaTheme="minorEastAsia" w:cstheme="minorEastAsia"/>
          <w:sz w:val="28"/>
          <w:szCs w:val="28"/>
        </w:rPr>
        <w:t>.3 项目验收时，投标方应提供资料：完工验收单、项目完工报告、</w:t>
      </w:r>
      <w:r>
        <w:rPr>
          <w:rFonts w:hint="eastAsia"/>
          <w:color w:val="000000"/>
          <w:sz w:val="28"/>
          <w:szCs w:val="28"/>
        </w:rPr>
        <w:t>项目整体效果评价报告。</w:t>
      </w:r>
    </w:p>
    <w:p>
      <w:pPr>
        <w:keepLines w:val="0"/>
        <w:pageBreakBefore w:val="0"/>
        <w:kinsoku/>
        <w:wordWrap/>
        <w:overflowPunct w:val="0"/>
        <w:topLinePunct w:val="0"/>
        <w:autoSpaceDE/>
        <w:autoSpaceDN/>
        <w:bidi w:val="0"/>
        <w:adjustRightInd/>
        <w:snapToGrid w:val="0"/>
        <w:spacing w:line="560" w:lineRule="exact"/>
        <w:ind w:left="0" w:leftChars="0" w:right="396" w:rightChars="165" w:firstLine="560" w:firstLineChars="200"/>
        <w:textAlignment w:val="auto"/>
        <w:rPr>
          <w:color w:val="000000"/>
          <w:sz w:val="28"/>
          <w:szCs w:val="28"/>
        </w:rPr>
      </w:pPr>
      <w:r>
        <w:rPr>
          <w:rFonts w:hint="eastAsia" w:asciiTheme="minorEastAsia" w:hAnsiTheme="minorEastAsia" w:eastAsiaTheme="minorEastAsia" w:cstheme="minorEastAsia"/>
          <w:sz w:val="28"/>
          <w:szCs w:val="28"/>
          <w:lang w:val="en-US" w:eastAsia="zh-CN"/>
        </w:rPr>
        <w:t>5</w:t>
      </w:r>
      <w:r>
        <w:rPr>
          <w:rFonts w:hint="eastAsia" w:asciiTheme="minorEastAsia" w:hAnsiTheme="minorEastAsia" w:eastAsiaTheme="minorEastAsia" w:cstheme="minorEastAsia"/>
          <w:sz w:val="28"/>
          <w:szCs w:val="28"/>
        </w:rPr>
        <w:t>.4 审核发证机构向招标方公司签发“符合证明”、向体系内船舶签发“安全管理证书”之日起</w:t>
      </w:r>
      <w:r>
        <w:rPr>
          <w:rFonts w:hint="eastAsia" w:eastAsiaTheme="minorEastAsia"/>
          <w:color w:val="000000"/>
          <w:sz w:val="28"/>
          <w:szCs w:val="28"/>
        </w:rPr>
        <w:t>15</w:t>
      </w:r>
      <w:r>
        <w:rPr>
          <w:rFonts w:hint="eastAsia"/>
          <w:color w:val="000000"/>
          <w:sz w:val="28"/>
          <w:szCs w:val="28"/>
        </w:rPr>
        <w:t>日内，由招标方组织验收。</w:t>
      </w:r>
    </w:p>
    <w:p>
      <w:pPr>
        <w:keepLines w:val="0"/>
        <w:pageBreakBefore w:val="0"/>
        <w:kinsoku/>
        <w:wordWrap/>
        <w:overflowPunct w:val="0"/>
        <w:topLinePunct w:val="0"/>
        <w:autoSpaceDE/>
        <w:autoSpaceDN/>
        <w:bidi w:val="0"/>
        <w:adjustRightInd/>
        <w:snapToGrid w:val="0"/>
        <w:spacing w:line="560" w:lineRule="exact"/>
        <w:ind w:left="0" w:leftChars="0" w:right="396" w:rightChars="165" w:firstLine="560" w:firstLineChars="200"/>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val="en-US" w:eastAsia="zh-CN"/>
        </w:rPr>
        <w:t>5</w:t>
      </w:r>
      <w:r>
        <w:rPr>
          <w:rFonts w:hint="eastAsia" w:asciiTheme="minorEastAsia" w:hAnsiTheme="minorEastAsia" w:eastAsiaTheme="minorEastAsia" w:cstheme="minorEastAsia"/>
          <w:sz w:val="28"/>
          <w:szCs w:val="28"/>
        </w:rPr>
        <w:t>.5 初审取证申请至</w:t>
      </w:r>
      <w:r>
        <w:rPr>
          <w:rFonts w:hint="eastAsia" w:asciiTheme="minorEastAsia" w:hAnsiTheme="minorEastAsia" w:eastAsiaTheme="minorEastAsia" w:cstheme="minorEastAsia"/>
          <w:sz w:val="28"/>
          <w:szCs w:val="28"/>
          <w:lang w:val="en-US" w:eastAsia="zh-CN"/>
        </w:rPr>
        <w:t>保质期结束</w:t>
      </w:r>
      <w:r>
        <w:rPr>
          <w:rFonts w:hint="eastAsia" w:asciiTheme="minorEastAsia" w:hAnsiTheme="minorEastAsia" w:eastAsiaTheme="minorEastAsia" w:cstheme="minorEastAsia"/>
          <w:sz w:val="28"/>
          <w:szCs w:val="28"/>
        </w:rPr>
        <w:t>期间，投标方负责代表招标方与审核机构进行接洽</w:t>
      </w:r>
      <w:r>
        <w:rPr>
          <w:rFonts w:hint="eastAsia" w:asciiTheme="minorEastAsia" w:hAnsiTheme="minorEastAsia" w:eastAsiaTheme="minorEastAsia" w:cstheme="minorEastAsia"/>
          <w:sz w:val="28"/>
          <w:szCs w:val="28"/>
          <w:lang w:eastAsia="zh-CN"/>
        </w:rPr>
        <w:t>。</w:t>
      </w:r>
    </w:p>
    <w:p>
      <w:pPr>
        <w:keepLines w:val="0"/>
        <w:pageBreakBefore w:val="0"/>
        <w:kinsoku/>
        <w:wordWrap/>
        <w:overflowPunct w:val="0"/>
        <w:topLinePunct w:val="0"/>
        <w:autoSpaceDE/>
        <w:autoSpaceDN/>
        <w:bidi w:val="0"/>
        <w:adjustRightInd/>
        <w:snapToGrid w:val="0"/>
        <w:spacing w:line="560" w:lineRule="exact"/>
        <w:ind w:left="0" w:leftChars="0" w:right="396" w:rightChars="165"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5.6投标人负责合同执行期间的一切费用，</w:t>
      </w:r>
      <w:r>
        <w:rPr>
          <w:rFonts w:hint="eastAsia" w:asciiTheme="minorEastAsia" w:hAnsiTheme="minorEastAsia" w:eastAsiaTheme="minorEastAsia" w:cstheme="minorEastAsia"/>
          <w:sz w:val="28"/>
          <w:szCs w:val="28"/>
        </w:rPr>
        <w:t>包括但不限于提交审核申请、组织现场评审、整改问题复核等，审核机构所需的专家费、评审费、交通费、住宿费等全部费用均已包含在合同总价内。</w:t>
      </w:r>
    </w:p>
    <w:p>
      <w:pPr>
        <w:pStyle w:val="2"/>
        <w:keepLines w:val="0"/>
        <w:pageBreakBefore w:val="0"/>
        <w:kinsoku/>
        <w:wordWrap/>
        <w:topLinePunct w:val="0"/>
        <w:autoSpaceDE/>
        <w:autoSpaceDN/>
        <w:bidi w:val="0"/>
        <w:adjustRightInd/>
        <w:spacing w:line="560" w:lineRule="exact"/>
        <w:ind w:left="0" w:leftChars="0" w:firstLine="562" w:firstLineChars="200"/>
        <w:jc w:val="both"/>
        <w:textAlignment w:val="auto"/>
        <w:rPr>
          <w:rFonts w:hint="eastAsia" w:asciiTheme="minorEastAsia" w:hAnsiTheme="minorEastAsia" w:eastAsiaTheme="minorEastAsia" w:cstheme="minorEastAsia"/>
          <w:b/>
          <w:szCs w:val="28"/>
          <w:lang w:val="en-US" w:eastAsia="zh-CN"/>
        </w:rPr>
      </w:pPr>
      <w:r>
        <w:rPr>
          <w:rFonts w:hint="eastAsia" w:asciiTheme="minorEastAsia" w:hAnsiTheme="minorEastAsia" w:eastAsiaTheme="minorEastAsia" w:cstheme="minorEastAsia"/>
          <w:b/>
          <w:szCs w:val="28"/>
          <w:lang w:val="en-US" w:eastAsia="zh-CN"/>
        </w:rPr>
        <w:t>6  质保</w:t>
      </w:r>
    </w:p>
    <w:p>
      <w:pPr>
        <w:keepLines w:val="0"/>
        <w:pageBreakBefore w:val="0"/>
        <w:kinsoku/>
        <w:wordWrap/>
        <w:overflowPunct w:val="0"/>
        <w:topLinePunct w:val="0"/>
        <w:autoSpaceDE/>
        <w:autoSpaceDN/>
        <w:bidi w:val="0"/>
        <w:adjustRightInd/>
        <w:snapToGrid w:val="0"/>
        <w:spacing w:line="560" w:lineRule="exact"/>
        <w:ind w:left="0" w:leftChars="0" w:right="396" w:rightChars="165" w:firstLine="560" w:firstLineChars="200"/>
        <w:textAlignment w:val="auto"/>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lang w:val="en-US" w:eastAsia="zh-CN"/>
        </w:rPr>
        <w:t>系统和体系</w:t>
      </w:r>
      <w:r>
        <w:rPr>
          <w:rFonts w:hint="eastAsia" w:asciiTheme="minorEastAsia" w:hAnsiTheme="minorEastAsia" w:eastAsiaTheme="minorEastAsia" w:cstheme="minorEastAsia"/>
          <w:sz w:val="28"/>
          <w:szCs w:val="28"/>
          <w:highlight w:val="none"/>
        </w:rPr>
        <w:t>质保自验收合格后开始计算，质保期为</w:t>
      </w:r>
      <w:r>
        <w:rPr>
          <w:rFonts w:hint="eastAsia" w:asciiTheme="minorEastAsia" w:hAnsiTheme="minorEastAsia" w:eastAsiaTheme="minorEastAsia" w:cstheme="minorEastAsia"/>
          <w:sz w:val="28"/>
          <w:szCs w:val="28"/>
          <w:highlight w:val="none"/>
          <w:lang w:val="en-US" w:eastAsia="zh-CN"/>
        </w:rPr>
        <w:t>12</w:t>
      </w:r>
      <w:r>
        <w:rPr>
          <w:rFonts w:hint="eastAsia" w:asciiTheme="minorEastAsia" w:hAnsiTheme="minorEastAsia" w:eastAsiaTheme="minorEastAsia" w:cstheme="minorEastAsia"/>
          <w:sz w:val="28"/>
          <w:szCs w:val="28"/>
          <w:highlight w:val="none"/>
        </w:rPr>
        <w:t>个月。设备商制定系统的定期维护计划。对招标方要求的不定期维护提出响应措施。实施系统维护或修改设计后，应在一周内更新有关技术文档并提交用户。提供系统终身免费升级并确保升级后保留原来数据。提供7×24小时的线上技术咨询服务，对系统故障提供7×24小时的现场支援。</w:t>
      </w:r>
    </w:p>
    <w:p>
      <w:pPr>
        <w:keepLines w:val="0"/>
        <w:pageBreakBefore w:val="0"/>
        <w:kinsoku/>
        <w:wordWrap/>
        <w:overflowPunct w:val="0"/>
        <w:topLinePunct w:val="0"/>
        <w:autoSpaceDE/>
        <w:autoSpaceDN/>
        <w:bidi w:val="0"/>
        <w:adjustRightInd/>
        <w:snapToGrid w:val="0"/>
        <w:spacing w:line="560" w:lineRule="exact"/>
        <w:ind w:left="0" w:leftChars="0" w:right="396" w:rightChars="165" w:firstLine="560" w:firstLineChars="200"/>
        <w:textAlignment w:val="auto"/>
        <w:rPr>
          <w:rFonts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br w:type="page"/>
      </w:r>
    </w:p>
    <w:p>
      <w:pPr>
        <w:keepLines w:val="0"/>
        <w:pageBreakBefore w:val="0"/>
        <w:kinsoku/>
        <w:wordWrap/>
        <w:overflowPunct w:val="0"/>
        <w:topLinePunct w:val="0"/>
        <w:autoSpaceDE/>
        <w:autoSpaceDN/>
        <w:bidi w:val="0"/>
        <w:adjustRightInd/>
        <w:snapToGrid w:val="0"/>
        <w:spacing w:line="560" w:lineRule="exact"/>
        <w:ind w:left="0" w:leftChars="0" w:right="396" w:rightChars="165" w:firstLine="560" w:firstLineChars="200"/>
        <w:textAlignment w:val="auto"/>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附件：供货范围及清单（包括但不限于）</w:t>
      </w:r>
    </w:p>
    <w:tbl>
      <w:tblPr>
        <w:tblStyle w:val="8"/>
        <w:tblW w:w="8600" w:type="dxa"/>
        <w:tblInd w:w="78" w:type="dxa"/>
        <w:tblLayout w:type="fixed"/>
        <w:tblCellMar>
          <w:top w:w="0" w:type="dxa"/>
          <w:left w:w="108" w:type="dxa"/>
          <w:bottom w:w="0" w:type="dxa"/>
          <w:right w:w="108" w:type="dxa"/>
        </w:tblCellMar>
      </w:tblPr>
      <w:tblGrid>
        <w:gridCol w:w="973"/>
        <w:gridCol w:w="3579"/>
        <w:gridCol w:w="1061"/>
        <w:gridCol w:w="888"/>
        <w:gridCol w:w="2099"/>
      </w:tblGrid>
      <w:tr>
        <w:tblPrEx>
          <w:tblLayout w:type="fixed"/>
          <w:tblCellMar>
            <w:top w:w="0" w:type="dxa"/>
            <w:left w:w="108" w:type="dxa"/>
            <w:bottom w:w="0" w:type="dxa"/>
            <w:right w:w="108" w:type="dxa"/>
          </w:tblCellMar>
        </w:tblPrEx>
        <w:trPr>
          <w:trHeight w:val="547" w:hRule="atLeast"/>
        </w:trPr>
        <w:tc>
          <w:tcPr>
            <w:tcW w:w="973" w:type="dxa"/>
            <w:tcBorders>
              <w:top w:val="single" w:color="auto" w:sz="6" w:space="0"/>
              <w:left w:val="single" w:color="auto" w:sz="6" w:space="0"/>
              <w:bottom w:val="single" w:color="auto" w:sz="6" w:space="0"/>
              <w:right w:val="single" w:color="auto" w:sz="6" w:space="0"/>
              <w:tl2br w:val="nil"/>
              <w:tr2bl w:val="nil"/>
            </w:tcBorders>
            <w:vAlign w:val="center"/>
          </w:tcPr>
          <w:p>
            <w:pPr>
              <w:keepLines w:val="0"/>
              <w:pageBreakBefore w:val="0"/>
              <w:kinsoku/>
              <w:wordWrap/>
              <w:topLinePunct w:val="0"/>
              <w:autoSpaceDE/>
              <w:autoSpaceDN/>
              <w:bidi w:val="0"/>
              <w:adjustRightInd/>
              <w:spacing w:line="560" w:lineRule="exact"/>
              <w:ind w:left="0" w:leftChars="0"/>
              <w:jc w:val="center"/>
              <w:textAlignment w:val="auto"/>
              <w:rPr>
                <w:rFonts w:ascii="宋体" w:hAnsi="宋体"/>
                <w:b/>
                <w:color w:val="000000"/>
                <w:sz w:val="22"/>
              </w:rPr>
            </w:pPr>
            <w:r>
              <w:rPr>
                <w:rFonts w:hint="eastAsia" w:ascii="宋体" w:hAnsi="宋体"/>
                <w:b/>
                <w:color w:val="000000"/>
                <w:sz w:val="22"/>
              </w:rPr>
              <w:t>序号</w:t>
            </w:r>
          </w:p>
        </w:tc>
        <w:tc>
          <w:tcPr>
            <w:tcW w:w="3579" w:type="dxa"/>
            <w:tcBorders>
              <w:top w:val="single" w:color="auto" w:sz="6" w:space="0"/>
              <w:left w:val="single" w:color="auto" w:sz="6" w:space="0"/>
              <w:bottom w:val="single" w:color="auto" w:sz="6" w:space="0"/>
              <w:right w:val="single" w:color="auto" w:sz="6" w:space="0"/>
              <w:tl2br w:val="nil"/>
              <w:tr2bl w:val="nil"/>
            </w:tcBorders>
            <w:vAlign w:val="center"/>
          </w:tcPr>
          <w:p>
            <w:pPr>
              <w:keepLines w:val="0"/>
              <w:pageBreakBefore w:val="0"/>
              <w:kinsoku/>
              <w:wordWrap/>
              <w:topLinePunct w:val="0"/>
              <w:autoSpaceDE/>
              <w:autoSpaceDN/>
              <w:bidi w:val="0"/>
              <w:adjustRightInd/>
              <w:spacing w:line="560" w:lineRule="exact"/>
              <w:ind w:left="0" w:leftChars="0"/>
              <w:jc w:val="center"/>
              <w:textAlignment w:val="auto"/>
              <w:rPr>
                <w:rFonts w:ascii="宋体" w:hAnsi="宋体"/>
                <w:b/>
                <w:color w:val="000000"/>
                <w:sz w:val="22"/>
              </w:rPr>
            </w:pPr>
            <w:r>
              <w:rPr>
                <w:rFonts w:hint="eastAsia" w:ascii="宋体" w:hAnsi="宋体"/>
                <w:b/>
                <w:color w:val="000000"/>
                <w:sz w:val="22"/>
              </w:rPr>
              <w:t>项目内容</w:t>
            </w:r>
          </w:p>
        </w:tc>
        <w:tc>
          <w:tcPr>
            <w:tcW w:w="1061" w:type="dxa"/>
            <w:tcBorders>
              <w:top w:val="single" w:color="auto" w:sz="6" w:space="0"/>
              <w:left w:val="single" w:color="auto" w:sz="6" w:space="0"/>
              <w:bottom w:val="single" w:color="auto" w:sz="6" w:space="0"/>
              <w:right w:val="single" w:color="auto" w:sz="6" w:space="0"/>
              <w:tl2br w:val="nil"/>
              <w:tr2bl w:val="nil"/>
            </w:tcBorders>
            <w:vAlign w:val="center"/>
          </w:tcPr>
          <w:p>
            <w:pPr>
              <w:keepLines w:val="0"/>
              <w:pageBreakBefore w:val="0"/>
              <w:kinsoku/>
              <w:wordWrap/>
              <w:topLinePunct w:val="0"/>
              <w:autoSpaceDE/>
              <w:autoSpaceDN/>
              <w:bidi w:val="0"/>
              <w:adjustRightInd/>
              <w:spacing w:line="560" w:lineRule="exact"/>
              <w:ind w:left="0" w:leftChars="0"/>
              <w:jc w:val="center"/>
              <w:textAlignment w:val="auto"/>
              <w:rPr>
                <w:rFonts w:ascii="宋体" w:hAnsi="宋体"/>
                <w:b/>
                <w:color w:val="000000"/>
                <w:sz w:val="22"/>
              </w:rPr>
            </w:pPr>
            <w:r>
              <w:rPr>
                <w:rFonts w:hint="eastAsia" w:ascii="宋体" w:hAnsi="宋体"/>
                <w:b/>
                <w:color w:val="000000"/>
                <w:sz w:val="22"/>
              </w:rPr>
              <w:t>单位</w:t>
            </w:r>
          </w:p>
        </w:tc>
        <w:tc>
          <w:tcPr>
            <w:tcW w:w="888" w:type="dxa"/>
            <w:tcBorders>
              <w:top w:val="single" w:color="auto" w:sz="6" w:space="0"/>
              <w:left w:val="single" w:color="auto" w:sz="6" w:space="0"/>
              <w:bottom w:val="single" w:color="auto" w:sz="6" w:space="0"/>
              <w:right w:val="single" w:color="auto" w:sz="6" w:space="0"/>
              <w:tl2br w:val="nil"/>
              <w:tr2bl w:val="nil"/>
            </w:tcBorders>
            <w:vAlign w:val="center"/>
          </w:tcPr>
          <w:p>
            <w:pPr>
              <w:keepLines w:val="0"/>
              <w:pageBreakBefore w:val="0"/>
              <w:kinsoku/>
              <w:wordWrap/>
              <w:topLinePunct w:val="0"/>
              <w:autoSpaceDE/>
              <w:autoSpaceDN/>
              <w:bidi w:val="0"/>
              <w:adjustRightInd/>
              <w:spacing w:line="560" w:lineRule="exact"/>
              <w:ind w:left="0" w:leftChars="0"/>
              <w:jc w:val="center"/>
              <w:textAlignment w:val="auto"/>
              <w:rPr>
                <w:rFonts w:ascii="宋体" w:hAnsi="宋体"/>
                <w:b/>
                <w:color w:val="000000"/>
                <w:sz w:val="22"/>
              </w:rPr>
            </w:pPr>
            <w:r>
              <w:rPr>
                <w:rFonts w:hint="eastAsia" w:ascii="宋体" w:hAnsi="宋体"/>
                <w:b/>
                <w:color w:val="000000"/>
                <w:sz w:val="22"/>
              </w:rPr>
              <w:t>数量</w:t>
            </w:r>
          </w:p>
        </w:tc>
        <w:tc>
          <w:tcPr>
            <w:tcW w:w="2099" w:type="dxa"/>
            <w:tcBorders>
              <w:top w:val="single" w:color="auto" w:sz="6" w:space="0"/>
              <w:left w:val="single" w:color="auto" w:sz="6" w:space="0"/>
              <w:bottom w:val="single" w:color="auto" w:sz="6" w:space="0"/>
              <w:right w:val="single" w:color="auto" w:sz="6" w:space="0"/>
              <w:tl2br w:val="nil"/>
              <w:tr2bl w:val="nil"/>
            </w:tcBorders>
            <w:vAlign w:val="center"/>
          </w:tcPr>
          <w:p>
            <w:pPr>
              <w:keepLines w:val="0"/>
              <w:pageBreakBefore w:val="0"/>
              <w:kinsoku/>
              <w:wordWrap/>
              <w:topLinePunct w:val="0"/>
              <w:autoSpaceDE/>
              <w:autoSpaceDN/>
              <w:bidi w:val="0"/>
              <w:adjustRightInd/>
              <w:spacing w:line="560" w:lineRule="exact"/>
              <w:ind w:left="0" w:leftChars="0"/>
              <w:jc w:val="center"/>
              <w:textAlignment w:val="auto"/>
              <w:rPr>
                <w:rFonts w:ascii="宋体" w:hAnsi="宋体"/>
                <w:b/>
                <w:color w:val="000000"/>
                <w:sz w:val="22"/>
              </w:rPr>
            </w:pPr>
            <w:r>
              <w:rPr>
                <w:rFonts w:hint="eastAsia" w:ascii="宋体" w:hAnsi="宋体"/>
                <w:b/>
                <w:color w:val="000000"/>
                <w:sz w:val="22"/>
              </w:rPr>
              <w:t>备注</w:t>
            </w:r>
          </w:p>
        </w:tc>
      </w:tr>
      <w:tr>
        <w:tblPrEx>
          <w:tblLayout w:type="fixed"/>
          <w:tblCellMar>
            <w:top w:w="0" w:type="dxa"/>
            <w:left w:w="108" w:type="dxa"/>
            <w:bottom w:w="0" w:type="dxa"/>
            <w:right w:w="108" w:type="dxa"/>
          </w:tblCellMar>
        </w:tblPrEx>
        <w:trPr>
          <w:trHeight w:val="547" w:hRule="atLeast"/>
        </w:trPr>
        <w:tc>
          <w:tcPr>
            <w:tcW w:w="973" w:type="dxa"/>
            <w:tcBorders>
              <w:top w:val="single" w:color="auto" w:sz="6" w:space="0"/>
              <w:left w:val="single" w:color="auto" w:sz="6" w:space="0"/>
              <w:bottom w:val="single" w:color="auto" w:sz="6" w:space="0"/>
              <w:right w:val="single" w:color="auto" w:sz="6" w:space="0"/>
              <w:tl2br w:val="nil"/>
              <w:tr2bl w:val="nil"/>
            </w:tcBorders>
            <w:vAlign w:val="center"/>
          </w:tcPr>
          <w:p>
            <w:pPr>
              <w:keepLines w:val="0"/>
              <w:pageBreakBefore w:val="0"/>
              <w:kinsoku/>
              <w:wordWrap/>
              <w:topLinePunct w:val="0"/>
              <w:autoSpaceDE/>
              <w:autoSpaceDN/>
              <w:bidi w:val="0"/>
              <w:adjustRightInd/>
              <w:spacing w:line="560" w:lineRule="exact"/>
              <w:ind w:left="0" w:leftChars="0"/>
              <w:jc w:val="center"/>
              <w:textAlignment w:val="auto"/>
              <w:rPr>
                <w:rFonts w:hint="eastAsia" w:ascii="宋体" w:hAnsi="宋体"/>
                <w:color w:val="000000"/>
                <w:sz w:val="22"/>
                <w:lang w:val="en-US" w:eastAsia="zh-CN"/>
              </w:rPr>
            </w:pPr>
            <w:r>
              <w:rPr>
                <w:rFonts w:hint="eastAsia" w:ascii="宋体" w:hAnsi="宋体"/>
                <w:color w:val="000000"/>
                <w:sz w:val="22"/>
                <w:lang w:val="en-US" w:eastAsia="zh-CN"/>
              </w:rPr>
              <w:t>1</w:t>
            </w:r>
          </w:p>
        </w:tc>
        <w:tc>
          <w:tcPr>
            <w:tcW w:w="3579" w:type="dxa"/>
            <w:tcBorders>
              <w:top w:val="single" w:color="auto" w:sz="6" w:space="0"/>
              <w:left w:val="single" w:color="auto" w:sz="6" w:space="0"/>
              <w:bottom w:val="single" w:color="auto" w:sz="6" w:space="0"/>
              <w:right w:val="single" w:color="auto" w:sz="6" w:space="0"/>
              <w:tl2br w:val="nil"/>
              <w:tr2bl w:val="nil"/>
            </w:tcBorders>
            <w:vAlign w:val="center"/>
          </w:tcPr>
          <w:p>
            <w:pPr>
              <w:keepLines w:val="0"/>
              <w:pageBreakBefore w:val="0"/>
              <w:kinsoku/>
              <w:wordWrap/>
              <w:topLinePunct w:val="0"/>
              <w:autoSpaceDE/>
              <w:autoSpaceDN/>
              <w:bidi w:val="0"/>
              <w:adjustRightInd/>
              <w:spacing w:line="560" w:lineRule="exact"/>
              <w:ind w:left="0" w:leftChars="0"/>
              <w:jc w:val="center"/>
              <w:textAlignment w:val="auto"/>
              <w:rPr>
                <w:rFonts w:hint="eastAsia" w:ascii="宋体" w:hAnsi="宋体"/>
                <w:color w:val="000000"/>
                <w:sz w:val="22"/>
              </w:rPr>
            </w:pPr>
            <w:r>
              <w:rPr>
                <w:rFonts w:hint="eastAsia" w:ascii="宋体" w:hAnsi="宋体"/>
                <w:color w:val="000000"/>
                <w:sz w:val="22"/>
              </w:rPr>
              <w:t>污染清除作业方案</w:t>
            </w:r>
          </w:p>
        </w:tc>
        <w:tc>
          <w:tcPr>
            <w:tcW w:w="1061" w:type="dxa"/>
            <w:tcBorders>
              <w:top w:val="single" w:color="auto" w:sz="6" w:space="0"/>
              <w:left w:val="single" w:color="auto" w:sz="6" w:space="0"/>
              <w:bottom w:val="single" w:color="auto" w:sz="6" w:space="0"/>
              <w:right w:val="single" w:color="auto" w:sz="6" w:space="0"/>
              <w:tl2br w:val="nil"/>
              <w:tr2bl w:val="nil"/>
            </w:tcBorders>
            <w:vAlign w:val="center"/>
          </w:tcPr>
          <w:p>
            <w:pPr>
              <w:keepLines w:val="0"/>
              <w:pageBreakBefore w:val="0"/>
              <w:kinsoku/>
              <w:wordWrap/>
              <w:topLinePunct w:val="0"/>
              <w:autoSpaceDE/>
              <w:autoSpaceDN/>
              <w:bidi w:val="0"/>
              <w:adjustRightInd/>
              <w:spacing w:line="560" w:lineRule="exact"/>
              <w:ind w:left="0" w:leftChars="0"/>
              <w:jc w:val="center"/>
              <w:textAlignment w:val="auto"/>
              <w:rPr>
                <w:rFonts w:hint="eastAsia" w:ascii="宋体" w:hAnsi="宋体" w:eastAsia="宋体"/>
                <w:color w:val="000000"/>
                <w:sz w:val="22"/>
                <w:lang w:eastAsia="zh-CN"/>
              </w:rPr>
            </w:pPr>
            <w:r>
              <w:rPr>
                <w:rFonts w:hint="eastAsia" w:ascii="宋体" w:hAnsi="宋体"/>
                <w:color w:val="000000"/>
                <w:sz w:val="22"/>
                <w:lang w:eastAsia="zh-CN"/>
              </w:rPr>
              <w:t>份</w:t>
            </w:r>
          </w:p>
        </w:tc>
        <w:tc>
          <w:tcPr>
            <w:tcW w:w="888" w:type="dxa"/>
            <w:tcBorders>
              <w:top w:val="single" w:color="auto" w:sz="6" w:space="0"/>
              <w:left w:val="single" w:color="auto" w:sz="6" w:space="0"/>
              <w:bottom w:val="single" w:color="auto" w:sz="6" w:space="0"/>
              <w:right w:val="single" w:color="auto" w:sz="6" w:space="0"/>
              <w:tl2br w:val="nil"/>
              <w:tr2bl w:val="nil"/>
            </w:tcBorders>
            <w:vAlign w:val="center"/>
          </w:tcPr>
          <w:p>
            <w:pPr>
              <w:keepLines w:val="0"/>
              <w:pageBreakBefore w:val="0"/>
              <w:kinsoku/>
              <w:wordWrap/>
              <w:topLinePunct w:val="0"/>
              <w:autoSpaceDE/>
              <w:autoSpaceDN/>
              <w:bidi w:val="0"/>
              <w:adjustRightInd/>
              <w:spacing w:line="560" w:lineRule="exact"/>
              <w:ind w:left="0" w:leftChars="0"/>
              <w:jc w:val="center"/>
              <w:textAlignment w:val="auto"/>
              <w:rPr>
                <w:rFonts w:hint="eastAsia" w:ascii="宋体" w:hAnsi="宋体" w:eastAsia="宋体"/>
                <w:color w:val="000000"/>
                <w:sz w:val="22"/>
                <w:lang w:val="en-US" w:eastAsia="zh-CN"/>
              </w:rPr>
            </w:pPr>
            <w:r>
              <w:rPr>
                <w:rFonts w:hint="eastAsia" w:ascii="宋体" w:hAnsi="宋体"/>
                <w:color w:val="000000"/>
                <w:sz w:val="22"/>
                <w:lang w:val="en-US" w:eastAsia="zh-CN"/>
              </w:rPr>
              <w:t>1</w:t>
            </w:r>
          </w:p>
        </w:tc>
        <w:tc>
          <w:tcPr>
            <w:tcW w:w="2099" w:type="dxa"/>
            <w:tcBorders>
              <w:top w:val="single" w:color="auto" w:sz="6" w:space="0"/>
              <w:left w:val="single" w:color="auto" w:sz="6" w:space="0"/>
              <w:bottom w:val="single" w:color="auto" w:sz="6" w:space="0"/>
              <w:right w:val="single" w:color="auto" w:sz="6" w:space="0"/>
              <w:tl2br w:val="nil"/>
              <w:tr2bl w:val="nil"/>
            </w:tcBorders>
            <w:vAlign w:val="center"/>
          </w:tcPr>
          <w:p>
            <w:pPr>
              <w:keepLines w:val="0"/>
              <w:pageBreakBefore w:val="0"/>
              <w:kinsoku/>
              <w:wordWrap/>
              <w:topLinePunct w:val="0"/>
              <w:autoSpaceDE/>
              <w:autoSpaceDN/>
              <w:bidi w:val="0"/>
              <w:adjustRightInd/>
              <w:spacing w:line="560" w:lineRule="exact"/>
              <w:ind w:left="0" w:leftChars="0"/>
              <w:jc w:val="center"/>
              <w:textAlignment w:val="auto"/>
              <w:rPr>
                <w:rFonts w:hint="eastAsia" w:ascii="宋体" w:hAnsi="宋体" w:eastAsia="宋体"/>
                <w:color w:val="000000"/>
                <w:sz w:val="22"/>
                <w:lang w:eastAsia="zh-CN"/>
              </w:rPr>
            </w:pPr>
            <w:r>
              <w:rPr>
                <w:rFonts w:hint="eastAsia" w:ascii="宋体" w:hAnsi="宋体"/>
                <w:color w:val="000000"/>
                <w:sz w:val="22"/>
                <w:lang w:eastAsia="zh-CN"/>
              </w:rPr>
              <w:t>满足二级船舶污染物清除单位要求</w:t>
            </w:r>
          </w:p>
        </w:tc>
      </w:tr>
      <w:tr>
        <w:tblPrEx>
          <w:tblLayout w:type="fixed"/>
          <w:tblCellMar>
            <w:top w:w="0" w:type="dxa"/>
            <w:left w:w="108" w:type="dxa"/>
            <w:bottom w:w="0" w:type="dxa"/>
            <w:right w:w="108" w:type="dxa"/>
          </w:tblCellMar>
        </w:tblPrEx>
        <w:trPr>
          <w:trHeight w:val="547" w:hRule="atLeast"/>
        </w:trPr>
        <w:tc>
          <w:tcPr>
            <w:tcW w:w="973" w:type="dxa"/>
            <w:tcBorders>
              <w:top w:val="single" w:color="auto" w:sz="6" w:space="0"/>
              <w:left w:val="single" w:color="auto" w:sz="6" w:space="0"/>
              <w:bottom w:val="single" w:color="auto" w:sz="6" w:space="0"/>
              <w:right w:val="single" w:color="auto" w:sz="6" w:space="0"/>
              <w:tl2br w:val="nil"/>
              <w:tr2bl w:val="nil"/>
            </w:tcBorders>
            <w:vAlign w:val="center"/>
          </w:tcPr>
          <w:p>
            <w:pPr>
              <w:keepLines w:val="0"/>
              <w:pageBreakBefore w:val="0"/>
              <w:kinsoku/>
              <w:wordWrap/>
              <w:topLinePunct w:val="0"/>
              <w:autoSpaceDE/>
              <w:autoSpaceDN/>
              <w:bidi w:val="0"/>
              <w:adjustRightInd/>
              <w:spacing w:line="560" w:lineRule="exact"/>
              <w:ind w:left="0" w:leftChars="0"/>
              <w:jc w:val="center"/>
              <w:textAlignment w:val="auto"/>
              <w:rPr>
                <w:rFonts w:hint="eastAsia" w:ascii="宋体" w:hAnsi="宋体" w:eastAsia="宋体"/>
                <w:color w:val="000000"/>
                <w:sz w:val="22"/>
                <w:lang w:val="en-US" w:eastAsia="zh-CN"/>
              </w:rPr>
            </w:pPr>
            <w:r>
              <w:rPr>
                <w:rFonts w:hint="eastAsia" w:ascii="宋体" w:hAnsi="宋体"/>
                <w:color w:val="000000"/>
                <w:sz w:val="22"/>
                <w:lang w:val="en-US" w:eastAsia="zh-CN"/>
              </w:rPr>
              <w:t>2</w:t>
            </w:r>
          </w:p>
        </w:tc>
        <w:tc>
          <w:tcPr>
            <w:tcW w:w="3579" w:type="dxa"/>
            <w:tcBorders>
              <w:top w:val="single" w:color="auto" w:sz="6" w:space="0"/>
              <w:left w:val="single" w:color="auto" w:sz="6" w:space="0"/>
              <w:bottom w:val="single" w:color="auto" w:sz="6" w:space="0"/>
              <w:right w:val="single" w:color="auto" w:sz="6" w:space="0"/>
              <w:tl2br w:val="nil"/>
              <w:tr2bl w:val="nil"/>
            </w:tcBorders>
            <w:vAlign w:val="center"/>
          </w:tcPr>
          <w:p>
            <w:pPr>
              <w:keepLines w:val="0"/>
              <w:pageBreakBefore w:val="0"/>
              <w:kinsoku/>
              <w:wordWrap/>
              <w:topLinePunct w:val="0"/>
              <w:autoSpaceDE/>
              <w:autoSpaceDN/>
              <w:bidi w:val="0"/>
              <w:adjustRightInd/>
              <w:spacing w:line="560" w:lineRule="exact"/>
              <w:ind w:left="0" w:leftChars="0"/>
              <w:jc w:val="center"/>
              <w:textAlignment w:val="auto"/>
              <w:rPr>
                <w:rFonts w:hint="eastAsia" w:ascii="宋体" w:hAnsi="宋体"/>
                <w:color w:val="000000"/>
                <w:sz w:val="22"/>
              </w:rPr>
            </w:pPr>
            <w:r>
              <w:rPr>
                <w:rFonts w:hint="eastAsia" w:ascii="宋体" w:hAnsi="宋体"/>
                <w:color w:val="000000"/>
                <w:sz w:val="22"/>
              </w:rPr>
              <w:t>污染物处理方案</w:t>
            </w:r>
          </w:p>
        </w:tc>
        <w:tc>
          <w:tcPr>
            <w:tcW w:w="1061" w:type="dxa"/>
            <w:tcBorders>
              <w:top w:val="single" w:color="auto" w:sz="6" w:space="0"/>
              <w:left w:val="single" w:color="auto" w:sz="6" w:space="0"/>
              <w:bottom w:val="single" w:color="auto" w:sz="6" w:space="0"/>
              <w:right w:val="single" w:color="auto" w:sz="6" w:space="0"/>
              <w:tl2br w:val="nil"/>
              <w:tr2bl w:val="nil"/>
            </w:tcBorders>
            <w:vAlign w:val="center"/>
          </w:tcPr>
          <w:p>
            <w:pPr>
              <w:keepLines w:val="0"/>
              <w:pageBreakBefore w:val="0"/>
              <w:kinsoku/>
              <w:wordWrap/>
              <w:topLinePunct w:val="0"/>
              <w:autoSpaceDE/>
              <w:autoSpaceDN/>
              <w:bidi w:val="0"/>
              <w:adjustRightInd/>
              <w:spacing w:line="560" w:lineRule="exact"/>
              <w:ind w:left="0" w:leftChars="0"/>
              <w:jc w:val="center"/>
              <w:textAlignment w:val="auto"/>
              <w:rPr>
                <w:rFonts w:hint="eastAsia" w:ascii="宋体" w:hAnsi="宋体" w:eastAsia="宋体"/>
                <w:color w:val="000000"/>
                <w:sz w:val="22"/>
                <w:lang w:eastAsia="zh-CN"/>
              </w:rPr>
            </w:pPr>
            <w:r>
              <w:rPr>
                <w:rFonts w:hint="eastAsia" w:ascii="宋体" w:hAnsi="宋体"/>
                <w:color w:val="000000"/>
                <w:sz w:val="22"/>
                <w:lang w:eastAsia="zh-CN"/>
              </w:rPr>
              <w:t>份</w:t>
            </w:r>
          </w:p>
        </w:tc>
        <w:tc>
          <w:tcPr>
            <w:tcW w:w="888" w:type="dxa"/>
            <w:tcBorders>
              <w:top w:val="single" w:color="auto" w:sz="6" w:space="0"/>
              <w:left w:val="single" w:color="auto" w:sz="6" w:space="0"/>
              <w:bottom w:val="single" w:color="auto" w:sz="6" w:space="0"/>
              <w:right w:val="single" w:color="auto" w:sz="6" w:space="0"/>
              <w:tl2br w:val="nil"/>
              <w:tr2bl w:val="nil"/>
            </w:tcBorders>
            <w:vAlign w:val="center"/>
          </w:tcPr>
          <w:p>
            <w:pPr>
              <w:keepLines w:val="0"/>
              <w:pageBreakBefore w:val="0"/>
              <w:kinsoku/>
              <w:wordWrap/>
              <w:topLinePunct w:val="0"/>
              <w:autoSpaceDE/>
              <w:autoSpaceDN/>
              <w:bidi w:val="0"/>
              <w:adjustRightInd/>
              <w:spacing w:line="560" w:lineRule="exact"/>
              <w:ind w:left="0" w:leftChars="0"/>
              <w:jc w:val="center"/>
              <w:textAlignment w:val="auto"/>
              <w:rPr>
                <w:rFonts w:hint="eastAsia" w:ascii="宋体" w:hAnsi="宋体" w:eastAsia="宋体"/>
                <w:color w:val="000000"/>
                <w:sz w:val="22"/>
                <w:lang w:val="en-US" w:eastAsia="zh-CN"/>
              </w:rPr>
            </w:pPr>
            <w:r>
              <w:rPr>
                <w:rFonts w:hint="eastAsia" w:ascii="宋体" w:hAnsi="宋体"/>
                <w:color w:val="000000"/>
                <w:sz w:val="22"/>
                <w:lang w:val="en-US" w:eastAsia="zh-CN"/>
              </w:rPr>
              <w:t>1</w:t>
            </w:r>
          </w:p>
        </w:tc>
        <w:tc>
          <w:tcPr>
            <w:tcW w:w="2099" w:type="dxa"/>
            <w:tcBorders>
              <w:top w:val="single" w:color="auto" w:sz="6" w:space="0"/>
              <w:left w:val="single" w:color="auto" w:sz="6" w:space="0"/>
              <w:bottom w:val="single" w:color="auto" w:sz="6" w:space="0"/>
              <w:right w:val="single" w:color="auto" w:sz="6" w:space="0"/>
              <w:tl2br w:val="nil"/>
              <w:tr2bl w:val="nil"/>
            </w:tcBorders>
            <w:vAlign w:val="center"/>
          </w:tcPr>
          <w:p>
            <w:pPr>
              <w:keepLines w:val="0"/>
              <w:pageBreakBefore w:val="0"/>
              <w:kinsoku/>
              <w:wordWrap/>
              <w:topLinePunct w:val="0"/>
              <w:autoSpaceDE/>
              <w:autoSpaceDN/>
              <w:bidi w:val="0"/>
              <w:adjustRightInd/>
              <w:spacing w:line="560" w:lineRule="exact"/>
              <w:ind w:left="0" w:leftChars="0"/>
              <w:jc w:val="center"/>
              <w:textAlignment w:val="auto"/>
              <w:rPr>
                <w:rFonts w:ascii="宋体" w:hAnsi="宋体"/>
                <w:color w:val="000000"/>
                <w:sz w:val="22"/>
              </w:rPr>
            </w:pPr>
            <w:r>
              <w:rPr>
                <w:rFonts w:hint="eastAsia" w:ascii="宋体" w:hAnsi="宋体"/>
                <w:color w:val="000000"/>
                <w:sz w:val="22"/>
                <w:lang w:eastAsia="zh-CN"/>
              </w:rPr>
              <w:t>满足二级船舶污染物清除单位要求</w:t>
            </w:r>
          </w:p>
        </w:tc>
      </w:tr>
      <w:tr>
        <w:tblPrEx>
          <w:tblLayout w:type="fixed"/>
          <w:tblCellMar>
            <w:top w:w="0" w:type="dxa"/>
            <w:left w:w="108" w:type="dxa"/>
            <w:bottom w:w="0" w:type="dxa"/>
            <w:right w:w="108" w:type="dxa"/>
          </w:tblCellMar>
        </w:tblPrEx>
        <w:trPr>
          <w:trHeight w:val="547" w:hRule="atLeast"/>
        </w:trPr>
        <w:tc>
          <w:tcPr>
            <w:tcW w:w="973" w:type="dxa"/>
            <w:tcBorders>
              <w:top w:val="single" w:color="auto" w:sz="6" w:space="0"/>
              <w:left w:val="single" w:color="auto" w:sz="6" w:space="0"/>
              <w:bottom w:val="single" w:color="auto" w:sz="6" w:space="0"/>
              <w:right w:val="single" w:color="auto" w:sz="6" w:space="0"/>
              <w:tl2br w:val="nil"/>
              <w:tr2bl w:val="nil"/>
            </w:tcBorders>
            <w:vAlign w:val="center"/>
          </w:tcPr>
          <w:p>
            <w:pPr>
              <w:keepLines w:val="0"/>
              <w:pageBreakBefore w:val="0"/>
              <w:kinsoku/>
              <w:wordWrap/>
              <w:topLinePunct w:val="0"/>
              <w:autoSpaceDE/>
              <w:autoSpaceDN/>
              <w:bidi w:val="0"/>
              <w:adjustRightInd/>
              <w:spacing w:line="560" w:lineRule="exact"/>
              <w:ind w:left="0" w:leftChars="0"/>
              <w:jc w:val="center"/>
              <w:textAlignment w:val="auto"/>
              <w:rPr>
                <w:rFonts w:hint="eastAsia" w:ascii="宋体" w:hAnsi="宋体" w:eastAsia="宋体"/>
                <w:color w:val="000000"/>
                <w:sz w:val="22"/>
                <w:lang w:eastAsia="zh-CN"/>
              </w:rPr>
            </w:pPr>
            <w:r>
              <w:rPr>
                <w:rFonts w:hint="eastAsia" w:ascii="宋体" w:hAnsi="宋体"/>
                <w:color w:val="000000"/>
                <w:sz w:val="22"/>
                <w:lang w:val="en-US" w:eastAsia="zh-CN"/>
              </w:rPr>
              <w:t>3</w:t>
            </w:r>
          </w:p>
        </w:tc>
        <w:tc>
          <w:tcPr>
            <w:tcW w:w="3579" w:type="dxa"/>
            <w:tcBorders>
              <w:top w:val="single" w:color="auto" w:sz="6" w:space="0"/>
              <w:left w:val="single" w:color="auto" w:sz="6" w:space="0"/>
              <w:bottom w:val="single" w:color="auto" w:sz="6" w:space="0"/>
              <w:right w:val="single" w:color="auto" w:sz="6" w:space="0"/>
              <w:tl2br w:val="nil"/>
              <w:tr2bl w:val="nil"/>
            </w:tcBorders>
            <w:vAlign w:val="center"/>
          </w:tcPr>
          <w:p>
            <w:pPr>
              <w:keepLines w:val="0"/>
              <w:pageBreakBefore w:val="0"/>
              <w:kinsoku/>
              <w:wordWrap/>
              <w:topLinePunct w:val="0"/>
              <w:autoSpaceDE/>
              <w:autoSpaceDN/>
              <w:bidi w:val="0"/>
              <w:adjustRightInd/>
              <w:spacing w:line="560" w:lineRule="exact"/>
              <w:ind w:left="0" w:leftChars="0"/>
              <w:jc w:val="center"/>
              <w:textAlignment w:val="auto"/>
              <w:rPr>
                <w:rFonts w:hint="eastAsia" w:ascii="宋体" w:hAnsi="宋体"/>
                <w:color w:val="000000"/>
                <w:sz w:val="22"/>
              </w:rPr>
            </w:pPr>
            <w:r>
              <w:rPr>
                <w:rFonts w:hint="eastAsia" w:ascii="宋体" w:hAnsi="宋体"/>
                <w:color w:val="000000"/>
                <w:sz w:val="22"/>
              </w:rPr>
              <w:t>船舶安全管理体系和系统培训</w:t>
            </w:r>
          </w:p>
        </w:tc>
        <w:tc>
          <w:tcPr>
            <w:tcW w:w="1061" w:type="dxa"/>
            <w:tcBorders>
              <w:top w:val="single" w:color="auto" w:sz="6" w:space="0"/>
              <w:left w:val="single" w:color="auto" w:sz="6" w:space="0"/>
              <w:bottom w:val="single" w:color="auto" w:sz="6" w:space="0"/>
              <w:right w:val="single" w:color="auto" w:sz="6" w:space="0"/>
              <w:tl2br w:val="nil"/>
              <w:tr2bl w:val="nil"/>
            </w:tcBorders>
            <w:vAlign w:val="center"/>
          </w:tcPr>
          <w:p>
            <w:pPr>
              <w:keepLines w:val="0"/>
              <w:pageBreakBefore w:val="0"/>
              <w:kinsoku/>
              <w:wordWrap/>
              <w:topLinePunct w:val="0"/>
              <w:autoSpaceDE/>
              <w:autoSpaceDN/>
              <w:bidi w:val="0"/>
              <w:adjustRightInd/>
              <w:spacing w:line="560" w:lineRule="exact"/>
              <w:ind w:left="0" w:leftChars="0"/>
              <w:jc w:val="center"/>
              <w:textAlignment w:val="auto"/>
              <w:rPr>
                <w:rFonts w:hint="eastAsia" w:ascii="宋体" w:hAnsi="宋体"/>
                <w:color w:val="000000"/>
                <w:sz w:val="22"/>
              </w:rPr>
            </w:pPr>
            <w:r>
              <w:rPr>
                <w:rFonts w:hint="eastAsia" w:ascii="宋体" w:hAnsi="宋体"/>
                <w:color w:val="000000"/>
                <w:sz w:val="22"/>
              </w:rPr>
              <w:t>次</w:t>
            </w:r>
          </w:p>
        </w:tc>
        <w:tc>
          <w:tcPr>
            <w:tcW w:w="888" w:type="dxa"/>
            <w:tcBorders>
              <w:top w:val="single" w:color="auto" w:sz="6" w:space="0"/>
              <w:left w:val="single" w:color="auto" w:sz="6" w:space="0"/>
              <w:bottom w:val="single" w:color="auto" w:sz="6" w:space="0"/>
              <w:right w:val="single" w:color="auto" w:sz="6" w:space="0"/>
              <w:tl2br w:val="nil"/>
              <w:tr2bl w:val="nil"/>
            </w:tcBorders>
            <w:vAlign w:val="center"/>
          </w:tcPr>
          <w:p>
            <w:pPr>
              <w:keepLines w:val="0"/>
              <w:pageBreakBefore w:val="0"/>
              <w:kinsoku/>
              <w:wordWrap/>
              <w:topLinePunct w:val="0"/>
              <w:autoSpaceDE/>
              <w:autoSpaceDN/>
              <w:bidi w:val="0"/>
              <w:adjustRightInd/>
              <w:spacing w:line="560" w:lineRule="exact"/>
              <w:ind w:left="0" w:leftChars="0"/>
              <w:jc w:val="center"/>
              <w:textAlignment w:val="auto"/>
              <w:rPr>
                <w:rFonts w:hint="eastAsia" w:ascii="宋体" w:hAnsi="宋体"/>
                <w:color w:val="000000"/>
                <w:sz w:val="22"/>
              </w:rPr>
            </w:pPr>
            <w:r>
              <w:rPr>
                <w:rFonts w:hint="eastAsia" w:ascii="宋体" w:hAnsi="宋体"/>
                <w:color w:val="000000"/>
                <w:sz w:val="22"/>
              </w:rPr>
              <w:t>1</w:t>
            </w:r>
          </w:p>
        </w:tc>
        <w:tc>
          <w:tcPr>
            <w:tcW w:w="2099" w:type="dxa"/>
            <w:tcBorders>
              <w:top w:val="single" w:color="auto" w:sz="6" w:space="0"/>
              <w:left w:val="single" w:color="auto" w:sz="6" w:space="0"/>
              <w:bottom w:val="single" w:color="auto" w:sz="6" w:space="0"/>
              <w:right w:val="single" w:color="auto" w:sz="6" w:space="0"/>
              <w:tl2br w:val="nil"/>
              <w:tr2bl w:val="nil"/>
            </w:tcBorders>
            <w:vAlign w:val="center"/>
          </w:tcPr>
          <w:p>
            <w:pPr>
              <w:keepLines w:val="0"/>
              <w:pageBreakBefore w:val="0"/>
              <w:kinsoku/>
              <w:wordWrap/>
              <w:topLinePunct w:val="0"/>
              <w:autoSpaceDE/>
              <w:autoSpaceDN/>
              <w:bidi w:val="0"/>
              <w:adjustRightInd/>
              <w:spacing w:line="560" w:lineRule="exact"/>
              <w:ind w:left="0" w:leftChars="0"/>
              <w:jc w:val="center"/>
              <w:textAlignment w:val="auto"/>
              <w:rPr>
                <w:rFonts w:ascii="宋体" w:hAnsi="宋体"/>
                <w:color w:val="000000"/>
                <w:sz w:val="22"/>
              </w:rPr>
            </w:pPr>
            <w:r>
              <w:rPr>
                <w:rFonts w:hint="eastAsia" w:ascii="宋体" w:hAnsi="宋体"/>
                <w:color w:val="000000"/>
                <w:sz w:val="22"/>
              </w:rPr>
              <w:t>满足审核机构要求</w:t>
            </w:r>
          </w:p>
        </w:tc>
      </w:tr>
      <w:tr>
        <w:tblPrEx>
          <w:tblLayout w:type="fixed"/>
          <w:tblCellMar>
            <w:top w:w="0" w:type="dxa"/>
            <w:left w:w="108" w:type="dxa"/>
            <w:bottom w:w="0" w:type="dxa"/>
            <w:right w:w="108" w:type="dxa"/>
          </w:tblCellMar>
        </w:tblPrEx>
        <w:trPr>
          <w:trHeight w:val="547" w:hRule="atLeast"/>
        </w:trPr>
        <w:tc>
          <w:tcPr>
            <w:tcW w:w="973" w:type="dxa"/>
            <w:tcBorders>
              <w:top w:val="single" w:color="auto" w:sz="6" w:space="0"/>
              <w:left w:val="single" w:color="auto" w:sz="6" w:space="0"/>
              <w:bottom w:val="single" w:color="auto" w:sz="6" w:space="0"/>
              <w:right w:val="single" w:color="auto" w:sz="6" w:space="0"/>
              <w:tl2br w:val="nil"/>
              <w:tr2bl w:val="nil"/>
            </w:tcBorders>
            <w:vAlign w:val="center"/>
          </w:tcPr>
          <w:p>
            <w:pPr>
              <w:keepLines w:val="0"/>
              <w:pageBreakBefore w:val="0"/>
              <w:kinsoku/>
              <w:wordWrap/>
              <w:topLinePunct w:val="0"/>
              <w:autoSpaceDE/>
              <w:autoSpaceDN/>
              <w:bidi w:val="0"/>
              <w:adjustRightInd/>
              <w:spacing w:line="560" w:lineRule="exact"/>
              <w:ind w:left="0" w:leftChars="0"/>
              <w:jc w:val="center"/>
              <w:textAlignment w:val="auto"/>
              <w:rPr>
                <w:rFonts w:ascii="宋体" w:hAnsi="宋体"/>
                <w:color w:val="000000"/>
                <w:sz w:val="22"/>
              </w:rPr>
            </w:pPr>
            <w:r>
              <w:rPr>
                <w:rFonts w:hint="eastAsia" w:ascii="宋体" w:hAnsi="宋体"/>
                <w:color w:val="000000"/>
                <w:sz w:val="22"/>
              </w:rPr>
              <w:t>4</w:t>
            </w:r>
          </w:p>
        </w:tc>
        <w:tc>
          <w:tcPr>
            <w:tcW w:w="3579" w:type="dxa"/>
            <w:tcBorders>
              <w:top w:val="single" w:color="auto" w:sz="6" w:space="0"/>
              <w:left w:val="single" w:color="auto" w:sz="6" w:space="0"/>
              <w:bottom w:val="single" w:color="auto" w:sz="6" w:space="0"/>
              <w:right w:val="single" w:color="auto" w:sz="6" w:space="0"/>
              <w:tl2br w:val="nil"/>
              <w:tr2bl w:val="nil"/>
            </w:tcBorders>
            <w:vAlign w:val="center"/>
          </w:tcPr>
          <w:p>
            <w:pPr>
              <w:keepLines w:val="0"/>
              <w:pageBreakBefore w:val="0"/>
              <w:kinsoku/>
              <w:wordWrap/>
              <w:topLinePunct w:val="0"/>
              <w:autoSpaceDE/>
              <w:autoSpaceDN/>
              <w:bidi w:val="0"/>
              <w:adjustRightInd/>
              <w:spacing w:line="560" w:lineRule="exact"/>
              <w:ind w:left="0" w:leftChars="0"/>
              <w:jc w:val="center"/>
              <w:textAlignment w:val="auto"/>
              <w:rPr>
                <w:rFonts w:ascii="宋体" w:hAnsi="宋体"/>
                <w:color w:val="000000"/>
                <w:sz w:val="22"/>
              </w:rPr>
            </w:pPr>
            <w:r>
              <w:rPr>
                <w:rFonts w:hint="eastAsia" w:ascii="宋体" w:hAnsi="宋体"/>
                <w:sz w:val="22"/>
              </w:rPr>
              <w:t>系统实施，安全管理体系初审申请、取证</w:t>
            </w:r>
          </w:p>
        </w:tc>
        <w:tc>
          <w:tcPr>
            <w:tcW w:w="1061" w:type="dxa"/>
            <w:tcBorders>
              <w:top w:val="single" w:color="auto" w:sz="6" w:space="0"/>
              <w:left w:val="single" w:color="auto" w:sz="6" w:space="0"/>
              <w:bottom w:val="single" w:color="auto" w:sz="6" w:space="0"/>
              <w:right w:val="single" w:color="auto" w:sz="6" w:space="0"/>
              <w:tl2br w:val="nil"/>
              <w:tr2bl w:val="nil"/>
            </w:tcBorders>
            <w:vAlign w:val="center"/>
          </w:tcPr>
          <w:p>
            <w:pPr>
              <w:keepLines w:val="0"/>
              <w:pageBreakBefore w:val="0"/>
              <w:kinsoku/>
              <w:wordWrap/>
              <w:topLinePunct w:val="0"/>
              <w:autoSpaceDE/>
              <w:autoSpaceDN/>
              <w:bidi w:val="0"/>
              <w:adjustRightInd/>
              <w:spacing w:line="560" w:lineRule="exact"/>
              <w:ind w:left="0" w:leftChars="0"/>
              <w:jc w:val="center"/>
              <w:textAlignment w:val="auto"/>
              <w:rPr>
                <w:rFonts w:ascii="宋体" w:hAnsi="宋体"/>
                <w:color w:val="000000"/>
                <w:sz w:val="22"/>
              </w:rPr>
            </w:pPr>
            <w:r>
              <w:rPr>
                <w:rFonts w:hint="eastAsia" w:ascii="宋体" w:hAnsi="宋体"/>
                <w:sz w:val="22"/>
              </w:rPr>
              <w:t>次</w:t>
            </w:r>
          </w:p>
        </w:tc>
        <w:tc>
          <w:tcPr>
            <w:tcW w:w="888" w:type="dxa"/>
            <w:tcBorders>
              <w:top w:val="single" w:color="auto" w:sz="6" w:space="0"/>
              <w:left w:val="single" w:color="auto" w:sz="6" w:space="0"/>
              <w:bottom w:val="single" w:color="auto" w:sz="6" w:space="0"/>
              <w:right w:val="single" w:color="auto" w:sz="6" w:space="0"/>
              <w:tl2br w:val="nil"/>
              <w:tr2bl w:val="nil"/>
            </w:tcBorders>
            <w:vAlign w:val="center"/>
          </w:tcPr>
          <w:p>
            <w:pPr>
              <w:keepLines w:val="0"/>
              <w:pageBreakBefore w:val="0"/>
              <w:kinsoku/>
              <w:wordWrap/>
              <w:topLinePunct w:val="0"/>
              <w:autoSpaceDE/>
              <w:autoSpaceDN/>
              <w:bidi w:val="0"/>
              <w:adjustRightInd/>
              <w:spacing w:line="560" w:lineRule="exact"/>
              <w:ind w:left="0" w:leftChars="0"/>
              <w:jc w:val="center"/>
              <w:textAlignment w:val="auto"/>
              <w:rPr>
                <w:rFonts w:ascii="宋体" w:hAnsi="宋体"/>
                <w:color w:val="000000"/>
                <w:sz w:val="22"/>
              </w:rPr>
            </w:pPr>
            <w:r>
              <w:rPr>
                <w:rFonts w:hint="eastAsia" w:ascii="宋体" w:hAnsi="宋体"/>
                <w:sz w:val="22"/>
              </w:rPr>
              <w:t>1</w:t>
            </w:r>
          </w:p>
        </w:tc>
        <w:tc>
          <w:tcPr>
            <w:tcW w:w="2099" w:type="dxa"/>
            <w:tcBorders>
              <w:top w:val="single" w:color="auto" w:sz="6" w:space="0"/>
              <w:left w:val="single" w:color="auto" w:sz="6" w:space="0"/>
              <w:bottom w:val="single" w:color="auto" w:sz="6" w:space="0"/>
              <w:right w:val="single" w:color="auto" w:sz="6" w:space="0"/>
              <w:tl2br w:val="nil"/>
              <w:tr2bl w:val="nil"/>
            </w:tcBorders>
            <w:vAlign w:val="center"/>
          </w:tcPr>
          <w:p>
            <w:pPr>
              <w:keepLines w:val="0"/>
              <w:pageBreakBefore w:val="0"/>
              <w:kinsoku/>
              <w:wordWrap/>
              <w:topLinePunct w:val="0"/>
              <w:autoSpaceDE/>
              <w:autoSpaceDN/>
              <w:bidi w:val="0"/>
              <w:adjustRightInd/>
              <w:spacing w:line="560" w:lineRule="exact"/>
              <w:ind w:left="0" w:leftChars="0"/>
              <w:jc w:val="center"/>
              <w:textAlignment w:val="auto"/>
              <w:rPr>
                <w:rFonts w:ascii="宋体" w:hAnsi="宋体"/>
                <w:color w:val="000000"/>
                <w:sz w:val="22"/>
              </w:rPr>
            </w:pPr>
            <w:r>
              <w:rPr>
                <w:rFonts w:hint="eastAsia" w:ascii="宋体" w:hAnsi="宋体"/>
                <w:sz w:val="22"/>
              </w:rPr>
              <w:t>满足审核机构要求</w:t>
            </w:r>
          </w:p>
        </w:tc>
      </w:tr>
      <w:tr>
        <w:tblPrEx>
          <w:tblLayout w:type="fixed"/>
          <w:tblCellMar>
            <w:top w:w="0" w:type="dxa"/>
            <w:left w:w="108" w:type="dxa"/>
            <w:bottom w:w="0" w:type="dxa"/>
            <w:right w:w="108" w:type="dxa"/>
          </w:tblCellMar>
        </w:tblPrEx>
        <w:trPr>
          <w:trHeight w:val="547" w:hRule="atLeast"/>
        </w:trPr>
        <w:tc>
          <w:tcPr>
            <w:tcW w:w="973" w:type="dxa"/>
            <w:tcBorders>
              <w:top w:val="single" w:color="auto" w:sz="6" w:space="0"/>
              <w:left w:val="single" w:color="auto" w:sz="6" w:space="0"/>
              <w:bottom w:val="single" w:color="auto" w:sz="6" w:space="0"/>
              <w:right w:val="single" w:color="auto" w:sz="6" w:space="0"/>
              <w:tl2br w:val="nil"/>
              <w:tr2bl w:val="nil"/>
            </w:tcBorders>
            <w:vAlign w:val="center"/>
          </w:tcPr>
          <w:p>
            <w:pPr>
              <w:keepLines w:val="0"/>
              <w:pageBreakBefore w:val="0"/>
              <w:kinsoku/>
              <w:wordWrap/>
              <w:topLinePunct w:val="0"/>
              <w:autoSpaceDE/>
              <w:autoSpaceDN/>
              <w:bidi w:val="0"/>
              <w:adjustRightInd/>
              <w:spacing w:line="560" w:lineRule="exact"/>
              <w:ind w:left="0" w:leftChars="0"/>
              <w:jc w:val="center"/>
              <w:textAlignment w:val="auto"/>
              <w:rPr>
                <w:rFonts w:ascii="宋体" w:hAnsi="宋体"/>
                <w:color w:val="000000"/>
                <w:sz w:val="22"/>
              </w:rPr>
            </w:pPr>
            <w:r>
              <w:rPr>
                <w:rFonts w:hint="eastAsia" w:ascii="宋体" w:hAnsi="宋体"/>
                <w:color w:val="000000"/>
                <w:sz w:val="22"/>
              </w:rPr>
              <w:t>5</w:t>
            </w:r>
          </w:p>
        </w:tc>
        <w:tc>
          <w:tcPr>
            <w:tcW w:w="3579" w:type="dxa"/>
            <w:tcBorders>
              <w:top w:val="single" w:color="auto" w:sz="6" w:space="0"/>
              <w:left w:val="single" w:color="auto" w:sz="6" w:space="0"/>
              <w:bottom w:val="single" w:color="auto" w:sz="6" w:space="0"/>
              <w:right w:val="single" w:color="auto" w:sz="6" w:space="0"/>
              <w:tl2br w:val="nil"/>
              <w:tr2bl w:val="nil"/>
            </w:tcBorders>
            <w:vAlign w:val="center"/>
          </w:tcPr>
          <w:p>
            <w:pPr>
              <w:keepLines w:val="0"/>
              <w:pageBreakBefore w:val="0"/>
              <w:kinsoku/>
              <w:wordWrap/>
              <w:topLinePunct w:val="0"/>
              <w:autoSpaceDE/>
              <w:autoSpaceDN/>
              <w:bidi w:val="0"/>
              <w:adjustRightInd/>
              <w:spacing w:line="560" w:lineRule="exact"/>
              <w:ind w:left="0" w:leftChars="0"/>
              <w:jc w:val="center"/>
              <w:textAlignment w:val="auto"/>
              <w:rPr>
                <w:rFonts w:ascii="宋体" w:hAnsi="宋体"/>
                <w:color w:val="000000"/>
                <w:sz w:val="22"/>
              </w:rPr>
            </w:pPr>
            <w:r>
              <w:rPr>
                <w:rFonts w:hint="eastAsia" w:ascii="宋体" w:hAnsi="宋体"/>
                <w:color w:val="000000"/>
                <w:sz w:val="22"/>
              </w:rPr>
              <w:t>基础软件</w:t>
            </w:r>
          </w:p>
        </w:tc>
        <w:tc>
          <w:tcPr>
            <w:tcW w:w="1061" w:type="dxa"/>
            <w:tcBorders>
              <w:top w:val="single" w:color="auto" w:sz="6" w:space="0"/>
              <w:left w:val="single" w:color="auto" w:sz="6" w:space="0"/>
              <w:bottom w:val="single" w:color="auto" w:sz="6" w:space="0"/>
              <w:right w:val="single" w:color="auto" w:sz="6" w:space="0"/>
              <w:tl2br w:val="nil"/>
              <w:tr2bl w:val="nil"/>
            </w:tcBorders>
            <w:vAlign w:val="center"/>
          </w:tcPr>
          <w:p>
            <w:pPr>
              <w:keepLines w:val="0"/>
              <w:pageBreakBefore w:val="0"/>
              <w:kinsoku/>
              <w:wordWrap/>
              <w:topLinePunct w:val="0"/>
              <w:autoSpaceDE/>
              <w:autoSpaceDN/>
              <w:bidi w:val="0"/>
              <w:adjustRightInd/>
              <w:spacing w:line="560" w:lineRule="exact"/>
              <w:ind w:left="0" w:leftChars="0"/>
              <w:jc w:val="center"/>
              <w:textAlignment w:val="auto"/>
              <w:rPr>
                <w:rFonts w:ascii="宋体" w:hAnsi="宋体"/>
                <w:color w:val="000000"/>
                <w:sz w:val="22"/>
              </w:rPr>
            </w:pPr>
            <w:r>
              <w:rPr>
                <w:rFonts w:hint="eastAsia" w:ascii="宋体" w:hAnsi="宋体"/>
                <w:color w:val="000000"/>
                <w:sz w:val="22"/>
              </w:rPr>
              <w:t>套</w:t>
            </w:r>
          </w:p>
        </w:tc>
        <w:tc>
          <w:tcPr>
            <w:tcW w:w="888" w:type="dxa"/>
            <w:tcBorders>
              <w:top w:val="single" w:color="auto" w:sz="6" w:space="0"/>
              <w:left w:val="single" w:color="auto" w:sz="6" w:space="0"/>
              <w:bottom w:val="single" w:color="auto" w:sz="6" w:space="0"/>
              <w:right w:val="single" w:color="auto" w:sz="6" w:space="0"/>
              <w:tl2br w:val="nil"/>
              <w:tr2bl w:val="nil"/>
            </w:tcBorders>
            <w:vAlign w:val="center"/>
          </w:tcPr>
          <w:p>
            <w:pPr>
              <w:keepLines w:val="0"/>
              <w:pageBreakBefore w:val="0"/>
              <w:kinsoku/>
              <w:wordWrap/>
              <w:topLinePunct w:val="0"/>
              <w:autoSpaceDE/>
              <w:autoSpaceDN/>
              <w:bidi w:val="0"/>
              <w:adjustRightInd/>
              <w:spacing w:line="560" w:lineRule="exact"/>
              <w:ind w:left="0" w:leftChars="0"/>
              <w:jc w:val="center"/>
              <w:textAlignment w:val="auto"/>
              <w:rPr>
                <w:rFonts w:ascii="宋体" w:hAnsi="宋体"/>
                <w:color w:val="000000"/>
                <w:sz w:val="22"/>
              </w:rPr>
            </w:pPr>
            <w:r>
              <w:rPr>
                <w:rFonts w:hint="eastAsia" w:ascii="宋体" w:hAnsi="宋体"/>
                <w:color w:val="000000"/>
                <w:sz w:val="22"/>
              </w:rPr>
              <w:t>1</w:t>
            </w:r>
          </w:p>
        </w:tc>
        <w:tc>
          <w:tcPr>
            <w:tcW w:w="2099" w:type="dxa"/>
            <w:tcBorders>
              <w:top w:val="single" w:color="auto" w:sz="6" w:space="0"/>
              <w:left w:val="single" w:color="auto" w:sz="6" w:space="0"/>
              <w:bottom w:val="single" w:color="auto" w:sz="6" w:space="0"/>
              <w:right w:val="single" w:color="auto" w:sz="6" w:space="0"/>
              <w:tl2br w:val="nil"/>
              <w:tr2bl w:val="nil"/>
            </w:tcBorders>
            <w:vAlign w:val="center"/>
          </w:tcPr>
          <w:p>
            <w:pPr>
              <w:keepLines w:val="0"/>
              <w:pageBreakBefore w:val="0"/>
              <w:kinsoku/>
              <w:wordWrap/>
              <w:topLinePunct w:val="0"/>
              <w:autoSpaceDE/>
              <w:autoSpaceDN/>
              <w:bidi w:val="0"/>
              <w:adjustRightInd/>
              <w:spacing w:line="560" w:lineRule="exact"/>
              <w:ind w:left="0" w:leftChars="0"/>
              <w:jc w:val="center"/>
              <w:textAlignment w:val="auto"/>
              <w:rPr>
                <w:rFonts w:ascii="宋体" w:hAnsi="宋体"/>
                <w:color w:val="000000"/>
                <w:sz w:val="22"/>
              </w:rPr>
            </w:pPr>
          </w:p>
        </w:tc>
      </w:tr>
      <w:tr>
        <w:tblPrEx>
          <w:tblLayout w:type="fixed"/>
          <w:tblCellMar>
            <w:top w:w="0" w:type="dxa"/>
            <w:left w:w="108" w:type="dxa"/>
            <w:bottom w:w="0" w:type="dxa"/>
            <w:right w:w="108" w:type="dxa"/>
          </w:tblCellMar>
        </w:tblPrEx>
        <w:trPr>
          <w:trHeight w:val="547" w:hRule="atLeast"/>
        </w:trPr>
        <w:tc>
          <w:tcPr>
            <w:tcW w:w="973" w:type="dxa"/>
            <w:tcBorders>
              <w:top w:val="single" w:color="auto" w:sz="6" w:space="0"/>
              <w:left w:val="single" w:color="auto" w:sz="6" w:space="0"/>
              <w:bottom w:val="single" w:color="auto" w:sz="6" w:space="0"/>
              <w:right w:val="single" w:color="auto" w:sz="6" w:space="0"/>
              <w:tl2br w:val="nil"/>
              <w:tr2bl w:val="nil"/>
            </w:tcBorders>
            <w:vAlign w:val="center"/>
          </w:tcPr>
          <w:p>
            <w:pPr>
              <w:keepLines w:val="0"/>
              <w:pageBreakBefore w:val="0"/>
              <w:kinsoku/>
              <w:wordWrap/>
              <w:topLinePunct w:val="0"/>
              <w:autoSpaceDE/>
              <w:autoSpaceDN/>
              <w:bidi w:val="0"/>
              <w:adjustRightInd/>
              <w:spacing w:line="560" w:lineRule="exact"/>
              <w:ind w:left="0" w:leftChars="0"/>
              <w:jc w:val="center"/>
              <w:textAlignment w:val="auto"/>
              <w:rPr>
                <w:rFonts w:hint="eastAsia" w:ascii="宋体" w:hAnsi="宋体" w:eastAsia="宋体"/>
                <w:color w:val="000000"/>
                <w:sz w:val="22"/>
                <w:lang w:val="en-US" w:eastAsia="zh-CN"/>
              </w:rPr>
            </w:pPr>
            <w:r>
              <w:rPr>
                <w:rFonts w:hint="eastAsia" w:ascii="宋体" w:hAnsi="宋体"/>
                <w:color w:val="000000"/>
                <w:sz w:val="22"/>
                <w:lang w:val="en-US" w:eastAsia="zh-CN"/>
              </w:rPr>
              <w:t>6</w:t>
            </w:r>
          </w:p>
        </w:tc>
        <w:tc>
          <w:tcPr>
            <w:tcW w:w="3579" w:type="dxa"/>
            <w:tcBorders>
              <w:top w:val="single" w:color="auto" w:sz="6" w:space="0"/>
              <w:left w:val="single" w:color="auto" w:sz="6" w:space="0"/>
              <w:bottom w:val="single" w:color="auto" w:sz="6" w:space="0"/>
              <w:right w:val="single" w:color="auto" w:sz="6" w:space="0"/>
              <w:tl2br w:val="nil"/>
              <w:tr2bl w:val="nil"/>
            </w:tcBorders>
            <w:vAlign w:val="center"/>
          </w:tcPr>
          <w:p>
            <w:pPr>
              <w:keepLines w:val="0"/>
              <w:pageBreakBefore w:val="0"/>
              <w:kinsoku/>
              <w:wordWrap/>
              <w:topLinePunct w:val="0"/>
              <w:autoSpaceDE/>
              <w:autoSpaceDN/>
              <w:bidi w:val="0"/>
              <w:adjustRightInd/>
              <w:spacing w:line="560" w:lineRule="exact"/>
              <w:ind w:left="0" w:leftChars="0"/>
              <w:jc w:val="center"/>
              <w:textAlignment w:val="auto"/>
              <w:rPr>
                <w:rFonts w:ascii="宋体" w:hAnsi="宋体"/>
                <w:color w:val="000000"/>
                <w:sz w:val="22"/>
              </w:rPr>
            </w:pPr>
            <w:r>
              <w:rPr>
                <w:rFonts w:hint="eastAsia" w:ascii="宋体" w:hAnsi="宋体"/>
                <w:color w:val="000000"/>
                <w:sz w:val="22"/>
              </w:rPr>
              <w:t>船舶网络安装及软件调试</w:t>
            </w:r>
          </w:p>
        </w:tc>
        <w:tc>
          <w:tcPr>
            <w:tcW w:w="1061" w:type="dxa"/>
            <w:tcBorders>
              <w:top w:val="single" w:color="auto" w:sz="6" w:space="0"/>
              <w:left w:val="single" w:color="auto" w:sz="6" w:space="0"/>
              <w:bottom w:val="single" w:color="auto" w:sz="6" w:space="0"/>
              <w:right w:val="single" w:color="auto" w:sz="6" w:space="0"/>
              <w:tl2br w:val="nil"/>
              <w:tr2bl w:val="nil"/>
            </w:tcBorders>
            <w:vAlign w:val="center"/>
          </w:tcPr>
          <w:p>
            <w:pPr>
              <w:keepLines w:val="0"/>
              <w:pageBreakBefore w:val="0"/>
              <w:kinsoku/>
              <w:wordWrap/>
              <w:topLinePunct w:val="0"/>
              <w:autoSpaceDE/>
              <w:autoSpaceDN/>
              <w:bidi w:val="0"/>
              <w:adjustRightInd/>
              <w:spacing w:line="560" w:lineRule="exact"/>
              <w:ind w:left="0" w:leftChars="0"/>
              <w:jc w:val="center"/>
              <w:textAlignment w:val="auto"/>
              <w:rPr>
                <w:rFonts w:ascii="宋体" w:hAnsi="宋体"/>
                <w:color w:val="000000"/>
                <w:sz w:val="22"/>
              </w:rPr>
            </w:pPr>
            <w:r>
              <w:rPr>
                <w:rFonts w:hint="eastAsia" w:ascii="宋体" w:hAnsi="宋体"/>
                <w:color w:val="000000"/>
                <w:sz w:val="22"/>
              </w:rPr>
              <w:t>艘</w:t>
            </w:r>
          </w:p>
        </w:tc>
        <w:tc>
          <w:tcPr>
            <w:tcW w:w="888" w:type="dxa"/>
            <w:tcBorders>
              <w:top w:val="single" w:color="auto" w:sz="6" w:space="0"/>
              <w:left w:val="single" w:color="auto" w:sz="6" w:space="0"/>
              <w:bottom w:val="single" w:color="auto" w:sz="6" w:space="0"/>
              <w:right w:val="single" w:color="auto" w:sz="6" w:space="0"/>
              <w:tl2br w:val="nil"/>
              <w:tr2bl w:val="nil"/>
            </w:tcBorders>
            <w:vAlign w:val="center"/>
          </w:tcPr>
          <w:p>
            <w:pPr>
              <w:keepLines w:val="0"/>
              <w:pageBreakBefore w:val="0"/>
              <w:kinsoku/>
              <w:wordWrap/>
              <w:topLinePunct w:val="0"/>
              <w:autoSpaceDE/>
              <w:autoSpaceDN/>
              <w:bidi w:val="0"/>
              <w:adjustRightInd/>
              <w:spacing w:line="560" w:lineRule="exact"/>
              <w:ind w:left="0" w:leftChars="0"/>
              <w:jc w:val="center"/>
              <w:textAlignment w:val="auto"/>
              <w:rPr>
                <w:rFonts w:ascii="宋体" w:hAnsi="宋体"/>
                <w:color w:val="000000"/>
                <w:sz w:val="22"/>
              </w:rPr>
            </w:pPr>
            <w:r>
              <w:rPr>
                <w:rFonts w:hint="eastAsia" w:ascii="宋体" w:hAnsi="宋体"/>
                <w:color w:val="000000"/>
                <w:sz w:val="22"/>
              </w:rPr>
              <w:t>1</w:t>
            </w:r>
          </w:p>
        </w:tc>
        <w:tc>
          <w:tcPr>
            <w:tcW w:w="2099" w:type="dxa"/>
            <w:tcBorders>
              <w:top w:val="single" w:color="auto" w:sz="6" w:space="0"/>
              <w:left w:val="single" w:color="auto" w:sz="6" w:space="0"/>
              <w:bottom w:val="single" w:color="auto" w:sz="6" w:space="0"/>
              <w:right w:val="single" w:color="auto" w:sz="6" w:space="0"/>
              <w:tl2br w:val="nil"/>
              <w:tr2bl w:val="nil"/>
            </w:tcBorders>
            <w:vAlign w:val="center"/>
          </w:tcPr>
          <w:p>
            <w:pPr>
              <w:keepLines w:val="0"/>
              <w:pageBreakBefore w:val="0"/>
              <w:kinsoku/>
              <w:wordWrap/>
              <w:topLinePunct w:val="0"/>
              <w:autoSpaceDE/>
              <w:autoSpaceDN/>
              <w:bidi w:val="0"/>
              <w:adjustRightInd/>
              <w:spacing w:line="560" w:lineRule="exact"/>
              <w:ind w:left="0" w:leftChars="0"/>
              <w:jc w:val="center"/>
              <w:textAlignment w:val="auto"/>
              <w:rPr>
                <w:rFonts w:hint="eastAsia" w:ascii="宋体" w:hAnsi="宋体" w:eastAsia="宋体"/>
                <w:color w:val="000000"/>
                <w:sz w:val="22"/>
                <w:lang w:val="en-US" w:eastAsia="zh-CN"/>
              </w:rPr>
            </w:pPr>
            <w:r>
              <w:rPr>
                <w:rFonts w:hint="eastAsia" w:ascii="宋体" w:hAnsi="宋体"/>
                <w:color w:val="000000"/>
                <w:sz w:val="22"/>
                <w:lang w:val="en-US" w:eastAsia="zh-CN"/>
              </w:rPr>
              <w:t>含3年4G/5G流量费</w:t>
            </w:r>
          </w:p>
        </w:tc>
      </w:tr>
      <w:tr>
        <w:tblPrEx>
          <w:tblLayout w:type="fixed"/>
          <w:tblCellMar>
            <w:top w:w="0" w:type="dxa"/>
            <w:left w:w="108" w:type="dxa"/>
            <w:bottom w:w="0" w:type="dxa"/>
            <w:right w:w="108" w:type="dxa"/>
          </w:tblCellMar>
        </w:tblPrEx>
        <w:trPr>
          <w:trHeight w:val="547" w:hRule="atLeast"/>
        </w:trPr>
        <w:tc>
          <w:tcPr>
            <w:tcW w:w="973" w:type="dxa"/>
            <w:tcBorders>
              <w:top w:val="single" w:color="auto" w:sz="6" w:space="0"/>
              <w:left w:val="single" w:color="auto" w:sz="6" w:space="0"/>
              <w:bottom w:val="single" w:color="auto" w:sz="6" w:space="0"/>
              <w:right w:val="single" w:color="auto" w:sz="6" w:space="0"/>
              <w:tl2br w:val="nil"/>
              <w:tr2bl w:val="nil"/>
            </w:tcBorders>
            <w:vAlign w:val="center"/>
          </w:tcPr>
          <w:p>
            <w:pPr>
              <w:keepLines w:val="0"/>
              <w:pageBreakBefore w:val="0"/>
              <w:kinsoku/>
              <w:wordWrap/>
              <w:topLinePunct w:val="0"/>
              <w:autoSpaceDE/>
              <w:autoSpaceDN/>
              <w:bidi w:val="0"/>
              <w:adjustRightInd/>
              <w:spacing w:line="560" w:lineRule="exact"/>
              <w:ind w:left="0" w:leftChars="0"/>
              <w:jc w:val="center"/>
              <w:textAlignment w:val="auto"/>
              <w:rPr>
                <w:rFonts w:hint="eastAsia" w:ascii="宋体" w:hAnsi="宋体" w:eastAsia="宋体"/>
                <w:color w:val="000000"/>
                <w:sz w:val="22"/>
                <w:lang w:val="en-US" w:eastAsia="zh-CN"/>
              </w:rPr>
            </w:pPr>
            <w:r>
              <w:rPr>
                <w:rFonts w:hint="eastAsia" w:ascii="宋体" w:hAnsi="宋体"/>
                <w:color w:val="000000"/>
                <w:sz w:val="22"/>
                <w:lang w:val="en-US" w:eastAsia="zh-CN"/>
              </w:rPr>
              <w:t>7</w:t>
            </w:r>
          </w:p>
        </w:tc>
        <w:tc>
          <w:tcPr>
            <w:tcW w:w="3579" w:type="dxa"/>
            <w:tcBorders>
              <w:top w:val="single" w:color="auto" w:sz="6" w:space="0"/>
              <w:left w:val="single" w:color="auto" w:sz="6" w:space="0"/>
              <w:bottom w:val="single" w:color="auto" w:sz="6" w:space="0"/>
              <w:right w:val="single" w:color="auto" w:sz="6" w:space="0"/>
              <w:tl2br w:val="nil"/>
              <w:tr2bl w:val="nil"/>
            </w:tcBorders>
            <w:vAlign w:val="center"/>
          </w:tcPr>
          <w:p>
            <w:pPr>
              <w:keepLines w:val="0"/>
              <w:pageBreakBefore w:val="0"/>
              <w:kinsoku/>
              <w:wordWrap/>
              <w:topLinePunct w:val="0"/>
              <w:autoSpaceDE/>
              <w:autoSpaceDN/>
              <w:bidi w:val="0"/>
              <w:adjustRightInd/>
              <w:spacing w:line="560" w:lineRule="exact"/>
              <w:ind w:left="0" w:leftChars="0"/>
              <w:jc w:val="center"/>
              <w:textAlignment w:val="auto"/>
              <w:rPr>
                <w:rFonts w:ascii="宋体" w:hAnsi="宋体"/>
                <w:color w:val="000000"/>
                <w:sz w:val="22"/>
              </w:rPr>
            </w:pPr>
            <w:r>
              <w:rPr>
                <w:rFonts w:hint="eastAsia" w:ascii="宋体" w:hAnsi="宋体"/>
                <w:color w:val="000000"/>
                <w:sz w:val="22"/>
              </w:rPr>
              <w:t>岸基及手机终端软件安装、调试</w:t>
            </w:r>
          </w:p>
        </w:tc>
        <w:tc>
          <w:tcPr>
            <w:tcW w:w="1061" w:type="dxa"/>
            <w:tcBorders>
              <w:top w:val="single" w:color="auto" w:sz="6" w:space="0"/>
              <w:left w:val="single" w:color="auto" w:sz="6" w:space="0"/>
              <w:bottom w:val="single" w:color="auto" w:sz="6" w:space="0"/>
              <w:right w:val="single" w:color="auto" w:sz="6" w:space="0"/>
              <w:tl2br w:val="nil"/>
              <w:tr2bl w:val="nil"/>
            </w:tcBorders>
            <w:vAlign w:val="center"/>
          </w:tcPr>
          <w:p>
            <w:pPr>
              <w:keepLines w:val="0"/>
              <w:pageBreakBefore w:val="0"/>
              <w:kinsoku/>
              <w:wordWrap/>
              <w:topLinePunct w:val="0"/>
              <w:autoSpaceDE/>
              <w:autoSpaceDN/>
              <w:bidi w:val="0"/>
              <w:adjustRightInd/>
              <w:spacing w:line="560" w:lineRule="exact"/>
              <w:ind w:left="0" w:leftChars="0"/>
              <w:jc w:val="center"/>
              <w:textAlignment w:val="auto"/>
              <w:rPr>
                <w:rFonts w:ascii="宋体" w:hAnsi="宋体"/>
                <w:color w:val="000000"/>
                <w:sz w:val="22"/>
              </w:rPr>
            </w:pPr>
            <w:r>
              <w:rPr>
                <w:rFonts w:hint="eastAsia" w:ascii="宋体" w:hAnsi="宋体"/>
                <w:color w:val="000000"/>
                <w:sz w:val="22"/>
              </w:rPr>
              <w:t>次</w:t>
            </w:r>
          </w:p>
        </w:tc>
        <w:tc>
          <w:tcPr>
            <w:tcW w:w="888" w:type="dxa"/>
            <w:tcBorders>
              <w:top w:val="single" w:color="auto" w:sz="6" w:space="0"/>
              <w:left w:val="single" w:color="auto" w:sz="6" w:space="0"/>
              <w:bottom w:val="single" w:color="auto" w:sz="6" w:space="0"/>
              <w:right w:val="single" w:color="auto" w:sz="6" w:space="0"/>
              <w:tl2br w:val="nil"/>
              <w:tr2bl w:val="nil"/>
            </w:tcBorders>
            <w:vAlign w:val="center"/>
          </w:tcPr>
          <w:p>
            <w:pPr>
              <w:keepLines w:val="0"/>
              <w:pageBreakBefore w:val="0"/>
              <w:kinsoku/>
              <w:wordWrap/>
              <w:topLinePunct w:val="0"/>
              <w:autoSpaceDE/>
              <w:autoSpaceDN/>
              <w:bidi w:val="0"/>
              <w:adjustRightInd/>
              <w:spacing w:line="560" w:lineRule="exact"/>
              <w:ind w:left="0" w:leftChars="0"/>
              <w:jc w:val="center"/>
              <w:textAlignment w:val="auto"/>
              <w:rPr>
                <w:rFonts w:ascii="宋体" w:hAnsi="宋体"/>
                <w:color w:val="000000"/>
                <w:sz w:val="22"/>
              </w:rPr>
            </w:pPr>
            <w:r>
              <w:rPr>
                <w:rFonts w:hint="eastAsia" w:ascii="宋体" w:hAnsi="宋体"/>
                <w:color w:val="000000"/>
                <w:sz w:val="22"/>
              </w:rPr>
              <w:t>1</w:t>
            </w:r>
          </w:p>
        </w:tc>
        <w:tc>
          <w:tcPr>
            <w:tcW w:w="2099" w:type="dxa"/>
            <w:tcBorders>
              <w:top w:val="single" w:color="auto" w:sz="6" w:space="0"/>
              <w:left w:val="single" w:color="auto" w:sz="6" w:space="0"/>
              <w:bottom w:val="single" w:color="auto" w:sz="6" w:space="0"/>
              <w:right w:val="single" w:color="auto" w:sz="6" w:space="0"/>
              <w:tl2br w:val="nil"/>
              <w:tr2bl w:val="nil"/>
            </w:tcBorders>
            <w:vAlign w:val="center"/>
          </w:tcPr>
          <w:p>
            <w:pPr>
              <w:keepLines w:val="0"/>
              <w:pageBreakBefore w:val="0"/>
              <w:kinsoku/>
              <w:wordWrap/>
              <w:topLinePunct w:val="0"/>
              <w:autoSpaceDE/>
              <w:autoSpaceDN/>
              <w:bidi w:val="0"/>
              <w:adjustRightInd/>
              <w:spacing w:line="560" w:lineRule="exact"/>
              <w:ind w:left="0" w:leftChars="0"/>
              <w:jc w:val="center"/>
              <w:textAlignment w:val="auto"/>
              <w:rPr>
                <w:rFonts w:ascii="宋体" w:hAnsi="宋体"/>
                <w:color w:val="000000"/>
                <w:sz w:val="22"/>
              </w:rPr>
            </w:pPr>
            <w:r>
              <w:rPr>
                <w:rFonts w:hint="eastAsia" w:ascii="宋体" w:hAnsi="宋体"/>
                <w:color w:val="000000"/>
                <w:sz w:val="22"/>
              </w:rPr>
              <w:t>终端数量按需</w:t>
            </w:r>
          </w:p>
        </w:tc>
      </w:tr>
      <w:tr>
        <w:tblPrEx>
          <w:tblLayout w:type="fixed"/>
          <w:tblCellMar>
            <w:top w:w="0" w:type="dxa"/>
            <w:left w:w="108" w:type="dxa"/>
            <w:bottom w:w="0" w:type="dxa"/>
            <w:right w:w="108" w:type="dxa"/>
          </w:tblCellMar>
        </w:tblPrEx>
        <w:trPr>
          <w:trHeight w:val="547" w:hRule="atLeast"/>
        </w:trPr>
        <w:tc>
          <w:tcPr>
            <w:tcW w:w="973" w:type="dxa"/>
            <w:tcBorders>
              <w:top w:val="single" w:color="auto" w:sz="6" w:space="0"/>
              <w:left w:val="single" w:color="auto" w:sz="6" w:space="0"/>
              <w:bottom w:val="single" w:color="auto" w:sz="6" w:space="0"/>
              <w:right w:val="single" w:color="auto" w:sz="6" w:space="0"/>
              <w:tl2br w:val="nil"/>
              <w:tr2bl w:val="nil"/>
            </w:tcBorders>
            <w:vAlign w:val="center"/>
          </w:tcPr>
          <w:p>
            <w:pPr>
              <w:keepLines w:val="0"/>
              <w:pageBreakBefore w:val="0"/>
              <w:kinsoku/>
              <w:wordWrap/>
              <w:topLinePunct w:val="0"/>
              <w:autoSpaceDE/>
              <w:autoSpaceDN/>
              <w:bidi w:val="0"/>
              <w:adjustRightInd/>
              <w:spacing w:line="560" w:lineRule="exact"/>
              <w:ind w:left="0" w:leftChars="0"/>
              <w:jc w:val="center"/>
              <w:textAlignment w:val="auto"/>
              <w:rPr>
                <w:rFonts w:hint="eastAsia" w:ascii="宋体" w:hAnsi="宋体" w:eastAsia="宋体"/>
                <w:sz w:val="22"/>
                <w:lang w:val="en-US" w:eastAsia="zh-CN"/>
              </w:rPr>
            </w:pPr>
            <w:r>
              <w:rPr>
                <w:rFonts w:hint="eastAsia" w:ascii="宋体" w:hAnsi="宋体"/>
                <w:sz w:val="22"/>
                <w:lang w:val="en-US" w:eastAsia="zh-CN"/>
              </w:rPr>
              <w:t>8</w:t>
            </w:r>
          </w:p>
        </w:tc>
        <w:tc>
          <w:tcPr>
            <w:tcW w:w="3579" w:type="dxa"/>
            <w:tcBorders>
              <w:top w:val="single" w:color="auto" w:sz="6" w:space="0"/>
              <w:left w:val="single" w:color="auto" w:sz="6" w:space="0"/>
              <w:bottom w:val="single" w:color="auto" w:sz="6" w:space="0"/>
              <w:right w:val="single" w:color="auto" w:sz="6" w:space="0"/>
              <w:tl2br w:val="nil"/>
              <w:tr2bl w:val="nil"/>
            </w:tcBorders>
            <w:vAlign w:val="center"/>
          </w:tcPr>
          <w:p>
            <w:pPr>
              <w:keepLines w:val="0"/>
              <w:pageBreakBefore w:val="0"/>
              <w:kinsoku/>
              <w:wordWrap/>
              <w:topLinePunct w:val="0"/>
              <w:autoSpaceDE/>
              <w:autoSpaceDN/>
              <w:bidi w:val="0"/>
              <w:adjustRightInd/>
              <w:spacing w:line="560" w:lineRule="exact"/>
              <w:ind w:left="0" w:leftChars="0"/>
              <w:jc w:val="center"/>
              <w:textAlignment w:val="auto"/>
              <w:rPr>
                <w:rFonts w:ascii="宋体" w:hAnsi="宋体"/>
                <w:sz w:val="22"/>
              </w:rPr>
            </w:pPr>
            <w:r>
              <w:rPr>
                <w:rFonts w:hint="eastAsia" w:ascii="宋体" w:hAnsi="宋体"/>
                <w:color w:val="000000"/>
                <w:sz w:val="22"/>
              </w:rPr>
              <w:t>定制开发功能</w:t>
            </w:r>
          </w:p>
        </w:tc>
        <w:tc>
          <w:tcPr>
            <w:tcW w:w="1061" w:type="dxa"/>
            <w:tcBorders>
              <w:top w:val="single" w:color="auto" w:sz="6" w:space="0"/>
              <w:left w:val="single" w:color="auto" w:sz="6" w:space="0"/>
              <w:bottom w:val="single" w:color="auto" w:sz="6" w:space="0"/>
              <w:right w:val="single" w:color="auto" w:sz="6" w:space="0"/>
              <w:tl2br w:val="nil"/>
              <w:tr2bl w:val="nil"/>
            </w:tcBorders>
            <w:vAlign w:val="center"/>
          </w:tcPr>
          <w:p>
            <w:pPr>
              <w:keepLines w:val="0"/>
              <w:pageBreakBefore w:val="0"/>
              <w:kinsoku/>
              <w:wordWrap/>
              <w:topLinePunct w:val="0"/>
              <w:autoSpaceDE/>
              <w:autoSpaceDN/>
              <w:bidi w:val="0"/>
              <w:adjustRightInd/>
              <w:spacing w:line="560" w:lineRule="exact"/>
              <w:ind w:left="0" w:leftChars="0"/>
              <w:jc w:val="center"/>
              <w:textAlignment w:val="auto"/>
              <w:rPr>
                <w:rFonts w:ascii="宋体" w:hAnsi="宋体"/>
                <w:sz w:val="22"/>
              </w:rPr>
            </w:pPr>
            <w:r>
              <w:rPr>
                <w:rFonts w:hint="eastAsia" w:ascii="宋体" w:hAnsi="宋体"/>
                <w:color w:val="000000"/>
                <w:sz w:val="22"/>
              </w:rPr>
              <w:t>套</w:t>
            </w:r>
          </w:p>
        </w:tc>
        <w:tc>
          <w:tcPr>
            <w:tcW w:w="888" w:type="dxa"/>
            <w:tcBorders>
              <w:top w:val="single" w:color="auto" w:sz="6" w:space="0"/>
              <w:left w:val="single" w:color="auto" w:sz="6" w:space="0"/>
              <w:bottom w:val="single" w:color="auto" w:sz="6" w:space="0"/>
              <w:right w:val="single" w:color="auto" w:sz="6" w:space="0"/>
              <w:tl2br w:val="nil"/>
              <w:tr2bl w:val="nil"/>
            </w:tcBorders>
            <w:vAlign w:val="center"/>
          </w:tcPr>
          <w:p>
            <w:pPr>
              <w:keepLines w:val="0"/>
              <w:pageBreakBefore w:val="0"/>
              <w:kinsoku/>
              <w:wordWrap/>
              <w:topLinePunct w:val="0"/>
              <w:autoSpaceDE/>
              <w:autoSpaceDN/>
              <w:bidi w:val="0"/>
              <w:adjustRightInd/>
              <w:spacing w:line="560" w:lineRule="exact"/>
              <w:ind w:left="0" w:leftChars="0"/>
              <w:jc w:val="center"/>
              <w:textAlignment w:val="auto"/>
              <w:rPr>
                <w:rFonts w:ascii="宋体" w:hAnsi="宋体"/>
                <w:sz w:val="22"/>
              </w:rPr>
            </w:pPr>
            <w:r>
              <w:rPr>
                <w:rFonts w:hint="eastAsia" w:ascii="宋体" w:hAnsi="宋体"/>
                <w:color w:val="000000"/>
                <w:sz w:val="22"/>
              </w:rPr>
              <w:t>1</w:t>
            </w:r>
          </w:p>
        </w:tc>
        <w:tc>
          <w:tcPr>
            <w:tcW w:w="2099" w:type="dxa"/>
            <w:tcBorders>
              <w:top w:val="single" w:color="auto" w:sz="6" w:space="0"/>
              <w:left w:val="single" w:color="auto" w:sz="6" w:space="0"/>
              <w:bottom w:val="single" w:color="auto" w:sz="6" w:space="0"/>
              <w:right w:val="single" w:color="auto" w:sz="6" w:space="0"/>
              <w:tl2br w:val="nil"/>
              <w:tr2bl w:val="nil"/>
            </w:tcBorders>
            <w:vAlign w:val="center"/>
          </w:tcPr>
          <w:p>
            <w:pPr>
              <w:keepLines w:val="0"/>
              <w:pageBreakBefore w:val="0"/>
              <w:kinsoku/>
              <w:wordWrap/>
              <w:topLinePunct w:val="0"/>
              <w:autoSpaceDE/>
              <w:autoSpaceDN/>
              <w:bidi w:val="0"/>
              <w:adjustRightInd/>
              <w:spacing w:line="560" w:lineRule="exact"/>
              <w:ind w:left="0" w:leftChars="0"/>
              <w:jc w:val="center"/>
              <w:textAlignment w:val="auto"/>
              <w:rPr>
                <w:rFonts w:ascii="宋体" w:hAnsi="宋体"/>
                <w:sz w:val="22"/>
              </w:rPr>
            </w:pPr>
            <w:r>
              <w:rPr>
                <w:rFonts w:hint="eastAsia" w:ascii="宋体" w:hAnsi="宋体"/>
                <w:color w:val="000000"/>
                <w:sz w:val="22"/>
              </w:rPr>
              <w:t>满足招标方要求</w:t>
            </w:r>
          </w:p>
        </w:tc>
      </w:tr>
      <w:tr>
        <w:tblPrEx>
          <w:tblLayout w:type="fixed"/>
          <w:tblCellMar>
            <w:top w:w="0" w:type="dxa"/>
            <w:left w:w="108" w:type="dxa"/>
            <w:bottom w:w="0" w:type="dxa"/>
            <w:right w:w="108" w:type="dxa"/>
          </w:tblCellMar>
        </w:tblPrEx>
        <w:trPr>
          <w:trHeight w:val="547" w:hRule="atLeast"/>
        </w:trPr>
        <w:tc>
          <w:tcPr>
            <w:tcW w:w="973" w:type="dxa"/>
            <w:tcBorders>
              <w:top w:val="single" w:color="auto" w:sz="6" w:space="0"/>
              <w:left w:val="single" w:color="auto" w:sz="6" w:space="0"/>
              <w:bottom w:val="single" w:color="auto" w:sz="6" w:space="0"/>
              <w:right w:val="single" w:color="auto" w:sz="6" w:space="0"/>
              <w:tl2br w:val="nil"/>
              <w:tr2bl w:val="nil"/>
            </w:tcBorders>
            <w:vAlign w:val="center"/>
          </w:tcPr>
          <w:p>
            <w:pPr>
              <w:keepLines w:val="0"/>
              <w:pageBreakBefore w:val="0"/>
              <w:kinsoku/>
              <w:wordWrap/>
              <w:topLinePunct w:val="0"/>
              <w:autoSpaceDE/>
              <w:autoSpaceDN/>
              <w:bidi w:val="0"/>
              <w:adjustRightInd/>
              <w:spacing w:line="560" w:lineRule="exact"/>
              <w:ind w:left="0" w:leftChars="0"/>
              <w:jc w:val="center"/>
              <w:textAlignment w:val="auto"/>
              <w:rPr>
                <w:rFonts w:hint="eastAsia" w:ascii="宋体" w:hAnsi="宋体" w:eastAsia="宋体"/>
                <w:sz w:val="22"/>
                <w:lang w:val="en-US" w:eastAsia="zh-CN"/>
              </w:rPr>
            </w:pPr>
            <w:r>
              <w:rPr>
                <w:rFonts w:hint="eastAsia" w:ascii="宋体" w:hAnsi="宋体"/>
                <w:sz w:val="22"/>
                <w:lang w:val="en-US" w:eastAsia="zh-CN"/>
              </w:rPr>
              <w:t>9</w:t>
            </w:r>
          </w:p>
        </w:tc>
        <w:tc>
          <w:tcPr>
            <w:tcW w:w="3579" w:type="dxa"/>
            <w:tcBorders>
              <w:top w:val="single" w:color="auto" w:sz="6" w:space="0"/>
              <w:left w:val="single" w:color="auto" w:sz="6" w:space="0"/>
              <w:bottom w:val="single" w:color="auto" w:sz="6" w:space="0"/>
              <w:right w:val="single" w:color="auto" w:sz="6" w:space="0"/>
              <w:tl2br w:val="nil"/>
              <w:tr2bl w:val="nil"/>
            </w:tcBorders>
            <w:vAlign w:val="center"/>
          </w:tcPr>
          <w:p>
            <w:pPr>
              <w:keepLines w:val="0"/>
              <w:pageBreakBefore w:val="0"/>
              <w:kinsoku/>
              <w:wordWrap/>
              <w:topLinePunct w:val="0"/>
              <w:autoSpaceDE/>
              <w:autoSpaceDN/>
              <w:bidi w:val="0"/>
              <w:adjustRightInd/>
              <w:spacing w:line="560" w:lineRule="exact"/>
              <w:ind w:left="0" w:leftChars="0"/>
              <w:jc w:val="center"/>
              <w:textAlignment w:val="auto"/>
              <w:rPr>
                <w:rFonts w:ascii="宋体" w:hAnsi="宋体"/>
                <w:sz w:val="22"/>
              </w:rPr>
            </w:pPr>
            <w:r>
              <w:rPr>
                <w:rFonts w:hint="eastAsia" w:ascii="宋体" w:hAnsi="宋体"/>
                <w:sz w:val="22"/>
                <w:lang w:val="en-US" w:eastAsia="zh-CN"/>
              </w:rPr>
              <w:t>便携式</w:t>
            </w:r>
            <w:r>
              <w:rPr>
                <w:rFonts w:hint="eastAsia" w:ascii="宋体" w:hAnsi="宋体"/>
                <w:sz w:val="22"/>
              </w:rPr>
              <w:t>系统终端</w:t>
            </w:r>
          </w:p>
        </w:tc>
        <w:tc>
          <w:tcPr>
            <w:tcW w:w="1061" w:type="dxa"/>
            <w:tcBorders>
              <w:top w:val="single" w:color="auto" w:sz="6" w:space="0"/>
              <w:left w:val="single" w:color="auto" w:sz="6" w:space="0"/>
              <w:bottom w:val="single" w:color="auto" w:sz="6" w:space="0"/>
              <w:right w:val="single" w:color="auto" w:sz="6" w:space="0"/>
              <w:tl2br w:val="nil"/>
              <w:tr2bl w:val="nil"/>
            </w:tcBorders>
            <w:vAlign w:val="center"/>
          </w:tcPr>
          <w:p>
            <w:pPr>
              <w:keepLines w:val="0"/>
              <w:pageBreakBefore w:val="0"/>
              <w:kinsoku/>
              <w:wordWrap/>
              <w:topLinePunct w:val="0"/>
              <w:autoSpaceDE/>
              <w:autoSpaceDN/>
              <w:bidi w:val="0"/>
              <w:adjustRightInd/>
              <w:spacing w:line="560" w:lineRule="exact"/>
              <w:ind w:left="0" w:leftChars="0"/>
              <w:jc w:val="center"/>
              <w:textAlignment w:val="auto"/>
              <w:rPr>
                <w:rFonts w:ascii="宋体" w:hAnsi="宋体"/>
                <w:sz w:val="22"/>
              </w:rPr>
            </w:pPr>
            <w:r>
              <w:rPr>
                <w:rFonts w:hint="eastAsia" w:ascii="宋体" w:hAnsi="宋体"/>
                <w:sz w:val="22"/>
              </w:rPr>
              <w:t>台</w:t>
            </w:r>
          </w:p>
        </w:tc>
        <w:tc>
          <w:tcPr>
            <w:tcW w:w="888" w:type="dxa"/>
            <w:tcBorders>
              <w:top w:val="single" w:color="auto" w:sz="6" w:space="0"/>
              <w:left w:val="single" w:color="auto" w:sz="6" w:space="0"/>
              <w:bottom w:val="single" w:color="auto" w:sz="6" w:space="0"/>
              <w:right w:val="single" w:color="auto" w:sz="6" w:space="0"/>
              <w:tl2br w:val="nil"/>
              <w:tr2bl w:val="nil"/>
            </w:tcBorders>
            <w:vAlign w:val="center"/>
          </w:tcPr>
          <w:p>
            <w:pPr>
              <w:keepLines w:val="0"/>
              <w:pageBreakBefore w:val="0"/>
              <w:kinsoku/>
              <w:wordWrap/>
              <w:topLinePunct w:val="0"/>
              <w:autoSpaceDE/>
              <w:autoSpaceDN/>
              <w:bidi w:val="0"/>
              <w:adjustRightInd/>
              <w:spacing w:line="560" w:lineRule="exact"/>
              <w:ind w:left="0" w:leftChars="0"/>
              <w:jc w:val="center"/>
              <w:textAlignment w:val="auto"/>
              <w:rPr>
                <w:rFonts w:ascii="宋体" w:hAnsi="宋体"/>
                <w:sz w:val="22"/>
              </w:rPr>
            </w:pPr>
            <w:r>
              <w:rPr>
                <w:rFonts w:hint="eastAsia" w:ascii="宋体" w:hAnsi="宋体"/>
                <w:sz w:val="22"/>
              </w:rPr>
              <w:t>2</w:t>
            </w:r>
          </w:p>
        </w:tc>
        <w:tc>
          <w:tcPr>
            <w:tcW w:w="2099" w:type="dxa"/>
            <w:tcBorders>
              <w:top w:val="single" w:color="auto" w:sz="6" w:space="0"/>
              <w:left w:val="single" w:color="auto" w:sz="6" w:space="0"/>
              <w:bottom w:val="single" w:color="auto" w:sz="6" w:space="0"/>
              <w:right w:val="single" w:color="auto" w:sz="6" w:space="0"/>
              <w:tl2br w:val="nil"/>
              <w:tr2bl w:val="nil"/>
            </w:tcBorders>
            <w:vAlign w:val="center"/>
          </w:tcPr>
          <w:p>
            <w:pPr>
              <w:keepLines w:val="0"/>
              <w:pageBreakBefore w:val="0"/>
              <w:kinsoku/>
              <w:wordWrap/>
              <w:topLinePunct w:val="0"/>
              <w:autoSpaceDE/>
              <w:autoSpaceDN/>
              <w:bidi w:val="0"/>
              <w:adjustRightInd/>
              <w:spacing w:line="560" w:lineRule="exact"/>
              <w:ind w:left="0" w:leftChars="0"/>
              <w:jc w:val="center"/>
              <w:textAlignment w:val="auto"/>
              <w:rPr>
                <w:rFonts w:ascii="宋体" w:hAnsi="宋体"/>
                <w:sz w:val="22"/>
              </w:rPr>
            </w:pPr>
            <w:r>
              <w:rPr>
                <w:rFonts w:hint="eastAsia" w:ascii="宋体" w:hAnsi="宋体"/>
                <w:sz w:val="22"/>
              </w:rPr>
              <w:t>14吋显示器，酷睿i</w:t>
            </w:r>
            <w:r>
              <w:rPr>
                <w:rFonts w:hint="eastAsia" w:ascii="宋体" w:hAnsi="宋体"/>
                <w:sz w:val="22"/>
                <w:lang w:val="en-US" w:eastAsia="zh-CN"/>
              </w:rPr>
              <w:t>7</w:t>
            </w:r>
            <w:r>
              <w:rPr>
                <w:rFonts w:hint="eastAsia" w:ascii="宋体" w:hAnsi="宋体"/>
                <w:sz w:val="22"/>
              </w:rPr>
              <w:t>处理器，8G内存，</w:t>
            </w:r>
            <w:r>
              <w:rPr>
                <w:rFonts w:hint="eastAsia" w:ascii="宋体" w:hAnsi="宋体"/>
                <w:sz w:val="22"/>
                <w:lang w:val="en-US" w:eastAsia="zh-CN"/>
              </w:rPr>
              <w:t>1T</w:t>
            </w:r>
            <w:r>
              <w:rPr>
                <w:rFonts w:hint="eastAsia" w:ascii="宋体" w:hAnsi="宋体"/>
                <w:sz w:val="22"/>
              </w:rPr>
              <w:t xml:space="preserve"> SSD硬盘，Windows 10系统</w:t>
            </w:r>
          </w:p>
        </w:tc>
      </w:tr>
    </w:tbl>
    <w:p>
      <w:pPr>
        <w:keepLines w:val="0"/>
        <w:pageBreakBefore w:val="0"/>
        <w:kinsoku/>
        <w:wordWrap/>
        <w:overflowPunct w:val="0"/>
        <w:topLinePunct w:val="0"/>
        <w:autoSpaceDE/>
        <w:autoSpaceDN/>
        <w:bidi w:val="0"/>
        <w:adjustRightInd/>
        <w:snapToGrid w:val="0"/>
        <w:spacing w:line="560" w:lineRule="exact"/>
        <w:ind w:left="0" w:leftChars="0" w:right="396" w:rightChars="165" w:firstLine="560" w:firstLineChars="200"/>
        <w:jc w:val="center"/>
        <w:textAlignment w:val="auto"/>
        <w:rPr>
          <w:rFonts w:asciiTheme="minorEastAsia" w:hAnsiTheme="minorEastAsia" w:eastAsiaTheme="minorEastAsia" w:cstheme="minorEastAsia"/>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0002A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0002A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方正小标宋简体">
    <w:altName w:val="微软雅黑"/>
    <w:panose1 w:val="03000509000000000000"/>
    <w:charset w:val="86"/>
    <w:family w:val="auto"/>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仿宋_GB2312">
    <w:altName w:val="仿宋"/>
    <w:panose1 w:val="00000000000000000000"/>
    <w:charset w:val="00"/>
    <w:family w:val="auto"/>
    <w:pitch w:val="default"/>
    <w:sig w:usb0="00000000" w:usb1="00000000" w:usb2="00000000" w:usb3="00000000" w:csb0="00000000" w:csb1="00000000"/>
  </w:font>
  <w:font w:name="ISOCT">
    <w:altName w:val="Times New Roman"/>
    <w:panose1 w:val="00000000000000000000"/>
    <w:charset w:val="00"/>
    <w:family w:val="auto"/>
    <w:pitch w:val="default"/>
    <w:sig w:usb0="00000000" w:usb1="00000000" w:usb2="00000000" w:usb3="00000000" w:csb0="00000001" w:csb1="00000000"/>
  </w:font>
  <w:font w:name="Arial Unicode MS">
    <w:altName w:val="宋体"/>
    <w:panose1 w:val="020B0604020202020204"/>
    <w:charset w:val="86"/>
    <w:family w:val="swiss"/>
    <w:pitch w:val="default"/>
    <w:sig w:usb0="00000000" w:usb1="00000000" w:usb2="0000003F" w:usb3="00000000" w:csb0="603F01FF" w:csb1="FFFF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SymbolPS">
    <w:altName w:val="Segoe Print"/>
    <w:panose1 w:val="05050102010607020607"/>
    <w:charset w:val="00"/>
    <w:family w:val="auto"/>
    <w:pitch w:val="default"/>
    <w:sig w:usb0="00000000" w:usb1="00000000" w:usb2="00000000" w:usb3="00000000" w:csb0="00000000" w:csb1="00000000"/>
  </w:font>
  <w:font w:name="Courier">
    <w:altName w:val="Courier New"/>
    <w:panose1 w:val="02060409020205020404"/>
    <w:charset w:val="00"/>
    <w:family w:val="auto"/>
    <w:pitch w:val="default"/>
    <w:sig w:usb0="00000000" w:usb1="00000000" w:usb2="00000000" w:usb3="00000000" w:csb0="00000093" w:csb1="00000000"/>
  </w:font>
  <w:font w:name="Bookshelf Symbol 7">
    <w:altName w:val="Symbol"/>
    <w:panose1 w:val="05010101010101010101"/>
    <w:charset w:val="00"/>
    <w:family w:val="auto"/>
    <w:pitch w:val="default"/>
    <w:sig w:usb0="00000000" w:usb1="00000000" w:usb2="00000000" w:usb3="00000000" w:csb0="80000000" w:csb1="00000000"/>
  </w:font>
  <w:font w:name="Segoe UI">
    <w:panose1 w:val="020B0502040204020203"/>
    <w:charset w:val="00"/>
    <w:family w:val="auto"/>
    <w:pitch w:val="default"/>
    <w:sig w:usb0="E4002EFF" w:usb1="C000E47F" w:usb2="00000009" w:usb3="00000000" w:csb0="200001FF" w:csb1="00000000"/>
  </w:font>
  <w:font w:name="Segoe Print">
    <w:panose1 w:val="02000600000000000000"/>
    <w:charset w:val="00"/>
    <w:family w:val="auto"/>
    <w:pitch w:val="default"/>
    <w:sig w:usb0="0000028F" w:usb1="00000000" w:usb2="00000000" w:usb3="00000000" w:csb0="2000009F" w:csb1="47010000"/>
  </w:font>
  <w:font w:name="Symbol">
    <w:panose1 w:val="05050102010706020507"/>
    <w:charset w:val="00"/>
    <w:family w:val="auto"/>
    <w:pitch w:val="default"/>
    <w:sig w:usb0="00000000" w:usb1="00000000" w:usb2="00000000" w:usb3="00000000" w:csb0="80000000"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Helvetica Neue">
    <w:altName w:val="Corbel"/>
    <w:panose1 w:val="02000503000000020004"/>
    <w:charset w:val="00"/>
    <w:family w:val="auto"/>
    <w:pitch w:val="default"/>
    <w:sig w:usb0="00000000" w:usb1="00000000" w:usb2="00000010" w:usb3="00000000" w:csb0="00000001" w:csb1="00000000"/>
  </w:font>
  <w:font w:name="Corbel">
    <w:panose1 w:val="020B0503020204020204"/>
    <w:charset w:val="00"/>
    <w:family w:val="auto"/>
    <w:pitch w:val="default"/>
    <w:sig w:usb0="A00002EF" w:usb1="4000A44B" w:usb2="00000000" w:usb3="00000000" w:csb0="2000019F" w:csb1="00000000"/>
  </w:font>
  <w:font w:name="PingFang SC">
    <w:altName w:val="宋体"/>
    <w:panose1 w:val="020B0400000000000000"/>
    <w:charset w:val="86"/>
    <w:family w:val="auto"/>
    <w:pitch w:val="default"/>
    <w:sig w:usb0="00000000" w:usb1="00000000" w:usb2="00000016" w:usb3="00000000" w:csb0="00140001" w:csb1="00000000"/>
  </w:font>
  <w:font w:name="Glyphicons Halflings">
    <w:altName w:val="Segoe Print"/>
    <w:panose1 w:val="00000000000000000000"/>
    <w:charset w:val="00"/>
    <w:family w:val="auto"/>
    <w:pitch w:val="default"/>
    <w:sig w:usb0="00000000" w:usb1="00000000" w:usb2="00000000" w:usb3="00000000" w:csb0="00000000" w:csb1="00000000"/>
  </w:font>
  <w:font w:name="AdobeHeitiStd-Regular">
    <w:altName w:val="Segoe Print"/>
    <w:panose1 w:val="00000000000000000000"/>
    <w:charset w:val="00"/>
    <w:family w:val="auto"/>
    <w:pitch w:val="default"/>
    <w:sig w:usb0="00000000" w:usb1="00000000" w:usb2="00000000" w:usb3="00000000" w:csb0="00000000"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57E32"/>
    <w:rsid w:val="00172A27"/>
    <w:rsid w:val="002617D5"/>
    <w:rsid w:val="002B14EF"/>
    <w:rsid w:val="00330D2E"/>
    <w:rsid w:val="0054015B"/>
    <w:rsid w:val="006B543E"/>
    <w:rsid w:val="007E202B"/>
    <w:rsid w:val="008161D2"/>
    <w:rsid w:val="00964589"/>
    <w:rsid w:val="00AA5995"/>
    <w:rsid w:val="00AB6EC7"/>
    <w:rsid w:val="00B146B2"/>
    <w:rsid w:val="00BF1B04"/>
    <w:rsid w:val="00DD73FA"/>
    <w:rsid w:val="00F35E47"/>
    <w:rsid w:val="03AB5B17"/>
    <w:rsid w:val="05B81016"/>
    <w:rsid w:val="07085F7B"/>
    <w:rsid w:val="08577DC6"/>
    <w:rsid w:val="09103B80"/>
    <w:rsid w:val="09C01A9B"/>
    <w:rsid w:val="0A722844"/>
    <w:rsid w:val="0DCA302B"/>
    <w:rsid w:val="10FA58DF"/>
    <w:rsid w:val="12AF2C85"/>
    <w:rsid w:val="13A93CDB"/>
    <w:rsid w:val="15A33367"/>
    <w:rsid w:val="15CD7840"/>
    <w:rsid w:val="199417A9"/>
    <w:rsid w:val="19950C80"/>
    <w:rsid w:val="199A5822"/>
    <w:rsid w:val="1B8F4CE9"/>
    <w:rsid w:val="1BDA06F7"/>
    <w:rsid w:val="1CCE5F85"/>
    <w:rsid w:val="1D8F6F5C"/>
    <w:rsid w:val="1DF506B4"/>
    <w:rsid w:val="1E1611EC"/>
    <w:rsid w:val="1E28333C"/>
    <w:rsid w:val="1F5579B7"/>
    <w:rsid w:val="1F894B40"/>
    <w:rsid w:val="2198340E"/>
    <w:rsid w:val="22954CF6"/>
    <w:rsid w:val="22975120"/>
    <w:rsid w:val="237D2244"/>
    <w:rsid w:val="23C9493E"/>
    <w:rsid w:val="23DA1280"/>
    <w:rsid w:val="25DE76BC"/>
    <w:rsid w:val="27521FC8"/>
    <w:rsid w:val="2BB8714C"/>
    <w:rsid w:val="2C1D6C65"/>
    <w:rsid w:val="2E1506E7"/>
    <w:rsid w:val="2E2B74A9"/>
    <w:rsid w:val="2F0F452D"/>
    <w:rsid w:val="301A3173"/>
    <w:rsid w:val="32C43BE7"/>
    <w:rsid w:val="330531F9"/>
    <w:rsid w:val="3323037D"/>
    <w:rsid w:val="35D1134A"/>
    <w:rsid w:val="379019F3"/>
    <w:rsid w:val="379F0680"/>
    <w:rsid w:val="37A93976"/>
    <w:rsid w:val="37E22D9F"/>
    <w:rsid w:val="388D2041"/>
    <w:rsid w:val="3A48567F"/>
    <w:rsid w:val="3D5B0E2E"/>
    <w:rsid w:val="3F165981"/>
    <w:rsid w:val="3F2D7831"/>
    <w:rsid w:val="43842173"/>
    <w:rsid w:val="43ED3B37"/>
    <w:rsid w:val="44360BF3"/>
    <w:rsid w:val="445E3FD8"/>
    <w:rsid w:val="44D652F9"/>
    <w:rsid w:val="45516788"/>
    <w:rsid w:val="455F0F3B"/>
    <w:rsid w:val="460C7073"/>
    <w:rsid w:val="47C03C0D"/>
    <w:rsid w:val="47DB2BE6"/>
    <w:rsid w:val="49E12354"/>
    <w:rsid w:val="4B767F6F"/>
    <w:rsid w:val="4B9C3E91"/>
    <w:rsid w:val="4DE104E0"/>
    <w:rsid w:val="4E085F70"/>
    <w:rsid w:val="4F7562A5"/>
    <w:rsid w:val="4FFE7363"/>
    <w:rsid w:val="50116B92"/>
    <w:rsid w:val="50BB6C63"/>
    <w:rsid w:val="50E54D9E"/>
    <w:rsid w:val="52B2237F"/>
    <w:rsid w:val="53AE00DA"/>
    <w:rsid w:val="54361277"/>
    <w:rsid w:val="54D71940"/>
    <w:rsid w:val="55031E59"/>
    <w:rsid w:val="556922A5"/>
    <w:rsid w:val="55ED4678"/>
    <w:rsid w:val="56F53F08"/>
    <w:rsid w:val="58C77201"/>
    <w:rsid w:val="595B3DF0"/>
    <w:rsid w:val="59F7608A"/>
    <w:rsid w:val="5A0A56D3"/>
    <w:rsid w:val="5AB9345E"/>
    <w:rsid w:val="5B142CF9"/>
    <w:rsid w:val="5B506286"/>
    <w:rsid w:val="5C44630C"/>
    <w:rsid w:val="5CA2006E"/>
    <w:rsid w:val="5EED7347"/>
    <w:rsid w:val="5F69699B"/>
    <w:rsid w:val="606D34FB"/>
    <w:rsid w:val="61C2681D"/>
    <w:rsid w:val="61F31A70"/>
    <w:rsid w:val="625842FD"/>
    <w:rsid w:val="63457873"/>
    <w:rsid w:val="64D30126"/>
    <w:rsid w:val="65EF596C"/>
    <w:rsid w:val="675A0107"/>
    <w:rsid w:val="684D7961"/>
    <w:rsid w:val="68B03D09"/>
    <w:rsid w:val="697F5519"/>
    <w:rsid w:val="69836E0A"/>
    <w:rsid w:val="6A136A13"/>
    <w:rsid w:val="6B0F780D"/>
    <w:rsid w:val="6BE8699A"/>
    <w:rsid w:val="6C2E45F8"/>
    <w:rsid w:val="6D8775FD"/>
    <w:rsid w:val="6EF636B0"/>
    <w:rsid w:val="6F6B0CCB"/>
    <w:rsid w:val="6FFA1E50"/>
    <w:rsid w:val="7024248A"/>
    <w:rsid w:val="70CC5189"/>
    <w:rsid w:val="715F46B2"/>
    <w:rsid w:val="72E6301B"/>
    <w:rsid w:val="73403604"/>
    <w:rsid w:val="74811F9E"/>
    <w:rsid w:val="79AC015E"/>
    <w:rsid w:val="79F11735"/>
    <w:rsid w:val="7A405675"/>
    <w:rsid w:val="7A670888"/>
    <w:rsid w:val="7ADA1235"/>
    <w:rsid w:val="7B042696"/>
    <w:rsid w:val="7B1636EA"/>
    <w:rsid w:val="7B197DB1"/>
    <w:rsid w:val="7C003240"/>
    <w:rsid w:val="7C5C18E7"/>
    <w:rsid w:val="7F1214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4"/>
      <w:szCs w:val="24"/>
      <w:lang w:val="en-US" w:eastAsia="zh-CN" w:bidi="ar-SA"/>
    </w:rPr>
  </w:style>
  <w:style w:type="paragraph" w:styleId="2">
    <w:name w:val="heading 1"/>
    <w:basedOn w:val="1"/>
    <w:next w:val="1"/>
    <w:qFormat/>
    <w:uiPriority w:val="0"/>
    <w:pPr>
      <w:keepNext/>
      <w:jc w:val="center"/>
      <w:outlineLvl w:val="0"/>
    </w:pPr>
    <w:rPr>
      <w:rFonts w:ascii="宋体" w:hAnsi="宋体"/>
      <w:sz w:val="28"/>
    </w:rPr>
  </w:style>
  <w:style w:type="paragraph" w:styleId="3">
    <w:name w:val="heading 2"/>
    <w:basedOn w:val="1"/>
    <w:next w:val="1"/>
    <w:qFormat/>
    <w:uiPriority w:val="9"/>
    <w:pPr>
      <w:keepNext/>
      <w:keepLines/>
      <w:tabs>
        <w:tab w:val="left" w:pos="575"/>
      </w:tabs>
      <w:spacing w:before="260" w:after="260" w:line="413" w:lineRule="auto"/>
      <w:outlineLvl w:val="1"/>
    </w:pPr>
    <w:rPr>
      <w:rFonts w:ascii="Arial" w:hAnsi="Arial" w:eastAsia="黑体"/>
      <w:b/>
      <w:sz w:val="32"/>
    </w:rPr>
  </w:style>
  <w:style w:type="paragraph" w:styleId="4">
    <w:name w:val="heading 3"/>
    <w:basedOn w:val="1"/>
    <w:next w:val="1"/>
    <w:qFormat/>
    <w:uiPriority w:val="0"/>
    <w:pPr>
      <w:keepNext/>
      <w:keepLines/>
      <w:tabs>
        <w:tab w:val="left" w:pos="720"/>
      </w:tabs>
      <w:spacing w:before="260" w:after="260" w:line="413" w:lineRule="auto"/>
      <w:outlineLvl w:val="2"/>
    </w:pPr>
    <w:rPr>
      <w:b/>
      <w:sz w:val="32"/>
    </w:rPr>
  </w:style>
  <w:style w:type="character" w:default="1" w:styleId="6">
    <w:name w:val="Default Paragraph Font"/>
    <w:unhideWhenUsed/>
    <w:qFormat/>
    <w:uiPriority w:val="1"/>
  </w:style>
  <w:style w:type="table" w:default="1" w:styleId="8">
    <w:name w:val="Normal Table"/>
    <w:unhideWhenUsed/>
    <w:qFormat/>
    <w:uiPriority w:val="99"/>
    <w:tblPr>
      <w:tblLayout w:type="fixed"/>
      <w:tblCellMar>
        <w:top w:w="0" w:type="dxa"/>
        <w:left w:w="108" w:type="dxa"/>
        <w:bottom w:w="0" w:type="dxa"/>
        <w:right w:w="108" w:type="dxa"/>
      </w:tblCellMar>
    </w:tbl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Hyperlink"/>
    <w:qFormat/>
    <w:uiPriority w:val="99"/>
    <w:rPr>
      <w:color w:val="0000FF"/>
      <w:u w:val="single"/>
    </w:rPr>
  </w:style>
  <w:style w:type="paragraph" w:customStyle="1" w:styleId="9">
    <w:name w:val="_正文"/>
    <w:basedOn w:val="1"/>
    <w:qFormat/>
    <w:uiPriority w:val="0"/>
    <w:pPr>
      <w:spacing w:line="360" w:lineRule="auto"/>
      <w:ind w:right="100" w:rightChars="100" w:firstLine="200" w:firstLineChars="200"/>
    </w:pPr>
    <w:rPr>
      <w:rFonts w:eastAsia="等线"/>
      <w:kern w:val="0"/>
    </w:rPr>
  </w:style>
  <w:style w:type="paragraph" w:customStyle="1" w:styleId="10">
    <w:name w:val="样式 段 + 四号 首行缩进:  2 字符 行距: 1.5 倍行距"/>
    <w:basedOn w:val="1"/>
    <w:qFormat/>
    <w:uiPriority w:val="0"/>
    <w:pPr>
      <w:widowControl/>
      <w:autoSpaceDE w:val="0"/>
      <w:autoSpaceDN w:val="0"/>
      <w:spacing w:line="360" w:lineRule="auto"/>
      <w:ind w:firstLine="560" w:firstLineChars="200"/>
    </w:pPr>
    <w:rPr>
      <w:rFonts w:ascii="宋体"/>
      <w:kern w:val="0"/>
      <w:szCs w:val="20"/>
    </w:rPr>
  </w:style>
  <w:style w:type="character" w:customStyle="1" w:styleId="11">
    <w:name w:val="button"/>
    <w:basedOn w:val="6"/>
    <w:qFormat/>
    <w:uiPriority w:val="0"/>
  </w:style>
  <w:style w:type="character" w:customStyle="1" w:styleId="12">
    <w:name w:val="tmpztreemove_arrow"/>
    <w:basedOn w:val="6"/>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612</Words>
  <Characters>3489</Characters>
  <Lines>29</Lines>
  <Paragraphs>8</Paragraphs>
  <ScaleCrop>false</ScaleCrop>
  <LinksUpToDate>false</LinksUpToDate>
  <CharactersWithSpaces>4093</CharactersWithSpaces>
  <Application>WPS Office_10.8.0.6206_F1E327BC-269C-435d-A152-05C5408002CA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2019-03-26T06:30:00Z</dcterms:created>
  <dc:creator>yxl</dc:creator>
  <cp:lastModifiedBy>潘攀</cp:lastModifiedBy>
  <dcterms:modified xsi:type="dcterms:W3CDTF">2019-04-08T08:58:31Z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2052-10.8.0.6206</vt:lpwstr>
  </property>
</Properties>
</file>