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附件2：</w:t>
      </w:r>
    </w:p>
    <w:p>
      <w:pPr>
        <w:pStyle w:val="5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经我方认研究与考虑，现正式对贵公司2022年夏季工作服采购项目报价如下：</w:t>
      </w:r>
    </w:p>
    <w:p>
      <w:pPr>
        <w:pStyle w:val="5"/>
        <w:ind w:firstLine="0" w:firstLineChars="0"/>
        <w:rPr>
          <w:rFonts w:hint="eastAsia"/>
        </w:rPr>
      </w:pPr>
    </w:p>
    <w:tbl>
      <w:tblPr>
        <w:tblStyle w:val="3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5"/>
        <w:ind w:firstLine="5040" w:firstLineChars="1800"/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85794"/>
    <w:rsid w:val="04F8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customStyle="1" w:styleId="5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2022-05-09T08:53:00Z</dcterms:created>
  <dc:creator>于长亮</dc:creator>
  <cp:lastModifiedBy>于长亮</cp:lastModifiedBy>
  <dcterms:modified xsi:type="dcterms:W3CDTF">2022-05-09T08:55:06Z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