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神华上航疏浚公司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2023年中国航海日活动宣传画册采购项目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密封比价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  <w:lang w:eastAsia="zh-CN"/>
        </w:rPr>
        <w:t>技术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文件</w:t>
      </w:r>
    </w:p>
    <w:p>
      <w:pPr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一、</w:t>
      </w:r>
      <w:r>
        <w:rPr>
          <w:rFonts w:hint="eastAsia" w:ascii="仿宋_GB2312" w:hAnsi="宋体" w:eastAsia="仿宋_GB2312"/>
          <w:b/>
          <w:bCs/>
          <w:sz w:val="32"/>
          <w:szCs w:val="32"/>
          <w:lang w:eastAsia="zh-CN"/>
        </w:rPr>
        <w:t>项目控制价格、技术要求及付款条件：</w:t>
      </w:r>
    </w:p>
    <w:p>
      <w:pPr>
        <w:ind w:firstLine="640" w:firstLineChars="200"/>
        <w:rPr>
          <w:rFonts w:hint="default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1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、项目概况：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为落实2023年中国航海日活动周工作方案要求，我司拟制作一批安全宣传画册，用于宣传展示我司近年来安全生产发展成果。</w:t>
      </w:r>
    </w:p>
    <w:p>
      <w:pPr>
        <w:ind w:left="721" w:leftChars="267" w:hanging="160" w:hangingChars="5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质量要求：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eastAsia="zh-CN"/>
        </w:rPr>
        <w:t>必须满足附件中所列标的物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品名的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技术参数要求，商品提供必须为标的物合格产品；必须满足并达到项目业主单位的需求、质量、服务等相关要求。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3、控制价格：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报价人所投价格为最终目的价格，且不得高于投标控制价格（含税、含运费、人工搬运等费用等相关的所有费用），超过投标控制价则视为无效投标文件。</w:t>
      </w:r>
    </w:p>
    <w:p>
      <w:pPr>
        <w:ind w:firstLine="640" w:firstLineChars="200"/>
        <w:jc w:val="left"/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4、付款条件：</w:t>
      </w:r>
    </w:p>
    <w:p>
      <w:pPr>
        <w:pStyle w:val="3"/>
        <w:adjustRightInd w:val="0"/>
        <w:snapToGrid w:val="0"/>
        <w:spacing w:line="560" w:lineRule="exact"/>
        <w:ind w:firstLine="723" w:firstLineChars="226"/>
        <w:jc w:val="both"/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>供货商在指定的交货日期内将货物配送至采购方指定地点，并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由</w:t>
      </w: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>采购方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签署供收货确认单，供应商通过供收货确认单确认的数量及</w:t>
      </w: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>金额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开具等额的</w:t>
      </w: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>正规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发票，</w:t>
      </w: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>采购方收到发票确认无误后30日内，以对公转账方式一次性结清全部费用。</w:t>
      </w:r>
    </w:p>
    <w:p>
      <w:pPr>
        <w:ind w:firstLine="157" w:firstLineChars="49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二</w:t>
      </w:r>
      <w:r>
        <w:rPr>
          <w:rFonts w:ascii="仿宋_GB2312" w:hAnsi="宋体" w:eastAsia="仿宋_GB2312"/>
          <w:b/>
          <w:sz w:val="32"/>
          <w:szCs w:val="32"/>
        </w:rPr>
        <w:t>、开标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1、开标会议由比价方确定时间、地点、方式。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2、投标文件有下列情况之一者将视为无效。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1)、投标文件未按规定标注、密封。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2)、未按规定的格式填写，内容不全或字迹模糊辨认不清。</w:t>
      </w:r>
    </w:p>
    <w:p>
      <w:pPr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>3)、任何不完整或不满足比价要求的投标书。</w:t>
      </w:r>
    </w:p>
    <w:p>
      <w:pPr>
        <w:spacing w:line="360" w:lineRule="auto"/>
        <w:ind w:firstLine="640" w:firstLineChars="200"/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color w:val="auto"/>
          <w:sz w:val="32"/>
          <w:szCs w:val="32"/>
          <w:lang w:eastAsia="zh-CN"/>
        </w:rPr>
        <w:t>3、 开标时，比价方有权就比价文件中含混之处向投标方提出询问或澄清要求。</w:t>
      </w:r>
    </w:p>
    <w:p>
      <w:pPr>
        <w:ind w:firstLine="315" w:firstLineChars="98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三</w:t>
      </w:r>
      <w:r>
        <w:rPr>
          <w:rFonts w:ascii="仿宋_GB2312" w:eastAsia="仿宋_GB2312"/>
          <w:b/>
          <w:sz w:val="32"/>
          <w:szCs w:val="32"/>
        </w:rPr>
        <w:t>、评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选</w:t>
      </w:r>
      <w:r>
        <w:rPr>
          <w:rFonts w:ascii="仿宋_GB2312" w:eastAsia="仿宋_GB2312"/>
          <w:b/>
          <w:sz w:val="32"/>
          <w:szCs w:val="32"/>
        </w:rPr>
        <w:t>标准</w:t>
      </w:r>
    </w:p>
    <w:p>
      <w:pPr>
        <w:spacing w:line="360" w:lineRule="auto"/>
        <w:rPr>
          <w:rFonts w:ascii="仿宋_GB2312" w:hAnsi="宋体" w:eastAsia="仿宋_GB2312"/>
          <w:b/>
          <w:sz w:val="32"/>
          <w:szCs w:val="32"/>
        </w:rPr>
      </w:pPr>
      <w:r>
        <w:rPr>
          <w:rFonts w:ascii="仿宋_GB2312" w:hAnsi="宋体" w:eastAsia="仿宋_GB2312"/>
          <w:b/>
          <w:sz w:val="32"/>
          <w:szCs w:val="32"/>
        </w:rPr>
        <w:t xml:space="preserve">   一)、评</w:t>
      </w:r>
      <w:r>
        <w:rPr>
          <w:rFonts w:hint="eastAsia" w:ascii="仿宋_GB2312" w:hAnsi="宋体" w:eastAsia="仿宋_GB2312"/>
          <w:b/>
          <w:sz w:val="32"/>
          <w:szCs w:val="32"/>
          <w:lang w:eastAsia="zh-CN"/>
        </w:rPr>
        <w:t>选</w:t>
      </w:r>
      <w:r>
        <w:rPr>
          <w:rFonts w:ascii="仿宋_GB2312" w:hAnsi="宋体" w:eastAsia="仿宋_GB2312"/>
          <w:b/>
          <w:sz w:val="32"/>
          <w:szCs w:val="32"/>
        </w:rPr>
        <w:t>办法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 xml:space="preserve">     </w:t>
      </w:r>
      <w:r>
        <w:rPr>
          <w:rFonts w:ascii="仿宋" w:hAnsi="仿宋" w:eastAsia="仿宋"/>
          <w:color w:val="auto"/>
          <w:sz w:val="32"/>
          <w:szCs w:val="32"/>
        </w:rPr>
        <w:t>采用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满足项目需求，质量和服务相等控制（单价）总价（含税、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运输、人工搬卸等相关的所有费用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）低者优先，控制价格相等的，质量或服务好者优先；报价超过控制价的比价文件无效。</w:t>
      </w:r>
    </w:p>
    <w:p>
      <w:pPr>
        <w:spacing w:line="360" w:lineRule="auto"/>
        <w:ind w:firstLine="472" w:firstLineChars="147"/>
        <w:rPr>
          <w:rFonts w:ascii="仿宋_GB2312" w:hAnsi="宋体" w:eastAsia="仿宋_GB2312"/>
          <w:b/>
          <w:sz w:val="32"/>
          <w:szCs w:val="32"/>
        </w:rPr>
      </w:pPr>
      <w:r>
        <w:rPr>
          <w:rFonts w:ascii="仿宋_GB2312" w:hAnsi="宋体" w:eastAsia="仿宋_GB2312"/>
          <w:b/>
          <w:sz w:val="32"/>
          <w:szCs w:val="32"/>
        </w:rPr>
        <w:t>二）、评标程序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1、首先评标专家对投标文件的符合性、完整性和有效性进行评审，不合格的按废标处理。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2、对投标人的投标报价进行汇总，按照</w:t>
      </w:r>
      <w:r>
        <w:rPr>
          <w:rFonts w:hint="eastAsia" w:ascii="仿宋" w:hAnsi="仿宋" w:eastAsia="仿宋"/>
          <w:sz w:val="32"/>
          <w:szCs w:val="32"/>
          <w:lang w:eastAsia="zh-CN"/>
        </w:rPr>
        <w:t>不得</w:t>
      </w:r>
      <w:r>
        <w:rPr>
          <w:rFonts w:hint="eastAsia" w:ascii="仿宋" w:hAnsi="仿宋" w:eastAsia="仿宋"/>
          <w:sz w:val="32"/>
          <w:szCs w:val="32"/>
        </w:rPr>
        <w:t>超过控制</w:t>
      </w:r>
      <w:r>
        <w:rPr>
          <w:rFonts w:hint="eastAsia" w:ascii="仿宋" w:hAnsi="仿宋" w:eastAsia="仿宋"/>
          <w:sz w:val="32"/>
          <w:szCs w:val="32"/>
          <w:lang w:eastAsia="zh-CN"/>
        </w:rPr>
        <w:t>总价</w:t>
      </w:r>
      <w:r>
        <w:rPr>
          <w:rFonts w:ascii="仿宋" w:hAnsi="仿宋" w:eastAsia="仿宋"/>
          <w:sz w:val="32"/>
          <w:szCs w:val="32"/>
        </w:rPr>
        <w:t>报价最低者排名第一，</w:t>
      </w:r>
      <w:r>
        <w:rPr>
          <w:rFonts w:hint="eastAsia" w:ascii="仿宋" w:hAnsi="仿宋" w:eastAsia="仿宋"/>
          <w:sz w:val="32"/>
          <w:szCs w:val="32"/>
        </w:rPr>
        <w:t xml:space="preserve"> 采用满足项目需求，质量和服务相等控制（单价）总价（含税）低者优先，控制价格相等的质量或服务好者优先评选原则</w:t>
      </w:r>
      <w:r>
        <w:rPr>
          <w:rFonts w:hint="eastAsia" w:ascii="仿宋" w:hAnsi="仿宋" w:eastAsia="仿宋"/>
          <w:sz w:val="32"/>
          <w:szCs w:val="32"/>
          <w:lang w:eastAsia="zh-CN"/>
        </w:rPr>
        <w:t>，选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为</w:t>
      </w:r>
      <w:r>
        <w:rPr>
          <w:rFonts w:hint="eastAsia" w:ascii="仿宋" w:hAnsi="仿宋" w:eastAsia="仿宋"/>
          <w:sz w:val="32"/>
          <w:szCs w:val="32"/>
          <w:lang w:eastAsia="zh-CN"/>
        </w:rPr>
        <w:t>中选</w:t>
      </w:r>
      <w:r>
        <w:rPr>
          <w:rFonts w:ascii="仿宋" w:hAnsi="仿宋" w:eastAsia="仿宋"/>
          <w:sz w:val="32"/>
          <w:szCs w:val="32"/>
        </w:rPr>
        <w:t>人。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157" w:firstLineChars="49"/>
        <w:jc w:val="left"/>
        <w:rPr>
          <w:rFonts w:ascii="仿宋_GB2312" w:hAnsi="宋体" w:eastAsia="仿宋_GB2312"/>
          <w:b/>
          <w:bCs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四</w:t>
      </w:r>
      <w:r>
        <w:rPr>
          <w:rFonts w:ascii="仿宋_GB2312" w:hAnsi="宋体" w:eastAsia="仿宋_GB2312"/>
          <w:b/>
          <w:sz w:val="32"/>
          <w:szCs w:val="32"/>
        </w:rPr>
        <w:t>、</w:t>
      </w:r>
      <w:r>
        <w:rPr>
          <w:rFonts w:ascii="仿宋_GB2312" w:hAnsi="宋体" w:eastAsia="仿宋_GB2312"/>
          <w:b/>
          <w:bCs/>
          <w:sz w:val="32"/>
          <w:szCs w:val="32"/>
        </w:rPr>
        <w:t>质量标准：</w:t>
      </w:r>
      <w:r>
        <w:rPr>
          <w:rFonts w:hint="eastAsia" w:ascii="仿宋_GB2312" w:hAnsi="宋体" w:eastAsia="仿宋_GB2312"/>
          <w:bCs/>
          <w:sz w:val="32"/>
          <w:szCs w:val="32"/>
          <w:lang w:eastAsia="zh-CN"/>
        </w:rPr>
        <w:t>服务</w:t>
      </w:r>
      <w:r>
        <w:rPr>
          <w:rFonts w:ascii="仿宋_GB2312" w:hAnsi="宋体" w:eastAsia="仿宋_GB2312"/>
          <w:bCs/>
          <w:sz w:val="32"/>
          <w:szCs w:val="32"/>
        </w:rPr>
        <w:t>质量标准：</w:t>
      </w:r>
      <w:r>
        <w:rPr>
          <w:rFonts w:ascii="仿宋_GB2312" w:hAnsi="宋体" w:eastAsia="仿宋_GB2312"/>
          <w:bCs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bCs/>
          <w:sz w:val="32"/>
          <w:szCs w:val="32"/>
          <w:u w:val="single"/>
          <w:lang w:eastAsia="zh-CN"/>
        </w:rPr>
        <w:t>满足业主项目需求、数量、质量和服务要求的即为合格</w:t>
      </w:r>
      <w:r>
        <w:rPr>
          <w:rFonts w:ascii="仿宋_GB2312" w:hAnsi="宋体" w:eastAsia="仿宋_GB2312"/>
          <w:bCs/>
          <w:sz w:val="32"/>
          <w:szCs w:val="32"/>
          <w:u w:val="single"/>
        </w:rPr>
        <w:t xml:space="preserve">  </w:t>
      </w:r>
      <w:r>
        <w:rPr>
          <w:rFonts w:ascii="仿宋_GB2312" w:hAnsi="宋体" w:eastAsia="仿宋_GB2312"/>
          <w:bCs/>
          <w:sz w:val="32"/>
          <w:szCs w:val="32"/>
        </w:rPr>
        <w:t>。</w:t>
      </w:r>
    </w:p>
    <w:p>
      <w:pPr>
        <w:adjustRightInd w:val="0"/>
        <w:snapToGrid w:val="0"/>
        <w:spacing w:line="360" w:lineRule="auto"/>
        <w:ind w:firstLine="157" w:firstLineChars="49"/>
        <w:jc w:val="left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五</w:t>
      </w:r>
      <w:r>
        <w:rPr>
          <w:rFonts w:ascii="仿宋_GB2312" w:eastAsia="仿宋_GB2312"/>
          <w:b/>
          <w:sz w:val="32"/>
          <w:szCs w:val="32"/>
        </w:rPr>
        <w:t>、价款与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交货时间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1、价款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1）本价款采用固定</w:t>
      </w:r>
      <w:r>
        <w:rPr>
          <w:rFonts w:hint="eastAsia" w:ascii="仿宋_GB2312" w:eastAsia="仿宋_GB2312"/>
          <w:sz w:val="32"/>
          <w:szCs w:val="32"/>
          <w:lang w:eastAsia="zh-CN"/>
        </w:rPr>
        <w:t>单价（即投标单价），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投标</w:t>
      </w:r>
      <w:r>
        <w:rPr>
          <w:rFonts w:hint="eastAsia" w:ascii="仿宋_GB2312" w:eastAsia="仿宋_GB2312"/>
          <w:sz w:val="32"/>
          <w:szCs w:val="32"/>
          <w:lang w:eastAsia="zh-CN"/>
        </w:rPr>
        <w:t>总价为</w:t>
      </w:r>
      <w:r>
        <w:rPr>
          <w:rFonts w:hint="eastAsia" w:ascii="仿宋_GB2312" w:eastAsia="仿宋_GB2312"/>
          <w:b/>
          <w:bCs/>
          <w:sz w:val="32"/>
          <w:szCs w:val="32"/>
          <w:u w:val="single"/>
          <w:lang w:val="en-US" w:eastAsia="zh-CN"/>
        </w:rPr>
        <w:t>中选者最终报价确定</w:t>
      </w:r>
      <w:r>
        <w:rPr>
          <w:rFonts w:hint="eastAsia" w:ascii="仿宋_GB2312" w:eastAsia="仿宋_GB2312"/>
          <w:sz w:val="32"/>
          <w:szCs w:val="32"/>
          <w:lang w:eastAsia="zh-CN"/>
        </w:rPr>
        <w:t>，结算按双方实际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需求量，按照投标价约定控制（单）价进行核算、结算，但不高于最终投标总价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2）双方约定价款的其他调整因素：</w:t>
      </w:r>
      <w:r>
        <w:rPr>
          <w:rFonts w:ascii="仿宋_GB2312" w:eastAsia="仿宋_GB2312"/>
          <w:sz w:val="32"/>
          <w:szCs w:val="32"/>
          <w:u w:val="single"/>
        </w:rPr>
        <w:t>无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2、</w:t>
      </w:r>
      <w:r>
        <w:rPr>
          <w:rFonts w:hint="eastAsia" w:ascii="仿宋_GB2312" w:eastAsia="仿宋_GB2312"/>
          <w:sz w:val="32"/>
          <w:szCs w:val="32"/>
          <w:lang w:eastAsia="zh-CN"/>
        </w:rPr>
        <w:t>采购项目</w:t>
      </w:r>
      <w:r>
        <w:rPr>
          <w:rFonts w:ascii="仿宋_GB2312" w:eastAsia="仿宋_GB2312"/>
          <w:sz w:val="32"/>
          <w:szCs w:val="32"/>
        </w:rPr>
        <w:t>预付款</w:t>
      </w:r>
    </w:p>
    <w:p>
      <w:pPr>
        <w:adjustRightInd w:val="0"/>
        <w:snapToGrid w:val="0"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采购方</w:t>
      </w:r>
      <w:r>
        <w:rPr>
          <w:rFonts w:ascii="仿宋_GB2312" w:eastAsia="仿宋_GB2312"/>
          <w:sz w:val="32"/>
          <w:szCs w:val="32"/>
        </w:rPr>
        <w:t>向</w:t>
      </w:r>
      <w:r>
        <w:rPr>
          <w:rFonts w:hint="eastAsia" w:ascii="仿宋_GB2312" w:eastAsia="仿宋_GB2312"/>
          <w:sz w:val="32"/>
          <w:szCs w:val="32"/>
          <w:lang w:eastAsia="zh-CN"/>
        </w:rPr>
        <w:t>供应商</w:t>
      </w:r>
      <w:r>
        <w:rPr>
          <w:rFonts w:ascii="仿宋_GB2312" w:eastAsia="仿宋_GB2312"/>
          <w:sz w:val="32"/>
          <w:szCs w:val="32"/>
        </w:rPr>
        <w:t>预付</w:t>
      </w:r>
      <w:r>
        <w:rPr>
          <w:rFonts w:hint="eastAsia" w:ascii="仿宋_GB2312" w:eastAsia="仿宋_GB2312"/>
          <w:sz w:val="32"/>
          <w:szCs w:val="32"/>
          <w:lang w:eastAsia="zh-CN"/>
        </w:rPr>
        <w:t>采购项目款</w:t>
      </w:r>
      <w:r>
        <w:rPr>
          <w:rFonts w:ascii="仿宋_GB2312" w:eastAsia="仿宋_GB2312"/>
          <w:sz w:val="32"/>
          <w:szCs w:val="32"/>
        </w:rPr>
        <w:t>的时间和比例：</w:t>
      </w:r>
      <w:r>
        <w:rPr>
          <w:rFonts w:ascii="仿宋_GB2312" w:eastAsia="仿宋_GB2312"/>
          <w:b/>
          <w:bCs/>
          <w:sz w:val="32"/>
          <w:szCs w:val="32"/>
          <w:u w:val="single"/>
        </w:rPr>
        <w:t>本</w:t>
      </w:r>
      <w:r>
        <w:rPr>
          <w:rFonts w:hint="eastAsia" w:ascii="仿宋_GB2312" w:eastAsia="仿宋_GB2312"/>
          <w:b/>
          <w:bCs/>
          <w:sz w:val="32"/>
          <w:szCs w:val="32"/>
          <w:u w:val="single"/>
          <w:lang w:eastAsia="zh-CN"/>
        </w:rPr>
        <w:t>项目</w:t>
      </w:r>
      <w:r>
        <w:rPr>
          <w:rFonts w:ascii="仿宋_GB2312" w:eastAsia="仿宋_GB2312"/>
          <w:b/>
          <w:bCs/>
          <w:sz w:val="32"/>
          <w:szCs w:val="32"/>
          <w:u w:val="single"/>
        </w:rPr>
        <w:t>无预付款</w:t>
      </w:r>
      <w:r>
        <w:rPr>
          <w:rFonts w:ascii="仿宋_GB2312" w:eastAsia="仿宋_GB2312"/>
          <w:sz w:val="32"/>
          <w:szCs w:val="32"/>
        </w:rPr>
        <w:t>。</w:t>
      </w: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3、交货地点及日期：</w:t>
      </w:r>
    </w:p>
    <w:p>
      <w:pPr>
        <w:pStyle w:val="3"/>
        <w:adjustRightInd w:val="0"/>
        <w:snapToGrid w:val="0"/>
        <w:spacing w:line="560" w:lineRule="exact"/>
        <w:ind w:firstLine="57"/>
        <w:jc w:val="left"/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color w:val="auto"/>
          <w:sz w:val="32"/>
          <w:szCs w:val="32"/>
          <w:lang w:val="en-US" w:eastAsia="zh-CN"/>
        </w:rPr>
        <w:t>本次密封比价</w:t>
      </w: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>采购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vertAlign w:val="baseline"/>
          <w:lang w:val="en-US" w:eastAsia="zh-CN"/>
        </w:rPr>
        <w:t>项目</w:t>
      </w:r>
      <w:r>
        <w:rPr>
          <w:rFonts w:hint="eastAsia" w:ascii="仿宋_GB2312" w:hAnsi="宋体"/>
          <w:color w:val="auto"/>
          <w:sz w:val="32"/>
          <w:szCs w:val="32"/>
          <w:lang w:val="en-US" w:eastAsia="zh-CN"/>
        </w:rPr>
        <w:t>无需签订书面合同，中选单位在收到中标通知书后15日内，按照《2023年中国航海日活动宣传画册采购报价清单》要求进行供货，交货地点为采购方指定地点。</w:t>
      </w:r>
    </w:p>
    <w:p>
      <w:pPr>
        <w:spacing w:line="360" w:lineRule="auto"/>
        <w:rPr>
          <w:rFonts w:hint="eastAsia"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六</w:t>
      </w:r>
      <w:r>
        <w:rPr>
          <w:rFonts w:hint="eastAsia" w:ascii="仿宋_GB2312" w:hAnsi="宋体" w:eastAsia="仿宋_GB2312"/>
          <w:b/>
          <w:sz w:val="32"/>
          <w:szCs w:val="32"/>
        </w:rPr>
        <w:t>、报价文件提交</w:t>
      </w:r>
    </w:p>
    <w:p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 w:eastAsia="zh-CN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报价文件必须在20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：30时前送到沧州市渤海新区神华上航疏浚公司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1115室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沧州渤海新区港口大厦11楼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），过期不予受理。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ab/>
      </w:r>
    </w:p>
    <w:p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u w:val="single"/>
          <w:lang w:val="zh-CN"/>
        </w:rPr>
        <w:t>报价清单要求盖章或签字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。</w:t>
      </w:r>
    </w:p>
    <w:p>
      <w:pPr>
        <w:keepNext w:val="0"/>
        <w:keepLines w:val="0"/>
        <w:pageBreakBefore w:val="0"/>
        <w:tabs>
          <w:tab w:val="left" w:pos="1740"/>
        </w:tabs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如果报价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供应商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未按要求准时递交的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价文件将被拒绝，自动取消报价资格。</w:t>
      </w:r>
    </w:p>
    <w:p>
      <w:pPr>
        <w:widowControl/>
        <w:tabs>
          <w:tab w:val="left" w:pos="1740"/>
        </w:tabs>
        <w:adjustRightInd w:val="0"/>
        <w:snapToGrid w:val="0"/>
        <w:spacing w:line="360" w:lineRule="auto"/>
        <w:ind w:right="0" w:firstLine="640" w:firstLineChars="200"/>
        <w:jc w:val="both"/>
        <w:outlineLvl w:val="9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供应商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应仔细阅读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技术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文件中的所有内容，按照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密封比价技术文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件及报价规格要求，详细编制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价文件，并对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技术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文件的要求做出实质上响应。实质上响应的报价应该是与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技术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文件要求的全部条款、条件和规格、参数、性能、质量、等没有重大偏离的。未实质上响应的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价文件将被拒绝，但允许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密封比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产品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在满足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比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价规格要求的前提下出现的偏离（须经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评标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小组评定和采购人许可，才能作为</w:t>
      </w:r>
      <w:r>
        <w:rPr>
          <w:rFonts w:hint="eastAsia" w:ascii="仿宋" w:hAnsi="仿宋" w:eastAsia="仿宋" w:cs="仿宋"/>
          <w:sz w:val="32"/>
          <w:szCs w:val="32"/>
          <w:lang w:val="zh-CN" w:eastAsia="zh-CN"/>
        </w:rPr>
        <w:t>供应商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实质性响应）。</w:t>
      </w:r>
    </w:p>
    <w:p>
      <w:pPr>
        <w:widowControl/>
        <w:spacing w:line="360" w:lineRule="auto"/>
        <w:ind w:right="480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ind w:right="480"/>
        <w:jc w:val="right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神华上航疏浚有限责任公司</w:t>
      </w:r>
    </w:p>
    <w:p>
      <w:pPr>
        <w:widowControl/>
        <w:spacing w:line="360" w:lineRule="auto"/>
        <w:ind w:right="480"/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综合办公室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 xml:space="preserve">                       </w:t>
      </w:r>
    </w:p>
    <w:p>
      <w:pPr>
        <w:adjustRightInd w:val="0"/>
        <w:snapToGrid w:val="0"/>
        <w:spacing w:line="360" w:lineRule="auto"/>
        <w:ind w:firstLine="4800" w:firstLineChars="1500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23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pStyle w:val="3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3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3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3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3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pStyle w:val="3"/>
        <w:adjustRightInd w:val="0"/>
        <w:snapToGrid w:val="0"/>
        <w:spacing w:line="560" w:lineRule="exact"/>
        <w:ind w:firstLine="57"/>
        <w:jc w:val="left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kern w:val="2"/>
          <w:sz w:val="32"/>
          <w:szCs w:val="32"/>
          <w:vertAlign w:val="baseline"/>
          <w:lang w:val="en-US" w:eastAsia="zh-CN" w:bidi="ar-SA"/>
        </w:rPr>
      </w:pPr>
      <w:r>
        <w:rPr>
          <w:rFonts w:hint="eastAsia" w:asciiTheme="majorEastAsia" w:hAnsiTheme="majorEastAsia" w:eastAsiaTheme="majorEastAsia" w:cstheme="majorEastAsia"/>
          <w:b/>
          <w:bCs/>
          <w:kern w:val="2"/>
          <w:sz w:val="32"/>
          <w:szCs w:val="32"/>
          <w:vertAlign w:val="baseline"/>
          <w:lang w:val="en-US" w:eastAsia="zh-CN" w:bidi="ar-SA"/>
        </w:rPr>
        <w:t>神华上航疏浚公司</w:t>
      </w:r>
    </w:p>
    <w:p>
      <w:pPr>
        <w:pStyle w:val="3"/>
        <w:adjustRightInd w:val="0"/>
        <w:snapToGrid w:val="0"/>
        <w:spacing w:line="560" w:lineRule="exact"/>
        <w:ind w:firstLine="57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  <w:t>2023年中国航海日活动宣传画册采购报价清单</w:t>
      </w:r>
    </w:p>
    <w:tbl>
      <w:tblPr>
        <w:tblStyle w:val="6"/>
        <w:tblW w:w="144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8"/>
        <w:gridCol w:w="3932"/>
        <w:gridCol w:w="1360"/>
        <w:gridCol w:w="1168"/>
        <w:gridCol w:w="1682"/>
        <w:gridCol w:w="1565"/>
        <w:gridCol w:w="2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9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393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内容/形式</w:t>
            </w:r>
          </w:p>
        </w:tc>
        <w:tc>
          <w:tcPr>
            <w:tcW w:w="13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</w:t>
            </w:r>
          </w:p>
        </w:tc>
        <w:tc>
          <w:tcPr>
            <w:tcW w:w="11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68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5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</w:t>
            </w:r>
          </w:p>
        </w:tc>
        <w:tc>
          <w:tcPr>
            <w:tcW w:w="281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宣传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手册</w:t>
            </w:r>
          </w:p>
        </w:tc>
        <w:tc>
          <w:tcPr>
            <w:tcW w:w="3932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企业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安全生产成果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宣传图片加文字</w:t>
            </w:r>
          </w:p>
        </w:tc>
        <w:tc>
          <w:tcPr>
            <w:tcW w:w="1360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16K</w:t>
            </w:r>
          </w:p>
        </w:tc>
        <w:tc>
          <w:tcPr>
            <w:tcW w:w="116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1682" w:type="dxa"/>
            <w:vAlign w:val="center"/>
          </w:tcPr>
          <w:p>
            <w:pPr>
              <w:pStyle w:val="2"/>
              <w:spacing w:line="240" w:lineRule="auto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18" w:type="dxa"/>
            <w:vAlign w:val="center"/>
          </w:tcPr>
          <w:p>
            <w:pPr>
              <w:pStyle w:val="2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封皮200克铜覆亚膜，内页157铜，骑马订，32页码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剪纸宣传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画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册</w:t>
            </w:r>
          </w:p>
        </w:tc>
        <w:tc>
          <w:tcPr>
            <w:tcW w:w="3932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企业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安全生产</w:t>
            </w: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宣传图片加剪纸作品</w:t>
            </w:r>
          </w:p>
        </w:tc>
        <w:tc>
          <w:tcPr>
            <w:tcW w:w="1360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33*33cm</w:t>
            </w:r>
          </w:p>
        </w:tc>
        <w:tc>
          <w:tcPr>
            <w:tcW w:w="116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1682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18" w:type="dxa"/>
            <w:vAlign w:val="center"/>
          </w:tcPr>
          <w:p>
            <w:pPr>
              <w:pStyle w:val="2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设计内芯相册（20页码左右），外盒包装，设计并手工剪制8幅剪纸作品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1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剪纸摆件</w:t>
            </w:r>
          </w:p>
        </w:tc>
        <w:tc>
          <w:tcPr>
            <w:tcW w:w="3932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疏浚船剪纸造型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加安全宣传标语</w:t>
            </w:r>
          </w:p>
        </w:tc>
        <w:tc>
          <w:tcPr>
            <w:tcW w:w="1360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23*28cm</w:t>
            </w:r>
          </w:p>
        </w:tc>
        <w:tc>
          <w:tcPr>
            <w:tcW w:w="1168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200</w:t>
            </w:r>
          </w:p>
        </w:tc>
        <w:tc>
          <w:tcPr>
            <w:tcW w:w="1682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818" w:type="dxa"/>
            <w:vAlign w:val="center"/>
          </w:tcPr>
          <w:p>
            <w:pPr>
              <w:pStyle w:val="2"/>
              <w:spacing w:line="24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实木外框，加纸质手提袋包装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78" w:type="dxa"/>
            <w:gridSpan w:val="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合计金额：</w:t>
            </w:r>
          </w:p>
          <w:p>
            <w:pPr>
              <w:pStyle w:val="2"/>
              <w:spacing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（含税、含运费、含人工装卸等费用）</w:t>
            </w:r>
          </w:p>
        </w:tc>
        <w:tc>
          <w:tcPr>
            <w:tcW w:w="1682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pStyle w:val="2"/>
              <w:spacing w:line="240" w:lineRule="auto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金额大写：</w:t>
            </w:r>
          </w:p>
        </w:tc>
        <w:tc>
          <w:tcPr>
            <w:tcW w:w="2818" w:type="dxa"/>
            <w:vAlign w:val="center"/>
          </w:tcPr>
          <w:p>
            <w:pPr>
              <w:pStyle w:val="2"/>
              <w:spacing w:line="240" w:lineRule="auto"/>
              <w:ind w:firstLine="1200" w:firstLineChars="500"/>
              <w:jc w:val="left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（税率：）</w:t>
            </w:r>
          </w:p>
        </w:tc>
      </w:tr>
    </w:tbl>
    <w:p>
      <w:pPr>
        <w:pStyle w:val="3"/>
        <w:adjustRightInd w:val="0"/>
        <w:snapToGrid w:val="0"/>
        <w:spacing w:line="560" w:lineRule="exact"/>
        <w:ind w:firstLine="57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vertAlign w:val="baseline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/>
          <w:bCs/>
          <w:sz w:val="22"/>
          <w:szCs w:val="28"/>
          <w:lang w:eastAsia="zh-CN"/>
        </w:rPr>
      </w:pPr>
    </w:p>
    <w:p>
      <w:pPr>
        <w:numPr>
          <w:ilvl w:val="0"/>
          <w:numId w:val="0"/>
        </w:numPr>
        <w:jc w:val="left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637CC2"/>
    <w:rsid w:val="01700269"/>
    <w:rsid w:val="01827CF2"/>
    <w:rsid w:val="031A132D"/>
    <w:rsid w:val="058A4BA6"/>
    <w:rsid w:val="060521BE"/>
    <w:rsid w:val="06E2424A"/>
    <w:rsid w:val="07102423"/>
    <w:rsid w:val="092145FD"/>
    <w:rsid w:val="097B289D"/>
    <w:rsid w:val="0BAB2357"/>
    <w:rsid w:val="0C3A499F"/>
    <w:rsid w:val="0D142104"/>
    <w:rsid w:val="0D3166D7"/>
    <w:rsid w:val="0D747B9F"/>
    <w:rsid w:val="0E030CED"/>
    <w:rsid w:val="0F405A07"/>
    <w:rsid w:val="0F665DD1"/>
    <w:rsid w:val="10C92DFD"/>
    <w:rsid w:val="116D0724"/>
    <w:rsid w:val="116E3FA7"/>
    <w:rsid w:val="13534A04"/>
    <w:rsid w:val="160938BE"/>
    <w:rsid w:val="1665604A"/>
    <w:rsid w:val="16980730"/>
    <w:rsid w:val="16F31422"/>
    <w:rsid w:val="17FD7FE9"/>
    <w:rsid w:val="18FC6C57"/>
    <w:rsid w:val="1A2608F3"/>
    <w:rsid w:val="1B637CC2"/>
    <w:rsid w:val="1BF327FA"/>
    <w:rsid w:val="1D3958CF"/>
    <w:rsid w:val="207215AC"/>
    <w:rsid w:val="20824AE0"/>
    <w:rsid w:val="21B970EE"/>
    <w:rsid w:val="21F665C5"/>
    <w:rsid w:val="21FC6436"/>
    <w:rsid w:val="24B65174"/>
    <w:rsid w:val="24F11E40"/>
    <w:rsid w:val="25CE4C81"/>
    <w:rsid w:val="26947DB1"/>
    <w:rsid w:val="27575417"/>
    <w:rsid w:val="27AD03A5"/>
    <w:rsid w:val="27C747D2"/>
    <w:rsid w:val="29765EE2"/>
    <w:rsid w:val="298903EA"/>
    <w:rsid w:val="29B76C77"/>
    <w:rsid w:val="2AAE53D1"/>
    <w:rsid w:val="2ACC5E28"/>
    <w:rsid w:val="2B342153"/>
    <w:rsid w:val="2B5A6BD7"/>
    <w:rsid w:val="2BA93020"/>
    <w:rsid w:val="2BCB36E8"/>
    <w:rsid w:val="2DBD418C"/>
    <w:rsid w:val="2F2E21F9"/>
    <w:rsid w:val="2F6379A6"/>
    <w:rsid w:val="2F8B795A"/>
    <w:rsid w:val="30283F91"/>
    <w:rsid w:val="306D7F2E"/>
    <w:rsid w:val="342C44D0"/>
    <w:rsid w:val="35220FF4"/>
    <w:rsid w:val="35A35F0C"/>
    <w:rsid w:val="360601AF"/>
    <w:rsid w:val="37DE5837"/>
    <w:rsid w:val="38DC53E4"/>
    <w:rsid w:val="39C73159"/>
    <w:rsid w:val="3BE253C4"/>
    <w:rsid w:val="3C813A05"/>
    <w:rsid w:val="3DE44B73"/>
    <w:rsid w:val="3DFE0E07"/>
    <w:rsid w:val="3E7F5015"/>
    <w:rsid w:val="3FE50532"/>
    <w:rsid w:val="41884094"/>
    <w:rsid w:val="419935D0"/>
    <w:rsid w:val="437D4206"/>
    <w:rsid w:val="44162144"/>
    <w:rsid w:val="46E25ADA"/>
    <w:rsid w:val="46E879E3"/>
    <w:rsid w:val="4A506A7B"/>
    <w:rsid w:val="4A6301CB"/>
    <w:rsid w:val="4C5B1FD3"/>
    <w:rsid w:val="4C7D380D"/>
    <w:rsid w:val="4CDA0323"/>
    <w:rsid w:val="4E0A2744"/>
    <w:rsid w:val="4E471BB6"/>
    <w:rsid w:val="4E481A1B"/>
    <w:rsid w:val="4E497F1B"/>
    <w:rsid w:val="507B080C"/>
    <w:rsid w:val="50DA6635"/>
    <w:rsid w:val="53BC68E7"/>
    <w:rsid w:val="53C32BC9"/>
    <w:rsid w:val="546B0A8F"/>
    <w:rsid w:val="546C5CD9"/>
    <w:rsid w:val="548A223D"/>
    <w:rsid w:val="55897BE2"/>
    <w:rsid w:val="55F17BDA"/>
    <w:rsid w:val="55F80D83"/>
    <w:rsid w:val="56821F80"/>
    <w:rsid w:val="59DB1425"/>
    <w:rsid w:val="5AB70C25"/>
    <w:rsid w:val="5AD566A5"/>
    <w:rsid w:val="5D52426E"/>
    <w:rsid w:val="5D8131F5"/>
    <w:rsid w:val="614F4875"/>
    <w:rsid w:val="66B97195"/>
    <w:rsid w:val="673E62FC"/>
    <w:rsid w:val="67B03C57"/>
    <w:rsid w:val="68FD1C09"/>
    <w:rsid w:val="69F67967"/>
    <w:rsid w:val="6A9B6149"/>
    <w:rsid w:val="6B3404E8"/>
    <w:rsid w:val="6CFF5361"/>
    <w:rsid w:val="6D535020"/>
    <w:rsid w:val="6E584699"/>
    <w:rsid w:val="6F651353"/>
    <w:rsid w:val="70C54792"/>
    <w:rsid w:val="70CE5B9D"/>
    <w:rsid w:val="721E248F"/>
    <w:rsid w:val="72E17F9C"/>
    <w:rsid w:val="738F4C37"/>
    <w:rsid w:val="74396792"/>
    <w:rsid w:val="74D73899"/>
    <w:rsid w:val="769253A1"/>
    <w:rsid w:val="76CF1034"/>
    <w:rsid w:val="780C6C4C"/>
    <w:rsid w:val="782049FF"/>
    <w:rsid w:val="7B1B3108"/>
    <w:rsid w:val="7B76471B"/>
    <w:rsid w:val="7B854D36"/>
    <w:rsid w:val="7B8C602F"/>
    <w:rsid w:val="7C0D5F13"/>
    <w:rsid w:val="7E9B3FC3"/>
    <w:rsid w:val="7ED8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/>
    </w:pPr>
    <w:rPr>
      <w:rFonts w:hint="default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PF\AppData\Roaming\Kingsoft\wps\addons\pool\win-i386\knewfileres_1.0.0.1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42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2018-03-28T11:16:00Z</dcterms:created>
  <dc:creator>晨光</dc:creator>
  <cp:lastModifiedBy>王培杰</cp:lastModifiedBy>
  <dcterms:modified xsi:type="dcterms:W3CDTF">2023-06-21T02:06:17Z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5A1C0C9E2E2343F284DB40AF6ACBC551</vt:lpwstr>
  </property>
</Properties>
</file>