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0"/>
          <w:szCs w:val="48"/>
        </w:rPr>
      </w:pPr>
      <w:bookmarkStart w:id="0" w:name="_Toc15883"/>
      <w:bookmarkStart w:id="1" w:name="_Toc10881"/>
      <w:bookmarkStart w:id="2" w:name="_Toc7101"/>
      <w:bookmarkStart w:id="3" w:name="_Toc2803"/>
      <w:bookmarkStart w:id="4" w:name="_Toc27396_WPSOffice_Level1"/>
      <w:r>
        <w:rPr>
          <w:rFonts w:hint="eastAsia" w:ascii="宋体" w:hAnsi="宋体" w:eastAsia="宋体" w:cs="宋体"/>
          <w:b/>
          <w:bCs/>
          <w:sz w:val="40"/>
          <w:szCs w:val="48"/>
        </w:rPr>
        <w:t>神华上航疏浚公司</w:t>
      </w:r>
    </w:p>
    <w:p>
      <w:pPr>
        <w:keepNext w:val="0"/>
        <w:keepLines w:val="0"/>
        <w:pageBreakBefore w:val="0"/>
        <w:widowControl w:val="0"/>
        <w:kinsoku/>
        <w:wordWrap/>
        <w:overflowPunct/>
        <w:topLinePunct w:val="0"/>
        <w:autoSpaceDE/>
        <w:autoSpaceDN/>
        <w:bidi w:val="0"/>
        <w:adjustRightInd/>
        <w:snapToGrid/>
        <w:spacing w:after="313" w:afterLines="100"/>
        <w:ind w:left="0" w:leftChars="0" w:firstLine="0" w:firstLineChars="0"/>
        <w:jc w:val="center"/>
        <w:textAlignment w:val="auto"/>
        <w:rPr>
          <w:rFonts w:hint="default"/>
          <w:lang w:val="en-US"/>
        </w:rPr>
      </w:pPr>
      <w:r>
        <w:rPr>
          <w:rFonts w:hint="eastAsia" w:ascii="宋体" w:hAnsi="宋体" w:eastAsia="宋体" w:cs="宋体"/>
          <w:b/>
          <w:bCs/>
          <w:sz w:val="40"/>
          <w:szCs w:val="48"/>
          <w:lang w:val="en-US" w:eastAsia="zh-CN"/>
        </w:rPr>
        <w:t>船舶资产评估服务项目技术文件</w:t>
      </w:r>
    </w:p>
    <w:p>
      <w:pPr>
        <w:pStyle w:val="3"/>
        <w:numPr>
          <w:ilvl w:val="0"/>
          <w:numId w:val="1"/>
        </w:numPr>
        <w:adjustRightInd w:val="0"/>
        <w:snapToGrid w:val="0"/>
        <w:spacing w:before="0" w:after="0" w:line="360" w:lineRule="auto"/>
        <w:ind w:left="0" w:firstLine="0" w:firstLineChars="0"/>
        <w:rPr>
          <w:rFonts w:hint="eastAsia" w:ascii="黑体" w:hAnsi="黑体" w:eastAsia="黑体" w:cs="黑体"/>
          <w:b w:val="0"/>
          <w:bCs w:val="0"/>
          <w:sz w:val="28"/>
          <w:szCs w:val="28"/>
        </w:rPr>
      </w:pPr>
      <w:r>
        <w:rPr>
          <w:rFonts w:hint="eastAsia" w:ascii="黑体" w:hAnsi="黑体" w:eastAsia="黑体" w:cs="黑体"/>
          <w:b w:val="0"/>
          <w:bCs w:val="0"/>
          <w:sz w:val="28"/>
          <w:szCs w:val="28"/>
        </w:rPr>
        <w:t>总体要求</w:t>
      </w:r>
      <w:bookmarkEnd w:id="0"/>
      <w:bookmarkEnd w:id="1"/>
      <w:bookmarkEnd w:id="2"/>
      <w:bookmarkEnd w:id="3"/>
      <w:bookmarkEnd w:id="4"/>
    </w:p>
    <w:p>
      <w:pPr>
        <w:adjustRightInd w:val="0"/>
        <w:snapToGrid w:val="0"/>
        <w:spacing w:line="360" w:lineRule="auto"/>
        <w:ind w:firstLine="560"/>
        <w:rPr>
          <w:rFonts w:hint="eastAsia" w:ascii="宋体" w:hAnsi="宋体" w:eastAsia="宋体" w:cs="宋体"/>
        </w:rPr>
      </w:pPr>
      <w:bookmarkStart w:id="5" w:name="_Toc5264"/>
      <w:bookmarkStart w:id="6" w:name="_Toc5845"/>
      <w:r>
        <w:rPr>
          <w:rFonts w:hint="eastAsia" w:ascii="宋体" w:hAnsi="宋体" w:eastAsia="宋体" w:cs="宋体"/>
        </w:rPr>
        <w:t>1.</w:t>
      </w:r>
      <w:r>
        <w:rPr>
          <w:rFonts w:hint="eastAsia" w:ascii="宋体" w:hAnsi="宋体" w:eastAsia="宋体" w:cs="宋体"/>
          <w:lang w:val="en-US" w:eastAsia="zh-CN"/>
        </w:rPr>
        <w:t>1</w:t>
      </w:r>
      <w:r>
        <w:rPr>
          <w:rFonts w:hint="eastAsia" w:ascii="宋体" w:hAnsi="宋体" w:eastAsia="宋体" w:cs="宋体"/>
        </w:rPr>
        <w:t>本技术部分提出的是最低限度的要求，并未对一切细节作出规定，也并未规定所有的技术要求和适用的标准，报价人应保证按照本技术部分和相关规范的要求进行服务。对国家、地方及行业有关强制性标准，必须满足其要求。</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2</w:t>
      </w:r>
      <w:r>
        <w:rPr>
          <w:rFonts w:hint="eastAsia" w:ascii="宋体" w:hAnsi="宋体" w:eastAsia="宋体" w:cs="宋体"/>
        </w:rPr>
        <w:t>本采购文件使用的标准，如遇与报价人所执行的标准不一致时，按较高的标准执行。采购人有权提出因规范标准发生变化而产生的一些补充修改要求，报价人应遵守这个要求。</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1.4本技术部分可能存在未能全面反映现场实际状况的微小偏差，报价人应根据规范要求、行业标准，结合自身经验和收集的相关信息综合考虑项目工作内容。报价人不得拒绝完成本项目任务所必须的工作，相关费用包含在报价中。</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1.5本项目涉及到的知识产权费用均已包含在报价中，因知识产权产生的纠纷由报价人自行承担或解决，采购人不承担相应责任。</w:t>
      </w:r>
    </w:p>
    <w:p>
      <w:pPr>
        <w:adjustRightInd w:val="0"/>
        <w:snapToGrid w:val="0"/>
        <w:spacing w:line="360" w:lineRule="auto"/>
        <w:ind w:firstLine="560"/>
        <w:rPr>
          <w:rFonts w:hint="eastAsia" w:ascii="宋体" w:hAnsi="宋体" w:eastAsia="宋体" w:cs="宋体"/>
          <w:b w:val="0"/>
          <w:bCs w:val="0"/>
          <w:szCs w:val="22"/>
        </w:rPr>
      </w:pPr>
      <w:r>
        <w:rPr>
          <w:rFonts w:hint="eastAsia" w:ascii="宋体" w:hAnsi="宋体" w:eastAsia="宋体" w:cs="宋体"/>
          <w:b w:val="0"/>
          <w:bCs w:val="0"/>
          <w:szCs w:val="22"/>
        </w:rPr>
        <w:t>1.6报价人可在报价文件中引用本技术部分的相关标准或要求，但不得原封不动地复印或拷贝本技术部分作为其报价文件的主要内容，否则其报价文件将被作为无效报价。</w:t>
      </w:r>
    </w:p>
    <w:p>
      <w:pPr>
        <w:adjustRightInd w:val="0"/>
        <w:snapToGrid w:val="0"/>
        <w:spacing w:line="360" w:lineRule="auto"/>
        <w:ind w:firstLine="560"/>
        <w:rPr>
          <w:rFonts w:hint="eastAsia" w:ascii="宋体" w:hAnsi="宋体" w:eastAsia="宋体" w:cs="宋体"/>
        </w:rPr>
      </w:pPr>
      <w:r>
        <w:rPr>
          <w:rFonts w:hint="eastAsia" w:ascii="宋体" w:hAnsi="宋体" w:eastAsia="宋体" w:cs="宋体"/>
        </w:rPr>
        <w:t>1.7除采购文件另有规定外，列入本技术部分的所有工作内容均应包含在本项目报价中。</w:t>
      </w:r>
    </w:p>
    <w:p>
      <w:pPr>
        <w:pStyle w:val="3"/>
        <w:numPr>
          <w:ilvl w:val="0"/>
          <w:numId w:val="1"/>
        </w:numPr>
        <w:adjustRightInd w:val="0"/>
        <w:snapToGrid w:val="0"/>
        <w:spacing w:before="0" w:after="0" w:line="360" w:lineRule="auto"/>
        <w:ind w:left="0" w:firstLine="0" w:firstLineChars="0"/>
        <w:rPr>
          <w:rFonts w:hint="eastAsia" w:ascii="黑体" w:hAnsi="黑体" w:eastAsia="黑体" w:cs="黑体"/>
          <w:b w:val="0"/>
          <w:bCs w:val="0"/>
          <w:sz w:val="28"/>
          <w:szCs w:val="28"/>
        </w:rPr>
      </w:pPr>
      <w:bookmarkStart w:id="7" w:name="_Toc31070"/>
      <w:bookmarkStart w:id="8" w:name="_Toc1327_WPSOffice_Level1"/>
      <w:bookmarkStart w:id="9" w:name="_Toc31080"/>
      <w:bookmarkStart w:id="10" w:name="_Toc16000"/>
      <w:bookmarkStart w:id="11" w:name="_Toc25778_WPSOffice_Level1"/>
      <w:bookmarkStart w:id="12" w:name="_Toc10015_WPSOffice_Level1"/>
      <w:bookmarkStart w:id="13" w:name="_Toc22447"/>
      <w:r>
        <w:rPr>
          <w:rFonts w:hint="eastAsia" w:ascii="黑体" w:hAnsi="黑体" w:eastAsia="黑体" w:cs="黑体"/>
          <w:b w:val="0"/>
          <w:bCs w:val="0"/>
          <w:sz w:val="28"/>
          <w:szCs w:val="28"/>
        </w:rPr>
        <w:t>项目概况</w:t>
      </w:r>
      <w:bookmarkEnd w:id="5"/>
      <w:bookmarkEnd w:id="6"/>
      <w:bookmarkEnd w:id="7"/>
      <w:bookmarkEnd w:id="8"/>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kern w:val="0"/>
          <w:sz w:val="28"/>
          <w:szCs w:val="28"/>
          <w:lang w:val="en-US" w:eastAsia="zh-CN"/>
        </w:rPr>
      </w:pPr>
      <w:bookmarkStart w:id="14" w:name="_Toc3292"/>
      <w:bookmarkStart w:id="15" w:name="_Toc21021"/>
      <w:r>
        <w:rPr>
          <w:rFonts w:hint="default" w:ascii="宋体" w:hAnsi="宋体" w:eastAsia="宋体" w:cs="宋体"/>
          <w:kern w:val="0"/>
          <w:sz w:val="28"/>
          <w:szCs w:val="28"/>
          <w:lang w:val="en-US" w:eastAsia="zh-CN"/>
        </w:rPr>
        <w:t>神华上航疏浚有限责任公司</w:t>
      </w:r>
      <w:r>
        <w:rPr>
          <w:rFonts w:hint="eastAsia" w:ascii="宋体" w:hAnsi="宋体" w:eastAsia="宋体" w:cs="宋体"/>
          <w:kern w:val="0"/>
          <w:sz w:val="28"/>
          <w:szCs w:val="28"/>
          <w:lang w:val="en-US" w:eastAsia="zh-CN"/>
        </w:rPr>
        <w:t>（简称“公司”）</w:t>
      </w:r>
      <w:r>
        <w:rPr>
          <w:rFonts w:hint="default" w:ascii="宋体" w:hAnsi="宋体" w:eastAsia="宋体" w:cs="宋体"/>
          <w:kern w:val="0"/>
          <w:sz w:val="28"/>
          <w:szCs w:val="28"/>
          <w:lang w:val="en-US" w:eastAsia="zh-CN"/>
        </w:rPr>
        <w:t>隶属国家能源投资集团有限责任公司，由</w:t>
      </w:r>
      <w:r>
        <w:rPr>
          <w:rFonts w:hint="eastAsia" w:ascii="宋体" w:hAnsi="宋体" w:eastAsia="宋体" w:cs="宋体"/>
          <w:kern w:val="0"/>
          <w:sz w:val="28"/>
          <w:szCs w:val="28"/>
          <w:lang w:val="en-US" w:eastAsia="zh-CN"/>
        </w:rPr>
        <w:t>国能</w:t>
      </w:r>
      <w:r>
        <w:rPr>
          <w:rFonts w:hint="default" w:ascii="宋体" w:hAnsi="宋体" w:eastAsia="宋体" w:cs="宋体"/>
          <w:kern w:val="0"/>
          <w:sz w:val="28"/>
          <w:szCs w:val="28"/>
          <w:lang w:val="en-US" w:eastAsia="zh-CN"/>
        </w:rPr>
        <w:t>黄骅港务有限责任公司和中交上海航道局有限公司共同出资组建。公司位于河北省沧州市黄骅港，主营港口、航道疏浚工程等业务，拥有</w:t>
      </w:r>
      <w:r>
        <w:rPr>
          <w:rFonts w:hint="eastAsia" w:ascii="宋体" w:hAnsi="宋体" w:eastAsia="宋体" w:cs="宋体"/>
          <w:kern w:val="0"/>
          <w:sz w:val="28"/>
          <w:szCs w:val="28"/>
          <w:lang w:val="en-US" w:eastAsia="zh-CN"/>
        </w:rPr>
        <w:t>泥舱</w:t>
      </w:r>
      <w:r>
        <w:rPr>
          <w:rFonts w:hint="default" w:ascii="宋体" w:hAnsi="宋体" w:eastAsia="宋体" w:cs="宋体"/>
          <w:kern w:val="0"/>
          <w:sz w:val="28"/>
          <w:szCs w:val="28"/>
          <w:lang w:val="en-US" w:eastAsia="zh-CN"/>
        </w:rPr>
        <w:t>舱容5800m3和11888m3自航耙吸挖泥船</w:t>
      </w:r>
      <w:r>
        <w:rPr>
          <w:rFonts w:hint="eastAsia" w:ascii="宋体" w:hAnsi="宋体" w:eastAsia="宋体" w:cs="宋体"/>
          <w:kern w:val="0"/>
          <w:sz w:val="28"/>
          <w:szCs w:val="28"/>
          <w:lang w:val="en-US" w:eastAsia="zh-CN"/>
        </w:rPr>
        <w:t>各1艘</w:t>
      </w:r>
      <w:r>
        <w:rPr>
          <w:rFonts w:hint="default" w:ascii="宋体" w:hAnsi="宋体" w:eastAsia="宋体" w:cs="宋体"/>
          <w:kern w:val="0"/>
          <w:sz w:val="28"/>
          <w:szCs w:val="28"/>
          <w:lang w:val="en-US" w:eastAsia="zh-CN"/>
        </w:rPr>
        <w:t>，以及产量</w:t>
      </w:r>
      <w:r>
        <w:rPr>
          <w:rFonts w:hint="eastAsia" w:ascii="宋体" w:hAnsi="宋体" w:eastAsia="宋体" w:cs="宋体"/>
          <w:kern w:val="0"/>
          <w:sz w:val="28"/>
          <w:szCs w:val="28"/>
          <w:lang w:val="en-US" w:eastAsia="zh-CN"/>
        </w:rPr>
        <w:t>为</w:t>
      </w:r>
      <w:r>
        <w:rPr>
          <w:rFonts w:hint="default" w:ascii="宋体" w:hAnsi="宋体" w:eastAsia="宋体" w:cs="宋体"/>
          <w:kern w:val="0"/>
          <w:sz w:val="28"/>
          <w:szCs w:val="28"/>
          <w:lang w:val="en-US" w:eastAsia="zh-CN"/>
        </w:rPr>
        <w:t>3500m3</w:t>
      </w:r>
      <w:r>
        <w:rPr>
          <w:rFonts w:hint="eastAsia" w:ascii="宋体" w:hAnsi="宋体" w:eastAsia="宋体" w:cs="宋体"/>
          <w:kern w:val="0"/>
          <w:sz w:val="28"/>
          <w:szCs w:val="28"/>
          <w:lang w:val="en-US" w:eastAsia="zh-CN"/>
        </w:rPr>
        <w:t>/h</w:t>
      </w:r>
      <w:r>
        <w:rPr>
          <w:rFonts w:hint="default" w:ascii="宋体" w:hAnsi="宋体" w:eastAsia="宋体" w:cs="宋体"/>
          <w:kern w:val="0"/>
          <w:sz w:val="28"/>
          <w:szCs w:val="28"/>
          <w:lang w:val="en-US" w:eastAsia="zh-CN"/>
        </w:rPr>
        <w:t>的非自航绞吸式挖泥船1艘，具备</w:t>
      </w:r>
      <w:r>
        <w:rPr>
          <w:rFonts w:hint="eastAsia" w:ascii="宋体" w:hAnsi="宋体" w:eastAsia="宋体" w:cs="宋体"/>
          <w:kern w:val="0"/>
          <w:sz w:val="28"/>
          <w:szCs w:val="28"/>
          <w:lang w:val="en-US" w:eastAsia="zh-CN"/>
        </w:rPr>
        <w:t>“</w:t>
      </w:r>
      <w:r>
        <w:rPr>
          <w:rFonts w:hint="default" w:ascii="宋体" w:hAnsi="宋体" w:eastAsia="宋体" w:cs="宋体"/>
          <w:kern w:val="0"/>
          <w:sz w:val="28"/>
          <w:szCs w:val="28"/>
          <w:lang w:val="en-US" w:eastAsia="zh-CN"/>
        </w:rPr>
        <w:t>港口与航道工程施工总承包一级资质</w:t>
      </w:r>
      <w:r>
        <w:rPr>
          <w:rFonts w:hint="eastAsia" w:ascii="宋体" w:hAnsi="宋体" w:eastAsia="宋体" w:cs="宋体"/>
          <w:kern w:val="0"/>
          <w:sz w:val="28"/>
          <w:szCs w:val="28"/>
          <w:lang w:val="en-US" w:eastAsia="zh-CN"/>
        </w:rPr>
        <w:t>”</w:t>
      </w:r>
      <w:r>
        <w:rPr>
          <w:rFonts w:hint="default" w:ascii="宋体" w:hAnsi="宋体" w:eastAsia="宋体" w:cs="宋体"/>
          <w:kern w:val="0"/>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购置抓斗船及配套泥驳船项目”为公司年度投资计划，项目内容为拟作为潜在受让方购置上海航道局有限公司现有的一艘27m3抓斗船及两艘配套2000m3泥驳船。为进一步识别投资风险，确保公司投资项目安全，公司拟委托专业评估单位对意向购置船舶进行资产评估，并出具资产评估报告。</w:t>
      </w:r>
    </w:p>
    <w:p>
      <w:pPr>
        <w:pStyle w:val="3"/>
        <w:numPr>
          <w:ilvl w:val="0"/>
          <w:numId w:val="1"/>
        </w:numPr>
        <w:adjustRightInd w:val="0"/>
        <w:snapToGrid w:val="0"/>
        <w:spacing w:before="0" w:after="0" w:line="360" w:lineRule="auto"/>
        <w:ind w:left="0" w:firstLine="0" w:firstLineChars="0"/>
        <w:rPr>
          <w:rFonts w:hint="eastAsia" w:ascii="黑体" w:hAnsi="黑体" w:eastAsia="黑体" w:cs="黑体"/>
          <w:b w:val="0"/>
          <w:bCs w:val="0"/>
          <w:sz w:val="28"/>
          <w:szCs w:val="28"/>
        </w:rPr>
      </w:pPr>
      <w:bookmarkStart w:id="16" w:name="_Toc17272"/>
      <w:bookmarkStart w:id="17" w:name="_Toc23465"/>
      <w:bookmarkStart w:id="18" w:name="_Toc11373"/>
      <w:bookmarkStart w:id="19" w:name="_Toc27226_WPSOffice_Level1"/>
      <w:bookmarkStart w:id="20" w:name="_Toc21001_WPSOffice_Level1"/>
      <w:bookmarkStart w:id="21" w:name="_Toc27234_WPSOffice_Level1"/>
      <w:bookmarkStart w:id="22" w:name="_Toc27442"/>
      <w:r>
        <w:rPr>
          <w:rFonts w:hint="eastAsia" w:ascii="黑体" w:hAnsi="黑体" w:eastAsia="黑体" w:cs="黑体"/>
          <w:b w:val="0"/>
          <w:bCs w:val="0"/>
          <w:sz w:val="28"/>
          <w:szCs w:val="28"/>
        </w:rPr>
        <w:t>采购范围</w:t>
      </w:r>
      <w:bookmarkEnd w:id="14"/>
      <w:bookmarkEnd w:id="15"/>
      <w:bookmarkEnd w:id="16"/>
      <w:bookmarkEnd w:id="17"/>
      <w:bookmarkEnd w:id="18"/>
      <w:bookmarkEnd w:id="19"/>
      <w:bookmarkEnd w:id="20"/>
      <w:bookmarkEnd w:id="21"/>
      <w:bookmarkEnd w:id="22"/>
    </w:p>
    <w:p>
      <w:pPr>
        <w:adjustRightInd w:val="0"/>
        <w:snapToGrid w:val="0"/>
        <w:spacing w:line="360" w:lineRule="auto"/>
        <w:ind w:firstLine="560"/>
        <w:rPr>
          <w:rFonts w:hint="eastAsia" w:ascii="黑体" w:hAnsi="黑体" w:eastAsia="黑体" w:cs="黑体"/>
          <w:szCs w:val="22"/>
        </w:rPr>
      </w:pPr>
      <w:bookmarkStart w:id="23" w:name="_Toc32107"/>
      <w:bookmarkStart w:id="24" w:name="_Toc151_WPSOffice_Level2"/>
      <w:bookmarkStart w:id="25" w:name="_Toc17953_WPSOffice_Level2"/>
      <w:bookmarkStart w:id="26" w:name="_Toc14940"/>
      <w:bookmarkStart w:id="27" w:name="_Toc25273"/>
      <w:bookmarkStart w:id="28" w:name="_Toc10015_WPSOffice_Level2"/>
      <w:bookmarkStart w:id="29" w:name="_Toc26560"/>
      <w:bookmarkStart w:id="30" w:name="_Toc31246"/>
      <w:bookmarkStart w:id="31" w:name="_Toc11584"/>
      <w:r>
        <w:rPr>
          <w:rFonts w:hint="eastAsia" w:ascii="黑体" w:hAnsi="黑体" w:eastAsia="黑体" w:cs="黑体"/>
          <w:szCs w:val="22"/>
        </w:rPr>
        <w:t>3.1服务范围</w:t>
      </w:r>
      <w:bookmarkEnd w:id="23"/>
      <w:bookmarkEnd w:id="24"/>
      <w:bookmarkEnd w:id="25"/>
      <w:bookmarkEnd w:id="26"/>
      <w:bookmarkEnd w:id="27"/>
      <w:bookmarkEnd w:id="28"/>
      <w:bookmarkEnd w:id="29"/>
      <w:bookmarkEnd w:id="30"/>
      <w:bookmarkEnd w:id="31"/>
      <w:bookmarkStart w:id="32" w:name="_Toc18314"/>
      <w:bookmarkStart w:id="33" w:name="_Toc5475"/>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按照国家及国家能源集团公司相关规定，对公司“购置抓斗船及配套泥驳船项目”中有关船舶进行资产评估。</w:t>
      </w:r>
    </w:p>
    <w:p>
      <w:pPr>
        <w:adjustRightInd w:val="0"/>
        <w:snapToGrid w:val="0"/>
        <w:spacing w:line="360" w:lineRule="auto"/>
        <w:ind w:firstLine="560"/>
        <w:rPr>
          <w:rFonts w:hint="eastAsia" w:ascii="黑体" w:hAnsi="黑体" w:eastAsia="黑体" w:cs="黑体"/>
          <w:szCs w:val="22"/>
        </w:rPr>
      </w:pPr>
      <w:bookmarkStart w:id="34" w:name="_Toc4569"/>
      <w:bookmarkStart w:id="35" w:name="_Toc30039"/>
      <w:bookmarkStart w:id="36" w:name="_Toc25955"/>
      <w:bookmarkStart w:id="37" w:name="_Toc2522_WPSOffice_Level2"/>
      <w:bookmarkStart w:id="38" w:name="_Toc11174_WPSOffice_Level2"/>
      <w:bookmarkStart w:id="39" w:name="_Toc21001_WPSOffice_Level2"/>
      <w:bookmarkStart w:id="40" w:name="_Toc17277"/>
      <w:r>
        <w:rPr>
          <w:rFonts w:hint="eastAsia" w:ascii="黑体" w:hAnsi="黑体" w:eastAsia="黑体" w:cs="黑体"/>
          <w:szCs w:val="22"/>
        </w:rPr>
        <w:t>3.2服务期限</w:t>
      </w:r>
      <w:bookmarkEnd w:id="32"/>
      <w:bookmarkEnd w:id="33"/>
      <w:bookmarkEnd w:id="34"/>
      <w:bookmarkEnd w:id="35"/>
      <w:bookmarkEnd w:id="36"/>
      <w:bookmarkEnd w:id="37"/>
      <w:bookmarkEnd w:id="38"/>
      <w:bookmarkEnd w:id="39"/>
      <w:bookmarkEnd w:id="40"/>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在中选后的7</w:t>
      </w:r>
      <w:bookmarkStart w:id="110" w:name="_GoBack"/>
      <w:bookmarkEnd w:id="110"/>
      <w:r>
        <w:rPr>
          <w:rFonts w:hint="eastAsia" w:ascii="宋体" w:hAnsi="宋体" w:eastAsia="宋体" w:cs="宋体"/>
          <w:kern w:val="0"/>
          <w:sz w:val="28"/>
          <w:szCs w:val="28"/>
          <w:lang w:val="en-US" w:eastAsia="zh-CN"/>
        </w:rPr>
        <w:t>日内完成资产评估报告的编制工作，并且交付电子版及3份纸质版报告。</w:t>
      </w:r>
    </w:p>
    <w:p>
      <w:pPr>
        <w:adjustRightInd w:val="0"/>
        <w:snapToGrid w:val="0"/>
        <w:spacing w:line="360" w:lineRule="auto"/>
        <w:ind w:firstLine="560"/>
        <w:rPr>
          <w:rFonts w:hint="eastAsia" w:ascii="黑体" w:hAnsi="黑体" w:eastAsia="黑体" w:cs="黑体"/>
          <w:szCs w:val="22"/>
        </w:rPr>
      </w:pPr>
      <w:bookmarkStart w:id="41" w:name="_Toc11690"/>
      <w:bookmarkStart w:id="42" w:name="_Toc20749"/>
      <w:bookmarkStart w:id="43" w:name="_Toc1373_WPSOffice_Level2"/>
      <w:bookmarkStart w:id="44" w:name="_Toc15836_WPSOffice_Level2"/>
      <w:bookmarkStart w:id="45" w:name="_Toc5700"/>
      <w:bookmarkStart w:id="46" w:name="_Toc29321"/>
      <w:bookmarkStart w:id="47" w:name="_Toc119_WPSOffice_Level2"/>
      <w:r>
        <w:rPr>
          <w:rFonts w:hint="eastAsia" w:ascii="黑体" w:hAnsi="黑体" w:eastAsia="黑体" w:cs="黑体"/>
          <w:szCs w:val="22"/>
        </w:rPr>
        <w:t>3.3服务地点</w:t>
      </w:r>
      <w:bookmarkEnd w:id="41"/>
      <w:bookmarkEnd w:id="42"/>
      <w:bookmarkEnd w:id="43"/>
      <w:bookmarkEnd w:id="44"/>
      <w:bookmarkEnd w:id="45"/>
      <w:bookmarkEnd w:id="46"/>
      <w:bookmarkEnd w:id="47"/>
      <w:bookmarkStart w:id="48" w:name="_Toc4646"/>
      <w:bookmarkStart w:id="49" w:name="_Toc16779"/>
    </w:p>
    <w:p>
      <w:p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评估服务工作地点为</w:t>
      </w:r>
      <w:r>
        <w:rPr>
          <w:rFonts w:hint="eastAsia" w:ascii="宋体" w:hAnsi="宋体" w:eastAsia="宋体" w:cs="宋体"/>
          <w:szCs w:val="22"/>
          <w:lang w:val="en-US" w:eastAsia="zh-CN"/>
        </w:rPr>
        <w:t>公司指定</w:t>
      </w:r>
      <w:r>
        <w:rPr>
          <w:rFonts w:hint="eastAsia" w:ascii="宋体" w:hAnsi="宋体" w:eastAsia="宋体" w:cs="宋体"/>
          <w:szCs w:val="22"/>
        </w:rPr>
        <w:t>。</w:t>
      </w:r>
    </w:p>
    <w:p>
      <w:pPr>
        <w:adjustRightInd w:val="0"/>
        <w:snapToGrid w:val="0"/>
        <w:spacing w:line="360" w:lineRule="auto"/>
        <w:ind w:firstLine="560"/>
        <w:rPr>
          <w:rFonts w:hint="eastAsia" w:ascii="黑体" w:hAnsi="黑体" w:eastAsia="黑体" w:cs="黑体"/>
          <w:szCs w:val="22"/>
        </w:rPr>
      </w:pPr>
      <w:bookmarkStart w:id="50" w:name="_Toc29272_WPSOffice_Level2"/>
      <w:bookmarkStart w:id="51" w:name="_Toc9958"/>
      <w:bookmarkStart w:id="52" w:name="_Toc25112_WPSOffice_Level2"/>
      <w:bookmarkStart w:id="53" w:name="_Toc12058"/>
      <w:bookmarkStart w:id="54" w:name="_Toc7205_WPSOffice_Level2"/>
      <w:bookmarkStart w:id="55" w:name="_Toc6094"/>
      <w:bookmarkStart w:id="56" w:name="_Toc15159"/>
      <w:r>
        <w:rPr>
          <w:rFonts w:hint="eastAsia" w:ascii="黑体" w:hAnsi="黑体" w:eastAsia="黑体" w:cs="黑体"/>
          <w:szCs w:val="22"/>
        </w:rPr>
        <w:t>3.4采购人提供的条件</w:t>
      </w:r>
      <w:bookmarkEnd w:id="48"/>
      <w:bookmarkEnd w:id="49"/>
      <w:bookmarkEnd w:id="50"/>
      <w:bookmarkEnd w:id="51"/>
      <w:bookmarkEnd w:id="52"/>
      <w:bookmarkEnd w:id="53"/>
      <w:bookmarkEnd w:id="54"/>
      <w:bookmarkEnd w:id="55"/>
      <w:bookmarkEnd w:id="56"/>
    </w:p>
    <w:p>
      <w:pPr>
        <w:numPr>
          <w:ilvl w:val="0"/>
          <w:numId w:val="2"/>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本项目服务相关的文件、资料。</w:t>
      </w:r>
    </w:p>
    <w:p>
      <w:pPr>
        <w:numPr>
          <w:ilvl w:val="0"/>
          <w:numId w:val="2"/>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采购人提供配合的管理人员。</w:t>
      </w:r>
    </w:p>
    <w:p>
      <w:pPr>
        <w:adjustRightInd w:val="0"/>
        <w:snapToGrid w:val="0"/>
        <w:spacing w:line="360" w:lineRule="auto"/>
        <w:ind w:firstLine="560"/>
        <w:rPr>
          <w:rFonts w:hint="eastAsia" w:ascii="黑体" w:hAnsi="黑体" w:eastAsia="黑体" w:cs="黑体"/>
          <w:szCs w:val="22"/>
        </w:rPr>
      </w:pPr>
      <w:bookmarkStart w:id="57" w:name="_Toc7069"/>
      <w:bookmarkStart w:id="58" w:name="_Toc3174_WPSOffice_Level2"/>
      <w:bookmarkStart w:id="59" w:name="_Toc29686_WPSOffice_Level2"/>
      <w:bookmarkStart w:id="60" w:name="_Toc18121"/>
      <w:bookmarkStart w:id="61" w:name="_Toc3654_WPSOffice_Level2"/>
      <w:bookmarkStart w:id="62" w:name="_Toc2920"/>
      <w:bookmarkStart w:id="63" w:name="_Toc19349"/>
      <w:bookmarkStart w:id="64" w:name="_Toc23918"/>
      <w:r>
        <w:rPr>
          <w:rFonts w:hint="eastAsia" w:ascii="黑体" w:hAnsi="黑体" w:eastAsia="黑体" w:cs="黑体"/>
          <w:szCs w:val="22"/>
        </w:rPr>
        <w:t>3.5工作内容</w:t>
      </w:r>
      <w:bookmarkEnd w:id="57"/>
      <w:bookmarkEnd w:id="58"/>
      <w:bookmarkEnd w:id="59"/>
      <w:bookmarkEnd w:id="60"/>
      <w:bookmarkEnd w:id="61"/>
      <w:bookmarkEnd w:id="62"/>
      <w:bookmarkEnd w:id="63"/>
      <w:bookmarkEnd w:id="64"/>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评估工作主要内容（</w:t>
      </w:r>
      <w:r>
        <w:rPr>
          <w:rFonts w:hint="eastAsia" w:ascii="宋体" w:hAnsi="宋体" w:eastAsia="宋体" w:cs="宋体"/>
          <w:szCs w:val="22"/>
          <w:lang w:val="en-US" w:eastAsia="zh-CN"/>
        </w:rPr>
        <w:t>包括</w:t>
      </w:r>
      <w:r>
        <w:rPr>
          <w:rFonts w:hint="eastAsia" w:ascii="宋体" w:hAnsi="宋体" w:eastAsia="宋体" w:cs="宋体"/>
          <w:szCs w:val="22"/>
        </w:rPr>
        <w:t>但不限于）：</w:t>
      </w:r>
    </w:p>
    <w:p>
      <w:pPr>
        <w:numPr>
          <w:ilvl w:val="0"/>
          <w:numId w:val="3"/>
        </w:numPr>
        <w:adjustRightInd w:val="0"/>
        <w:snapToGrid w:val="0"/>
        <w:spacing w:line="360" w:lineRule="auto"/>
        <w:ind w:firstLine="560"/>
        <w:rPr>
          <w:rFonts w:hint="eastAsia" w:ascii="宋体" w:hAnsi="宋体" w:eastAsia="宋体" w:cs="宋体"/>
          <w:szCs w:val="28"/>
        </w:rPr>
      </w:pPr>
      <w:r>
        <w:rPr>
          <w:rFonts w:hint="eastAsia" w:ascii="宋体" w:hAnsi="宋体" w:eastAsia="宋体" w:cs="宋体"/>
          <w:szCs w:val="22"/>
        </w:rPr>
        <w:t>编制评估计划</w:t>
      </w:r>
    </w:p>
    <w:p>
      <w:pPr>
        <w:adjustRightInd w:val="0"/>
        <w:snapToGrid w:val="0"/>
        <w:spacing w:line="360" w:lineRule="auto"/>
        <w:ind w:firstLine="560"/>
        <w:rPr>
          <w:rFonts w:hint="eastAsia" w:ascii="宋体" w:hAnsi="宋体" w:eastAsia="宋体" w:cs="宋体"/>
          <w:szCs w:val="28"/>
        </w:rPr>
      </w:pPr>
      <w:r>
        <w:rPr>
          <w:rFonts w:hint="eastAsia" w:ascii="宋体" w:hAnsi="宋体" w:eastAsia="宋体" w:cs="宋体"/>
          <w:szCs w:val="28"/>
        </w:rPr>
        <w:t>报价人依据评估目的、评估对象和评估范围、资产构成和工作量等有关情况，制定评估方案，确定评估人员，组成资产评估现场工作小组。</w:t>
      </w:r>
    </w:p>
    <w:p>
      <w:pPr>
        <w:numPr>
          <w:ilvl w:val="0"/>
          <w:numId w:val="3"/>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现场调查</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评估人员听取企业有关人员介绍企业情况和委估资产的历史及现状，了解企业的财务制度、经营状况；查阅收集委估资产的产权证明文件；获取企业的相关财务资料和评估所需的企业的其他资料等。</w:t>
      </w:r>
    </w:p>
    <w:p>
      <w:pPr>
        <w:numPr>
          <w:ilvl w:val="0"/>
          <w:numId w:val="3"/>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选择评估方法、收集评估资料</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报价人根据项目的情况选择评估方法，按资产类别进行价格查询和市场询价，收集价格资料；收集政府部门的有关规定、相关专业机构的分析报告及文件等，作为评估作价的依据。</w:t>
      </w:r>
    </w:p>
    <w:p>
      <w:pPr>
        <w:numPr>
          <w:ilvl w:val="0"/>
          <w:numId w:val="3"/>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评定估算</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对收集的资料进行必要的分析、归纳和整理，形成评定估算的依据；根据评估对象、价值类型、评估资料收集情况等相关条件，选择适用的评估方法，选取相应的公式和参数进行分析、计算和判断，形成初步评估结论。</w:t>
      </w:r>
    </w:p>
    <w:p>
      <w:pPr>
        <w:numPr>
          <w:ilvl w:val="0"/>
          <w:numId w:val="3"/>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编制和提交评估报告。</w:t>
      </w:r>
    </w:p>
    <w:p>
      <w:pPr>
        <w:adjustRightInd w:val="0"/>
        <w:snapToGrid w:val="0"/>
        <w:spacing w:line="360" w:lineRule="auto"/>
        <w:ind w:firstLine="560"/>
        <w:rPr>
          <w:rFonts w:hint="eastAsia"/>
        </w:rPr>
      </w:pPr>
      <w:r>
        <w:rPr>
          <w:rFonts w:hint="eastAsia" w:ascii="宋体" w:hAnsi="宋体" w:eastAsia="宋体" w:cs="宋体"/>
          <w:szCs w:val="22"/>
        </w:rPr>
        <w:t>报价人根据对各类资产的初步评估结果，编制相关评估说明，在核实确认具体资产项目评估结果准确无误、评估工作没有发生重复和遗漏情况的基础上，依据各资产评估说明进行汇总分析，确定最终评估结论，撰写资产评估报告书初稿，根据相关法律、法规、资产评估准则和评估机构内部质量控制制度，对评估报告及评估程序执行情况进行必要的内部复核；向采购人征询意见，在充分商讨和必要修改后，按资产评估业务约定书的要求向采购人提供正式评估报告书。</w:t>
      </w:r>
    </w:p>
    <w:p>
      <w:pPr>
        <w:numPr>
          <w:ilvl w:val="0"/>
          <w:numId w:val="3"/>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编制的评估报告需满足国家能源集团评估管理办法的相关要求。</w:t>
      </w:r>
    </w:p>
    <w:p>
      <w:pPr>
        <w:adjustRightInd w:val="0"/>
        <w:snapToGrid w:val="0"/>
        <w:spacing w:line="360" w:lineRule="auto"/>
        <w:ind w:firstLine="560"/>
        <w:rPr>
          <w:rFonts w:hint="eastAsia"/>
        </w:rPr>
      </w:pPr>
    </w:p>
    <w:p>
      <w:pPr>
        <w:pStyle w:val="3"/>
        <w:numPr>
          <w:ilvl w:val="0"/>
          <w:numId w:val="1"/>
        </w:numPr>
        <w:adjustRightInd w:val="0"/>
        <w:snapToGrid w:val="0"/>
        <w:spacing w:before="0" w:after="0" w:line="360" w:lineRule="auto"/>
        <w:ind w:left="0" w:firstLine="0" w:firstLineChars="0"/>
        <w:rPr>
          <w:rFonts w:hint="eastAsia" w:ascii="黑体" w:hAnsi="黑体" w:eastAsia="黑体" w:cs="黑体"/>
          <w:b w:val="0"/>
          <w:bCs w:val="0"/>
          <w:sz w:val="28"/>
          <w:szCs w:val="28"/>
        </w:rPr>
      </w:pPr>
      <w:bookmarkStart w:id="65" w:name="_Toc17973"/>
      <w:bookmarkStart w:id="66" w:name="_Toc30062"/>
      <w:bookmarkStart w:id="67" w:name="_Toc2664"/>
      <w:bookmarkStart w:id="68" w:name="_Toc23845_WPSOffice_Level1"/>
      <w:bookmarkStart w:id="69" w:name="_Toc1831"/>
      <w:bookmarkStart w:id="70" w:name="_Toc3682"/>
      <w:bookmarkStart w:id="71" w:name="_Toc4415"/>
      <w:bookmarkStart w:id="72" w:name="_Toc4506_WPSOffice_Level1"/>
      <w:bookmarkStart w:id="73" w:name="_Toc15836_WPSOffice_Level1"/>
      <w:r>
        <w:rPr>
          <w:rFonts w:hint="eastAsia" w:ascii="黑体" w:hAnsi="黑体" w:eastAsia="黑体" w:cs="黑体"/>
          <w:b w:val="0"/>
          <w:bCs w:val="0"/>
          <w:sz w:val="28"/>
          <w:szCs w:val="28"/>
        </w:rPr>
        <w:t>技术要求</w:t>
      </w:r>
      <w:bookmarkEnd w:id="65"/>
      <w:bookmarkEnd w:id="66"/>
      <w:bookmarkEnd w:id="67"/>
      <w:bookmarkEnd w:id="68"/>
      <w:bookmarkEnd w:id="69"/>
      <w:bookmarkEnd w:id="70"/>
      <w:bookmarkEnd w:id="71"/>
      <w:bookmarkEnd w:id="72"/>
      <w:bookmarkEnd w:id="73"/>
    </w:p>
    <w:p>
      <w:pPr>
        <w:adjustRightInd w:val="0"/>
        <w:snapToGrid w:val="0"/>
        <w:spacing w:line="360" w:lineRule="auto"/>
        <w:ind w:firstLine="560"/>
        <w:rPr>
          <w:rFonts w:hint="eastAsia" w:ascii="黑体" w:hAnsi="黑体" w:eastAsia="黑体" w:cs="黑体"/>
          <w:szCs w:val="22"/>
        </w:rPr>
      </w:pPr>
      <w:bookmarkStart w:id="74" w:name="_Toc4378"/>
      <w:bookmarkStart w:id="75" w:name="_Toc22290_WPSOffice_Level2"/>
      <w:bookmarkStart w:id="76" w:name="_Toc5388"/>
      <w:bookmarkStart w:id="77" w:name="_Toc8747"/>
      <w:bookmarkStart w:id="78" w:name="_Toc13868_WPSOffice_Level2"/>
      <w:bookmarkStart w:id="79" w:name="_Toc26293_WPSOffice_Level2"/>
      <w:bookmarkStart w:id="80" w:name="_Toc5365"/>
      <w:bookmarkStart w:id="81" w:name="_Toc11029"/>
      <w:bookmarkStart w:id="82" w:name="_Toc15640_WPSOffice_Level2"/>
      <w:bookmarkStart w:id="83" w:name="_Toc24725_WPSOffice_Level2"/>
      <w:bookmarkStart w:id="84" w:name="_Toc23926"/>
      <w:r>
        <w:rPr>
          <w:rFonts w:hint="eastAsia" w:ascii="黑体" w:hAnsi="黑体" w:eastAsia="黑体" w:cs="黑体"/>
          <w:szCs w:val="22"/>
        </w:rPr>
        <w:t>4.1服务标准和规范</w:t>
      </w:r>
      <w:bookmarkEnd w:id="74"/>
      <w:bookmarkEnd w:id="75"/>
      <w:bookmarkEnd w:id="76"/>
      <w:bookmarkEnd w:id="77"/>
      <w:bookmarkEnd w:id="78"/>
      <w:bookmarkEnd w:id="79"/>
      <w:bookmarkEnd w:id="80"/>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4.1.1通用部分</w:t>
      </w:r>
    </w:p>
    <w:p>
      <w:pPr>
        <w:numPr>
          <w:ilvl w:val="0"/>
          <w:numId w:val="4"/>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本项目所适用的法律、标准、规范为国家、地方及行业现行的法律、标准、规范，以及在</w:t>
      </w:r>
      <w:r>
        <w:rPr>
          <w:rFonts w:hint="eastAsia" w:ascii="宋体" w:hAnsi="宋体" w:eastAsia="宋体" w:cs="宋体"/>
          <w:szCs w:val="22"/>
          <w:lang w:val="en-US" w:eastAsia="zh-CN"/>
        </w:rPr>
        <w:t>项目服务</w:t>
      </w:r>
      <w:r>
        <w:rPr>
          <w:rFonts w:hint="eastAsia" w:ascii="宋体" w:hAnsi="宋体" w:eastAsia="宋体" w:cs="宋体"/>
          <w:szCs w:val="22"/>
        </w:rPr>
        <w:t>实施期间国家、地方及行业对相应法律、标准或规范的修改，以及新颁布的法律、标准和规范。具体法律、标准和规范见专用部分，如专用部分未单独列出法律、规范和标准，则按国家、地方及行业相应最高要求实施。</w:t>
      </w:r>
    </w:p>
    <w:p>
      <w:pPr>
        <w:numPr>
          <w:ilvl w:val="0"/>
          <w:numId w:val="4"/>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本项目在执行法律要求外，还须执行国家能源集团、采购人的相关管理文件要求。</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4.1.2专用部分</w:t>
      </w:r>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本项目所适用标准和规范见下（包括但不限于，其中没有标注日期的标准，其最新版本适用于本项目）：</w:t>
      </w:r>
    </w:p>
    <w:p>
      <w:pPr>
        <w:adjustRightInd w:val="0"/>
        <w:snapToGrid w:val="0"/>
        <w:spacing w:line="360" w:lineRule="auto"/>
        <w:ind w:firstLine="560"/>
        <w:rPr>
          <w:rFonts w:hint="eastAsia" w:ascii="宋体" w:hAnsi="宋体" w:eastAsia="宋体" w:cs="宋体"/>
          <w:szCs w:val="28"/>
        </w:rPr>
      </w:pPr>
      <w:r>
        <w:rPr>
          <w:rFonts w:hint="eastAsia" w:ascii="宋体" w:hAnsi="宋体" w:eastAsia="宋体" w:cs="宋体"/>
          <w:szCs w:val="28"/>
        </w:rPr>
        <w:t>（1）《中华人民共和国资产评估法》</w:t>
      </w:r>
    </w:p>
    <w:p>
      <w:pPr>
        <w:adjustRightInd w:val="0"/>
        <w:snapToGrid w:val="0"/>
        <w:spacing w:line="360" w:lineRule="auto"/>
        <w:ind w:firstLine="560"/>
        <w:rPr>
          <w:rFonts w:hint="eastAsia" w:ascii="宋体" w:hAnsi="宋体" w:eastAsia="宋体" w:cs="宋体"/>
          <w:szCs w:val="28"/>
        </w:rPr>
      </w:pPr>
      <w:r>
        <w:rPr>
          <w:rFonts w:hint="eastAsia" w:ascii="宋体" w:hAnsi="宋体" w:eastAsia="宋体" w:cs="宋体"/>
          <w:szCs w:val="28"/>
        </w:rPr>
        <w:t>（2）《资产评估基本准则》</w:t>
      </w:r>
    </w:p>
    <w:p>
      <w:pPr>
        <w:adjustRightInd w:val="0"/>
        <w:snapToGrid w:val="0"/>
        <w:spacing w:line="360" w:lineRule="auto"/>
        <w:ind w:firstLine="560"/>
        <w:rPr>
          <w:rFonts w:hint="eastAsia" w:ascii="黑体" w:hAnsi="黑体" w:eastAsia="黑体" w:cs="黑体"/>
          <w:szCs w:val="22"/>
        </w:rPr>
      </w:pPr>
      <w:bookmarkStart w:id="85" w:name="_Toc20059"/>
      <w:bookmarkStart w:id="86" w:name="_Toc30123_WPSOffice_Level2"/>
      <w:bookmarkStart w:id="87" w:name="_Toc18984"/>
      <w:bookmarkStart w:id="88" w:name="_Toc18468"/>
      <w:bookmarkStart w:id="89" w:name="_Toc8200"/>
      <w:r>
        <w:rPr>
          <w:rFonts w:hint="eastAsia" w:ascii="黑体" w:hAnsi="黑体" w:eastAsia="黑体" w:cs="黑体"/>
          <w:szCs w:val="22"/>
        </w:rPr>
        <w:t>4.2资源配置及组织要求</w:t>
      </w:r>
      <w:bookmarkEnd w:id="81"/>
      <w:bookmarkEnd w:id="82"/>
      <w:bookmarkEnd w:id="83"/>
      <w:bookmarkEnd w:id="84"/>
      <w:bookmarkEnd w:id="85"/>
      <w:bookmarkEnd w:id="86"/>
      <w:bookmarkEnd w:id="87"/>
      <w:bookmarkEnd w:id="88"/>
      <w:bookmarkEnd w:id="89"/>
    </w:p>
    <w:p>
      <w:pPr>
        <w:numPr>
          <w:ilvl w:val="0"/>
          <w:numId w:val="5"/>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报价人应按采购文件的要求配置数量足够、专业齐全、结构合理的服务团队进行工作。其中须指定人员作为本服务项目团队的负责人。</w:t>
      </w:r>
    </w:p>
    <w:p>
      <w:pPr>
        <w:numPr>
          <w:ilvl w:val="0"/>
          <w:numId w:val="5"/>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报价人的服务人员应具有与本项目技术要求相适应的技术水平、管理水平和相应资质。</w:t>
      </w:r>
    </w:p>
    <w:p>
      <w:pPr>
        <w:numPr>
          <w:ilvl w:val="0"/>
          <w:numId w:val="5"/>
        </w:num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报价人应保持服务人员的稳定性。除非采购人书面同意，报价人不得更换服务人员。如需更换，应以同等或更高条件的人员取代需更换的人员。若因人员更换影响本服务工作的，由报价人承担所有损失责任。</w:t>
      </w:r>
    </w:p>
    <w:p>
      <w:pPr>
        <w:numPr>
          <w:ilvl w:val="0"/>
          <w:numId w:val="5"/>
        </w:numPr>
        <w:adjustRightInd w:val="0"/>
        <w:snapToGrid w:val="0"/>
        <w:spacing w:line="360" w:lineRule="auto"/>
        <w:ind w:firstLine="560"/>
        <w:rPr>
          <w:rFonts w:ascii="宋体" w:hAnsi="宋体" w:eastAsia="宋体" w:cs="宋体"/>
          <w:szCs w:val="22"/>
        </w:rPr>
      </w:pPr>
      <w:r>
        <w:rPr>
          <w:rFonts w:hint="eastAsia" w:ascii="宋体" w:hAnsi="宋体" w:eastAsia="宋体" w:cs="宋体"/>
          <w:szCs w:val="22"/>
        </w:rPr>
        <w:t>如报价人服务人员不能满足要求，采购人有权要求报价人增加或更换服务人员，报价人应无条件配合。</w:t>
      </w:r>
    </w:p>
    <w:p>
      <w:pPr>
        <w:pStyle w:val="3"/>
        <w:numPr>
          <w:ilvl w:val="0"/>
          <w:numId w:val="1"/>
        </w:numPr>
        <w:adjustRightInd w:val="0"/>
        <w:snapToGrid w:val="0"/>
        <w:spacing w:before="0" w:after="0" w:line="360" w:lineRule="auto"/>
        <w:ind w:left="0" w:firstLine="0" w:firstLineChars="0"/>
        <w:rPr>
          <w:rFonts w:hint="eastAsia" w:ascii="黑体" w:hAnsi="黑体" w:eastAsia="黑体" w:cs="黑体"/>
          <w:b w:val="0"/>
          <w:bCs w:val="0"/>
          <w:sz w:val="28"/>
          <w:szCs w:val="28"/>
        </w:rPr>
      </w:pPr>
      <w:bookmarkStart w:id="90" w:name="_Toc29272_WPSOffice_Level1"/>
      <w:bookmarkStart w:id="91" w:name="_Toc29514_WPSOffice_Level1"/>
      <w:bookmarkStart w:id="92" w:name="_Toc15522"/>
      <w:bookmarkStart w:id="93" w:name="_Toc25311"/>
      <w:bookmarkStart w:id="94" w:name="_Toc9153"/>
      <w:bookmarkStart w:id="95" w:name="_Toc28445_WPSOffice_Level1"/>
      <w:bookmarkStart w:id="96" w:name="_Toc15026"/>
      <w:bookmarkStart w:id="97" w:name="_Toc446"/>
      <w:bookmarkStart w:id="98" w:name="_Toc25868"/>
      <w:bookmarkStart w:id="99" w:name="_Toc14059"/>
      <w:bookmarkStart w:id="100" w:name="_Toc9066"/>
      <w:r>
        <w:rPr>
          <w:rFonts w:hint="eastAsia" w:ascii="黑体" w:hAnsi="黑体" w:eastAsia="黑体" w:cs="黑体"/>
          <w:b w:val="0"/>
          <w:bCs w:val="0"/>
          <w:sz w:val="28"/>
          <w:szCs w:val="28"/>
        </w:rPr>
        <w:t>成果</w:t>
      </w:r>
      <w:bookmarkEnd w:id="90"/>
      <w:bookmarkEnd w:id="91"/>
      <w:bookmarkEnd w:id="92"/>
      <w:bookmarkEnd w:id="93"/>
      <w:bookmarkEnd w:id="94"/>
      <w:bookmarkEnd w:id="95"/>
      <w:bookmarkEnd w:id="96"/>
      <w:bookmarkEnd w:id="97"/>
      <w:bookmarkEnd w:id="98"/>
      <w:r>
        <w:rPr>
          <w:rFonts w:hint="eastAsia" w:ascii="黑体" w:hAnsi="黑体" w:eastAsia="黑体" w:cs="黑体"/>
          <w:b w:val="0"/>
          <w:bCs w:val="0"/>
          <w:sz w:val="28"/>
          <w:szCs w:val="28"/>
          <w:lang w:val="en-US" w:eastAsia="zh-CN"/>
        </w:rPr>
        <w:t>要求</w:t>
      </w:r>
    </w:p>
    <w:p>
      <w:pPr>
        <w:adjustRightInd w:val="0"/>
        <w:snapToGrid w:val="0"/>
        <w:spacing w:line="360" w:lineRule="auto"/>
        <w:ind w:firstLine="560"/>
        <w:rPr>
          <w:rFonts w:hint="eastAsia" w:ascii="黑体" w:hAnsi="黑体" w:eastAsia="黑体" w:cs="黑体"/>
          <w:szCs w:val="22"/>
        </w:rPr>
      </w:pPr>
      <w:bookmarkStart w:id="101" w:name="_Toc24327_WPSOffice_Level2"/>
      <w:bookmarkStart w:id="102" w:name="_Toc21091_WPSOffice_Level2"/>
      <w:bookmarkStart w:id="103" w:name="_Toc14526"/>
      <w:bookmarkStart w:id="104" w:name="_Toc24962_WPSOffice_Level2"/>
      <w:bookmarkStart w:id="105" w:name="_Toc22574"/>
      <w:bookmarkStart w:id="106" w:name="_Toc2580"/>
      <w:bookmarkStart w:id="107" w:name="_Toc8210"/>
      <w:r>
        <w:rPr>
          <w:rFonts w:hint="eastAsia" w:ascii="黑体" w:hAnsi="黑体" w:eastAsia="黑体" w:cs="黑体"/>
          <w:szCs w:val="22"/>
        </w:rPr>
        <w:t>5.1</w:t>
      </w:r>
      <w:bookmarkEnd w:id="99"/>
      <w:bookmarkEnd w:id="100"/>
      <w:bookmarkEnd w:id="101"/>
      <w:bookmarkEnd w:id="102"/>
      <w:bookmarkEnd w:id="103"/>
      <w:bookmarkEnd w:id="104"/>
      <w:r>
        <w:rPr>
          <w:rFonts w:hint="eastAsia" w:ascii="黑体" w:hAnsi="黑体" w:eastAsia="黑体" w:cs="黑体"/>
          <w:szCs w:val="22"/>
        </w:rPr>
        <w:t>成果要求</w:t>
      </w:r>
      <w:bookmarkEnd w:id="105"/>
      <w:bookmarkEnd w:id="106"/>
      <w:bookmarkEnd w:id="107"/>
    </w:p>
    <w:p>
      <w:pPr>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5.1.1通用部分</w:t>
      </w:r>
    </w:p>
    <w:p>
      <w:pPr>
        <w:numPr>
          <w:ilvl w:val="0"/>
          <w:numId w:val="6"/>
        </w:num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按期、保质、保量完成本服务任务，达到</w:t>
      </w:r>
      <w:r>
        <w:rPr>
          <w:rFonts w:hint="eastAsia" w:ascii="宋体" w:hAnsi="宋体" w:eastAsia="宋体" w:cs="宋体"/>
          <w:szCs w:val="22"/>
          <w:lang w:val="en-US" w:eastAsia="zh-CN"/>
        </w:rPr>
        <w:t>采购人</w:t>
      </w:r>
      <w:r>
        <w:rPr>
          <w:rFonts w:hint="eastAsia" w:ascii="宋体" w:hAnsi="宋体" w:eastAsia="宋体" w:cs="宋体"/>
          <w:szCs w:val="22"/>
        </w:rPr>
        <w:t>要求。</w:t>
      </w:r>
    </w:p>
    <w:p>
      <w:pPr>
        <w:numPr>
          <w:ilvl w:val="0"/>
          <w:numId w:val="6"/>
        </w:num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报价人评估服务结束后，出具评估报告，评估报告应做到客观真实、数据准确、合理合法、充分完整、文字精炼。</w:t>
      </w:r>
    </w:p>
    <w:p>
      <w:pPr>
        <w:numPr>
          <w:ilvl w:val="0"/>
          <w:numId w:val="6"/>
        </w:num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报价人如出具虚假报告，应承担相应法律责任；报价人提交的报告文件出现遗漏或错误，应及时修改、补正。</w:t>
      </w:r>
    </w:p>
    <w:p>
      <w:pPr>
        <w:numPr>
          <w:ilvl w:val="0"/>
          <w:numId w:val="6"/>
        </w:num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评估服务完成后报价人应在规定的时间内，按照要求提供完整、准确的档案资料，以便查证。</w:t>
      </w:r>
    </w:p>
    <w:p>
      <w:pPr>
        <w:numPr>
          <w:ilvl w:val="0"/>
          <w:numId w:val="6"/>
        </w:num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r>
        <w:rPr>
          <w:rFonts w:hint="eastAsia" w:ascii="宋体" w:hAnsi="宋体" w:eastAsia="宋体" w:cs="宋体"/>
          <w:szCs w:val="22"/>
        </w:rPr>
        <w:t>报价人需协助采购人通过评估报告的审查备案。</w:t>
      </w:r>
    </w:p>
    <w:p>
      <w:pPr>
        <w:tabs>
          <w:tab w:val="left" w:pos="3000"/>
          <w:tab w:val="left" w:pos="3280"/>
          <w:tab w:val="left" w:pos="6120"/>
          <w:tab w:val="left" w:pos="7540"/>
          <w:tab w:val="left" w:pos="8320"/>
        </w:tabs>
        <w:adjustRightInd w:val="0"/>
        <w:snapToGrid w:val="0"/>
        <w:spacing w:line="360" w:lineRule="auto"/>
        <w:ind w:firstLine="560"/>
        <w:rPr>
          <w:rFonts w:hint="eastAsia" w:ascii="宋体" w:hAnsi="宋体" w:eastAsia="宋体" w:cs="宋体"/>
          <w:szCs w:val="22"/>
        </w:rPr>
      </w:pPr>
      <w:bookmarkStart w:id="108" w:name="_Toc22417"/>
      <w:bookmarkStart w:id="109" w:name="_Toc28594"/>
      <w:r>
        <w:rPr>
          <w:rFonts w:hint="eastAsia" w:ascii="宋体" w:hAnsi="宋体" w:eastAsia="宋体" w:cs="宋体"/>
          <w:szCs w:val="22"/>
        </w:rPr>
        <w:t>5.1.2专用部分</w:t>
      </w:r>
    </w:p>
    <w:p>
      <w:pPr>
        <w:numPr>
          <w:ilvl w:val="0"/>
          <w:numId w:val="0"/>
        </w:numPr>
        <w:tabs>
          <w:tab w:val="left" w:pos="3000"/>
          <w:tab w:val="left" w:pos="3280"/>
          <w:tab w:val="left" w:pos="6120"/>
          <w:tab w:val="left" w:pos="7540"/>
          <w:tab w:val="left" w:pos="8320"/>
        </w:tabs>
        <w:adjustRightInd w:val="0"/>
        <w:snapToGrid w:val="0"/>
        <w:spacing w:line="360" w:lineRule="auto"/>
        <w:ind w:firstLine="560" w:firstLineChars="200"/>
        <w:rPr>
          <w:rFonts w:hint="eastAsia" w:eastAsia="宋体"/>
          <w:lang w:eastAsia="zh-CN"/>
        </w:rPr>
      </w:pPr>
      <w:r>
        <w:rPr>
          <w:rFonts w:hint="eastAsia" w:ascii="宋体" w:hAnsi="宋体" w:eastAsia="宋体" w:cs="宋体"/>
          <w:szCs w:val="22"/>
        </w:rPr>
        <w:t>最终资料整理、完整性应符合国家有关工作的标准和存档要求</w:t>
      </w:r>
      <w:bookmarkEnd w:id="108"/>
      <w:bookmarkEnd w:id="109"/>
      <w:r>
        <w:rPr>
          <w:rFonts w:hint="eastAsia" w:ascii="宋体" w:hAnsi="宋体" w:eastAsia="宋体" w:cs="宋体"/>
          <w:szCs w:val="22"/>
          <w:lang w:eastAsia="zh-CN"/>
        </w:rPr>
        <w:t>。</w:t>
      </w:r>
    </w:p>
    <w:sectPr>
      <w:headerReference r:id="rId5" w:type="default"/>
      <w:footerReference r:id="rId6" w:type="default"/>
      <w:pgSz w:w="11906" w:h="16838"/>
      <w:pgMar w:top="1440" w:right="1803" w:bottom="1440" w:left="1803" w:header="851" w:footer="992" w:gutter="0"/>
      <w:cols w:space="720" w:num="1"/>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pPr>
                      <w:pStyle w:val="7"/>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ind w:firstLine="360"/>
                            <w:rPr>
                              <w:rFonts w:hint="eastAsia"/>
                            </w:rPr>
                          </w:pP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2ExcoBAACc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B2ExcoBAACcAwAADgAAAAAAAAABACAAAAAeAQAAZHJzL2Uyb0Rv&#10;Yy54bWxQSwUGAAAAAAYABgBZAQAAWgUAAAAA&#10;">
              <v:fill on="f" focussize="0,0"/>
              <v:stroke on="f"/>
              <v:imagedata o:title=""/>
              <o:lock v:ext="edit" aspectratio="f"/>
              <v:textbox inset="0mm,0mm,0mm,0mm" style="mso-fit-shape-to-text:t;">
                <w:txbxContent>
                  <w:p>
                    <w:pPr>
                      <w:pStyle w:val="7"/>
                      <w:ind w:firstLine="360"/>
                      <w:rPr>
                        <w:rFonts w:hint="eastAsi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92BD9D"/>
    <w:multiLevelType w:val="singleLevel"/>
    <w:tmpl w:val="D192BD9D"/>
    <w:lvl w:ilvl="0" w:tentative="0">
      <w:start w:val="1"/>
      <w:numFmt w:val="decimal"/>
      <w:suff w:val="nothing"/>
      <w:lvlText w:val="（%1）"/>
      <w:lvlJc w:val="left"/>
    </w:lvl>
  </w:abstractNum>
  <w:abstractNum w:abstractNumId="1">
    <w:nsid w:val="DCF1457E"/>
    <w:multiLevelType w:val="singleLevel"/>
    <w:tmpl w:val="DCF1457E"/>
    <w:lvl w:ilvl="0" w:tentative="0">
      <w:start w:val="1"/>
      <w:numFmt w:val="decimal"/>
      <w:suff w:val="nothing"/>
      <w:lvlText w:val="（%1）"/>
      <w:lvlJc w:val="left"/>
    </w:lvl>
  </w:abstractNum>
  <w:abstractNum w:abstractNumId="2">
    <w:nsid w:val="F9467439"/>
    <w:multiLevelType w:val="singleLevel"/>
    <w:tmpl w:val="F9467439"/>
    <w:lvl w:ilvl="0" w:tentative="0">
      <w:start w:val="1"/>
      <w:numFmt w:val="decimal"/>
      <w:suff w:val="nothing"/>
      <w:lvlText w:val="（%1）"/>
      <w:lvlJc w:val="left"/>
    </w:lvl>
  </w:abstractNum>
  <w:abstractNum w:abstractNumId="3">
    <w:nsid w:val="18F05EF7"/>
    <w:multiLevelType w:val="singleLevel"/>
    <w:tmpl w:val="18F05EF7"/>
    <w:lvl w:ilvl="0" w:tentative="0">
      <w:start w:val="1"/>
      <w:numFmt w:val="decimal"/>
      <w:suff w:val="nothing"/>
      <w:lvlText w:val="（%1）"/>
      <w:lvlJc w:val="left"/>
    </w:lvl>
  </w:abstractNum>
  <w:abstractNum w:abstractNumId="4">
    <w:nsid w:val="2753B25C"/>
    <w:multiLevelType w:val="singleLevel"/>
    <w:tmpl w:val="2753B25C"/>
    <w:lvl w:ilvl="0" w:tentative="0">
      <w:start w:val="1"/>
      <w:numFmt w:val="decimal"/>
      <w:suff w:val="nothing"/>
      <w:lvlText w:val="（%1）"/>
      <w:lvlJc w:val="left"/>
    </w:lvl>
  </w:abstractNum>
  <w:abstractNum w:abstractNumId="5">
    <w:nsid w:val="476D7576"/>
    <w:multiLevelType w:val="multilevel"/>
    <w:tmpl w:val="476D7576"/>
    <w:lvl w:ilvl="0" w:tentative="0">
      <w:start w:val="1"/>
      <w:numFmt w:val="japaneseCounting"/>
      <w:lvlText w:val="第%1章"/>
      <w:lvlJc w:val="left"/>
      <w:pPr>
        <w:ind w:left="2323" w:hanging="1440"/>
      </w:pPr>
      <w:rPr>
        <w:rFonts w:hint="default"/>
      </w:rPr>
    </w:lvl>
    <w:lvl w:ilvl="1" w:tentative="0">
      <w:start w:val="1"/>
      <w:numFmt w:val="lowerLetter"/>
      <w:lvlText w:val="%2)"/>
      <w:lvlJc w:val="left"/>
      <w:pPr>
        <w:ind w:left="1723" w:hanging="420"/>
      </w:pPr>
    </w:lvl>
    <w:lvl w:ilvl="2" w:tentative="0">
      <w:start w:val="1"/>
      <w:numFmt w:val="lowerRoman"/>
      <w:lvlText w:val="%3."/>
      <w:lvlJc w:val="right"/>
      <w:pPr>
        <w:ind w:left="2143" w:hanging="420"/>
      </w:pPr>
    </w:lvl>
    <w:lvl w:ilvl="3" w:tentative="0">
      <w:start w:val="1"/>
      <w:numFmt w:val="decimal"/>
      <w:lvlText w:val="%4."/>
      <w:lvlJc w:val="left"/>
      <w:pPr>
        <w:ind w:left="2563" w:hanging="420"/>
      </w:pPr>
    </w:lvl>
    <w:lvl w:ilvl="4" w:tentative="0">
      <w:start w:val="1"/>
      <w:numFmt w:val="lowerLetter"/>
      <w:lvlText w:val="%5)"/>
      <w:lvlJc w:val="left"/>
      <w:pPr>
        <w:ind w:left="2983" w:hanging="420"/>
      </w:pPr>
    </w:lvl>
    <w:lvl w:ilvl="5" w:tentative="0">
      <w:start w:val="1"/>
      <w:numFmt w:val="lowerRoman"/>
      <w:lvlText w:val="%6."/>
      <w:lvlJc w:val="right"/>
      <w:pPr>
        <w:ind w:left="3403" w:hanging="420"/>
      </w:pPr>
    </w:lvl>
    <w:lvl w:ilvl="6" w:tentative="0">
      <w:start w:val="1"/>
      <w:numFmt w:val="decimal"/>
      <w:lvlText w:val="%7."/>
      <w:lvlJc w:val="left"/>
      <w:pPr>
        <w:ind w:left="3823" w:hanging="420"/>
      </w:pPr>
    </w:lvl>
    <w:lvl w:ilvl="7" w:tentative="0">
      <w:start w:val="1"/>
      <w:numFmt w:val="lowerLetter"/>
      <w:lvlText w:val="%8)"/>
      <w:lvlJc w:val="left"/>
      <w:pPr>
        <w:ind w:left="4243" w:hanging="420"/>
      </w:pPr>
    </w:lvl>
    <w:lvl w:ilvl="8" w:tentative="0">
      <w:start w:val="1"/>
      <w:numFmt w:val="lowerRoman"/>
      <w:lvlText w:val="%9."/>
      <w:lvlJc w:val="right"/>
      <w:pPr>
        <w:ind w:left="4663" w:hanging="42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98"/>
  <w:displayHorizontalDrawingGridEvery w:val="1"/>
  <w:displayVerticalDrawingGridEvery w:val="2"/>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129"/>
    <w:rsid w:val="00000D44"/>
    <w:rsid w:val="000329A6"/>
    <w:rsid w:val="00034292"/>
    <w:rsid w:val="00053C0C"/>
    <w:rsid w:val="0006039D"/>
    <w:rsid w:val="00094DED"/>
    <w:rsid w:val="000D4D39"/>
    <w:rsid w:val="000D6E58"/>
    <w:rsid w:val="00120FC2"/>
    <w:rsid w:val="00136C5E"/>
    <w:rsid w:val="001A1129"/>
    <w:rsid w:val="00260F00"/>
    <w:rsid w:val="003527DD"/>
    <w:rsid w:val="003D3EA1"/>
    <w:rsid w:val="003F7196"/>
    <w:rsid w:val="004368AD"/>
    <w:rsid w:val="00445A19"/>
    <w:rsid w:val="00497A4B"/>
    <w:rsid w:val="004B273F"/>
    <w:rsid w:val="004D529A"/>
    <w:rsid w:val="00546113"/>
    <w:rsid w:val="005F37F5"/>
    <w:rsid w:val="0063648A"/>
    <w:rsid w:val="007A6ED3"/>
    <w:rsid w:val="0080665D"/>
    <w:rsid w:val="008E633A"/>
    <w:rsid w:val="00A17E4C"/>
    <w:rsid w:val="00C228EC"/>
    <w:rsid w:val="00C8518F"/>
    <w:rsid w:val="00C85260"/>
    <w:rsid w:val="00D6284C"/>
    <w:rsid w:val="00D721EF"/>
    <w:rsid w:val="00EA0F6C"/>
    <w:rsid w:val="00EA40CC"/>
    <w:rsid w:val="00ED1079"/>
    <w:rsid w:val="00FC26D6"/>
    <w:rsid w:val="011105FB"/>
    <w:rsid w:val="02B222A4"/>
    <w:rsid w:val="02B518F1"/>
    <w:rsid w:val="031F2488"/>
    <w:rsid w:val="033631B9"/>
    <w:rsid w:val="04FF458C"/>
    <w:rsid w:val="07644155"/>
    <w:rsid w:val="07DE121A"/>
    <w:rsid w:val="08AD68A5"/>
    <w:rsid w:val="093A1AA4"/>
    <w:rsid w:val="09735E47"/>
    <w:rsid w:val="097614B4"/>
    <w:rsid w:val="0A7F79D4"/>
    <w:rsid w:val="0BF8780F"/>
    <w:rsid w:val="0C197CC8"/>
    <w:rsid w:val="0C5A55D2"/>
    <w:rsid w:val="0CBA2E43"/>
    <w:rsid w:val="0D4B5F25"/>
    <w:rsid w:val="0DB223D1"/>
    <w:rsid w:val="0DED6E12"/>
    <w:rsid w:val="0FDC4372"/>
    <w:rsid w:val="104F63DE"/>
    <w:rsid w:val="113C25D1"/>
    <w:rsid w:val="11655E3A"/>
    <w:rsid w:val="137A15D3"/>
    <w:rsid w:val="14047D7D"/>
    <w:rsid w:val="16524A97"/>
    <w:rsid w:val="19C41765"/>
    <w:rsid w:val="1A5317A5"/>
    <w:rsid w:val="1AB57111"/>
    <w:rsid w:val="1B6B0928"/>
    <w:rsid w:val="1C0F1208"/>
    <w:rsid w:val="1CA2151F"/>
    <w:rsid w:val="1D2A6256"/>
    <w:rsid w:val="1DCA5BFB"/>
    <w:rsid w:val="1E2D12CD"/>
    <w:rsid w:val="1F5B2F96"/>
    <w:rsid w:val="1FAB0C65"/>
    <w:rsid w:val="1FB31C86"/>
    <w:rsid w:val="217C35E6"/>
    <w:rsid w:val="223C4360"/>
    <w:rsid w:val="245A25B3"/>
    <w:rsid w:val="26703379"/>
    <w:rsid w:val="278472F0"/>
    <w:rsid w:val="27F349AF"/>
    <w:rsid w:val="2A845264"/>
    <w:rsid w:val="2AAA6634"/>
    <w:rsid w:val="2B71087D"/>
    <w:rsid w:val="2B8568F0"/>
    <w:rsid w:val="2C1A1165"/>
    <w:rsid w:val="2DDB47B6"/>
    <w:rsid w:val="30234451"/>
    <w:rsid w:val="304D1561"/>
    <w:rsid w:val="305114FC"/>
    <w:rsid w:val="30917E59"/>
    <w:rsid w:val="31B7287C"/>
    <w:rsid w:val="328A375B"/>
    <w:rsid w:val="32BD4552"/>
    <w:rsid w:val="34EC68C1"/>
    <w:rsid w:val="35204028"/>
    <w:rsid w:val="38EA674B"/>
    <w:rsid w:val="3AAF1A10"/>
    <w:rsid w:val="3B9A1726"/>
    <w:rsid w:val="3BD66460"/>
    <w:rsid w:val="3BE24AFD"/>
    <w:rsid w:val="3C025F91"/>
    <w:rsid w:val="3D560DBA"/>
    <w:rsid w:val="3DAB79EE"/>
    <w:rsid w:val="3DC93DEB"/>
    <w:rsid w:val="3DDD6059"/>
    <w:rsid w:val="3E6E2E26"/>
    <w:rsid w:val="3E856A58"/>
    <w:rsid w:val="400A7177"/>
    <w:rsid w:val="424E3010"/>
    <w:rsid w:val="425B2CD9"/>
    <w:rsid w:val="446027FF"/>
    <w:rsid w:val="45576042"/>
    <w:rsid w:val="456942C1"/>
    <w:rsid w:val="45AF3CB3"/>
    <w:rsid w:val="469638B9"/>
    <w:rsid w:val="47536572"/>
    <w:rsid w:val="47A05C33"/>
    <w:rsid w:val="47E901B0"/>
    <w:rsid w:val="4D161CE5"/>
    <w:rsid w:val="4D20537F"/>
    <w:rsid w:val="4D9E1E27"/>
    <w:rsid w:val="4DC25299"/>
    <w:rsid w:val="4F124853"/>
    <w:rsid w:val="50F46FFC"/>
    <w:rsid w:val="52525FEA"/>
    <w:rsid w:val="536C4524"/>
    <w:rsid w:val="5605687E"/>
    <w:rsid w:val="56F757AC"/>
    <w:rsid w:val="57275676"/>
    <w:rsid w:val="5EFC1BC2"/>
    <w:rsid w:val="5F472286"/>
    <w:rsid w:val="60853D3E"/>
    <w:rsid w:val="61C07B1B"/>
    <w:rsid w:val="61E36688"/>
    <w:rsid w:val="63BD0E23"/>
    <w:rsid w:val="63D452A5"/>
    <w:rsid w:val="64B21D61"/>
    <w:rsid w:val="65874F3A"/>
    <w:rsid w:val="668144FF"/>
    <w:rsid w:val="674729C2"/>
    <w:rsid w:val="67602787"/>
    <w:rsid w:val="6A5A0B91"/>
    <w:rsid w:val="6BF75166"/>
    <w:rsid w:val="6C383867"/>
    <w:rsid w:val="6CB61704"/>
    <w:rsid w:val="6D6327B1"/>
    <w:rsid w:val="6E14649E"/>
    <w:rsid w:val="6E3C327E"/>
    <w:rsid w:val="6EB53B61"/>
    <w:rsid w:val="6F1F1875"/>
    <w:rsid w:val="70206732"/>
    <w:rsid w:val="75781D3B"/>
    <w:rsid w:val="780C37F1"/>
    <w:rsid w:val="783A7479"/>
    <w:rsid w:val="786628F9"/>
    <w:rsid w:val="78AE5D74"/>
    <w:rsid w:val="7A811228"/>
    <w:rsid w:val="7BB600B3"/>
    <w:rsid w:val="7BD21811"/>
    <w:rsid w:val="7C407108"/>
    <w:rsid w:val="7CA40412"/>
    <w:rsid w:val="7D3113D3"/>
    <w:rsid w:val="7E9450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28"/>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afterLines="0" w:line="480" w:lineRule="auto"/>
    </w:pPr>
  </w:style>
  <w:style w:type="paragraph" w:styleId="5">
    <w:name w:val="Body Text"/>
    <w:basedOn w:val="1"/>
    <w:qFormat/>
    <w:uiPriority w:val="0"/>
    <w:pPr>
      <w:spacing w:line="360" w:lineRule="auto"/>
      <w:jc w:val="center"/>
    </w:pPr>
    <w:rPr>
      <w:spacing w:val="12"/>
      <w:sz w:val="24"/>
      <w:szCs w:val="2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character" w:styleId="13">
    <w:name w:val="Hyperlink"/>
    <w:unhideWhenUsed/>
    <w:qFormat/>
    <w:uiPriority w:val="99"/>
    <w:rPr>
      <w:color w:val="0563C1"/>
      <w:u w:val="single"/>
    </w:rPr>
  </w:style>
  <w:style w:type="character" w:customStyle="1" w:styleId="14">
    <w:name w:val="批注框文本 Char"/>
    <w:link w:val="6"/>
    <w:qFormat/>
    <w:uiPriority w:val="0"/>
    <w:rPr>
      <w:rFonts w:eastAsia="仿宋_GB2312"/>
      <w:kern w:val="2"/>
      <w:sz w:val="18"/>
      <w:szCs w:val="18"/>
    </w:rPr>
  </w:style>
  <w:style w:type="paragraph" w:customStyle="1" w:styleId="15">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paragraph" w:customStyle="1" w:styleId="16">
    <w:name w:val="TOC Heading"/>
    <w:basedOn w:val="3"/>
    <w:next w:val="1"/>
    <w:unhideWhenUsed/>
    <w:qFormat/>
    <w:uiPriority w:val="39"/>
    <w:pPr>
      <w:widowControl/>
      <w:spacing w:before="480" w:after="0" w:line="276" w:lineRule="auto"/>
      <w:ind w:firstLine="0" w:firstLineChars="0"/>
      <w:jc w:val="left"/>
      <w:outlineLvl w:val="9"/>
    </w:pPr>
    <w:rPr>
      <w:rFonts w:ascii="Calibri Light" w:hAnsi="Calibri Light" w:eastAsia="宋体" w:cs="Times New Roman"/>
      <w:color w:val="2E75B5"/>
      <w:kern w:val="0"/>
      <w:sz w:val="28"/>
      <w:szCs w:val="28"/>
    </w:rPr>
  </w:style>
  <w:style w:type="paragraph" w:customStyle="1" w:styleId="17">
    <w:name w:val="WPSOffice手动目录 2"/>
    <w:qFormat/>
    <w:uiPriority w:val="0"/>
    <w:pPr>
      <w:ind w:leftChars="200"/>
    </w:pPr>
    <w:rPr>
      <w:rFonts w:ascii="Times New Roman" w:hAnsi="Times New Roman" w:eastAsia="宋体" w:cs="Times New Roman"/>
      <w:lang w:val="en-US" w:eastAsia="zh-CN" w:bidi="ar-SA"/>
    </w:rPr>
  </w:style>
  <w:style w:type="paragraph" w:customStyle="1" w:styleId="18">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3617</Words>
  <Characters>3812</Characters>
  <Lines>36</Lines>
  <Paragraphs>10</Paragraphs>
  <TotalTime>3</TotalTime>
  <ScaleCrop>false</ScaleCrop>
  <LinksUpToDate>false</LinksUpToDate>
  <CharactersWithSpaces>3849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2019-06-06T06:22:00Z</dcterms:created>
  <dc:creator>admin</dc:creator>
  <dc:description>国家能源集团非招标采购示范文本
版本：第一版
编辑：国电物资集团
定稿：2019年10月07日</dc:description>
  <cp:lastModifiedBy>Administrator</cp:lastModifiedBy>
  <dcterms:modified xsi:type="dcterms:W3CDTF">2023-11-23T13:35:44Z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4A75AF36C9474140B6E3F349531E8003</vt:lpwstr>
  </property>
</Properties>
</file>