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line="360" w:lineRule="auto"/>
        <w:ind w:firstLine="0" w:firstLineChars="0"/>
        <w:rPr>
          <w:rFonts w:ascii="仿宋_GB2312"/>
          <w:color w:val="000000"/>
          <w:szCs w:val="28"/>
        </w:rPr>
      </w:pPr>
      <w:r>
        <w:rPr>
          <w:rFonts w:ascii="宋体" w:hAnsi="宋体" w:cs="宋体"/>
          <w:kern w:val="0"/>
          <w:sz w:val="24"/>
        </w:rPr>
        <w:drawing>
          <wp:inline distT="0" distB="0" distL="114300" distR="114300">
            <wp:extent cx="1828800" cy="590550"/>
            <wp:effectExtent l="0" t="0" r="0" b="0"/>
            <wp:docPr id="1" name="图片 1" descr="国能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能logo"/>
                    <pic:cNvPicPr>
                      <a:picLocks noChangeAspect="1"/>
                    </pic:cNvPicPr>
                  </pic:nvPicPr>
                  <pic:blipFill>
                    <a:blip r:embed="rId7"/>
                    <a:stretch>
                      <a:fillRect/>
                    </a:stretch>
                  </pic:blipFill>
                  <pic:spPr>
                    <a:xfrm>
                      <a:off x="0" y="0"/>
                      <a:ext cx="1828800" cy="590550"/>
                    </a:xfrm>
                    <a:prstGeom prst="rect">
                      <a:avLst/>
                    </a:prstGeom>
                    <a:noFill/>
                    <a:ln>
                      <a:noFill/>
                    </a:ln>
                  </pic:spPr>
                </pic:pic>
              </a:graphicData>
            </a:graphic>
          </wp:inline>
        </w:drawing>
      </w:r>
    </w:p>
    <w:p>
      <w:pPr>
        <w:adjustRightInd w:val="0"/>
        <w:snapToGrid w:val="0"/>
        <w:spacing w:line="360" w:lineRule="auto"/>
        <w:ind w:firstLine="924"/>
        <w:rPr>
          <w:rFonts w:ascii="华文细黑" w:hAnsi="华文细黑" w:eastAsia="华文细黑"/>
          <w:b/>
          <w:bCs/>
          <w:color w:val="000000"/>
          <w:sz w:val="44"/>
          <w:szCs w:val="24"/>
        </w:rPr>
      </w:pPr>
    </w:p>
    <w:p>
      <w:pPr>
        <w:widowControl/>
        <w:tabs>
          <w:tab w:val="center" w:pos="4649"/>
          <w:tab w:val="right" w:pos="9299"/>
        </w:tabs>
        <w:adjustRightInd w:val="0"/>
        <w:snapToGrid w:val="0"/>
        <w:spacing w:before="60" w:after="200" w:line="360" w:lineRule="auto"/>
        <w:ind w:firstLine="880"/>
        <w:jc w:val="center"/>
        <w:rPr>
          <w:rFonts w:ascii="黑体" w:hAnsi="黑体" w:eastAsia="黑体"/>
          <w:color w:val="000000"/>
          <w:sz w:val="44"/>
          <w:szCs w:val="44"/>
        </w:rPr>
      </w:pPr>
    </w:p>
    <w:p>
      <w:pPr>
        <w:pStyle w:val="9"/>
        <w:widowControl/>
        <w:tabs>
          <w:tab w:val="center" w:pos="4649"/>
          <w:tab w:val="right" w:pos="9299"/>
        </w:tabs>
        <w:adjustRightInd w:val="0"/>
        <w:spacing w:after="200" w:line="360" w:lineRule="auto"/>
        <w:jc w:val="center"/>
        <w:rPr>
          <w:rFonts w:hint="eastAsia" w:ascii="黑体" w:hAnsi="黑体" w:eastAsia="黑体"/>
          <w:color w:val="000000"/>
          <w:kern w:val="0"/>
          <w:sz w:val="52"/>
          <w:szCs w:val="52"/>
        </w:rPr>
      </w:pPr>
      <w:r>
        <w:fldChar w:fldCharType="begin"/>
      </w:r>
      <w:r>
        <w:instrText xml:space="preserve"> HYPERLINK "http://www.baidu.com/link?url=zSACFN6ljYWYPDUv36yhV4X5s-NOrm1ny9rYIL-qjWz7QD7p_koLKgwCkdsYDaCY" \t "_blank" </w:instrText>
      </w:r>
      <w:r>
        <w:fldChar w:fldCharType="separate"/>
      </w:r>
      <w:r>
        <w:rPr>
          <w:rFonts w:hint="eastAsia" w:ascii="黑体" w:hAnsi="黑体" w:eastAsia="黑体"/>
          <w:color w:val="000000"/>
          <w:kern w:val="0"/>
          <w:sz w:val="52"/>
          <w:szCs w:val="52"/>
        </w:rPr>
        <w:t>国能黄骅港务</w:t>
      </w:r>
      <w:r>
        <w:rPr>
          <w:rFonts w:hint="eastAsia" w:ascii="黑体" w:hAnsi="黑体" w:eastAsia="黑体"/>
          <w:color w:val="000000"/>
          <w:kern w:val="0"/>
          <w:sz w:val="52"/>
          <w:szCs w:val="52"/>
          <w:lang w:eastAsia="zh-CN"/>
        </w:rPr>
        <w:t>有限责任</w:t>
      </w:r>
      <w:r>
        <w:rPr>
          <w:rFonts w:hint="eastAsia" w:ascii="黑体" w:hAnsi="黑体" w:eastAsia="黑体"/>
          <w:color w:val="000000"/>
          <w:kern w:val="0"/>
          <w:sz w:val="52"/>
          <w:szCs w:val="52"/>
        </w:rPr>
        <w:t>公司</w:t>
      </w:r>
      <w:r>
        <w:rPr>
          <w:rFonts w:hint="eastAsia" w:ascii="黑体" w:hAnsi="黑体" w:eastAsia="黑体"/>
          <w:color w:val="000000"/>
          <w:kern w:val="0"/>
          <w:sz w:val="52"/>
          <w:szCs w:val="52"/>
        </w:rPr>
        <w:fldChar w:fldCharType="end"/>
      </w:r>
    </w:p>
    <w:p>
      <w:pPr>
        <w:pStyle w:val="9"/>
        <w:widowControl/>
        <w:tabs>
          <w:tab w:val="center" w:pos="4649"/>
          <w:tab w:val="right" w:pos="9299"/>
        </w:tabs>
        <w:adjustRightInd w:val="0"/>
        <w:spacing w:after="200" w:line="360" w:lineRule="auto"/>
        <w:jc w:val="center"/>
        <w:rPr>
          <w:rFonts w:hint="default" w:ascii="黑体" w:hAnsi="黑体" w:eastAsia="黑体"/>
          <w:color w:val="000000"/>
          <w:kern w:val="0"/>
          <w:sz w:val="52"/>
          <w:szCs w:val="52"/>
          <w:lang w:val="en-US"/>
        </w:rPr>
      </w:pPr>
      <w:r>
        <w:rPr>
          <w:rFonts w:hint="eastAsia" w:ascii="黑体" w:hAnsi="黑体" w:eastAsia="黑体"/>
          <w:color w:val="000000"/>
          <w:kern w:val="0"/>
          <w:sz w:val="52"/>
          <w:szCs w:val="52"/>
          <w:lang w:val="en-US" w:eastAsia="zh-CN"/>
        </w:rPr>
        <w:t>2024年</w:t>
      </w:r>
      <w:r>
        <w:rPr>
          <w:rFonts w:hint="eastAsia" w:ascii="黑体" w:hAnsi="黑体" w:eastAsia="黑体"/>
          <w:color w:val="000000"/>
          <w:kern w:val="0"/>
          <w:sz w:val="52"/>
          <w:szCs w:val="52"/>
        </w:rPr>
        <w:t>非道路移动机械</w:t>
      </w:r>
      <w:r>
        <w:rPr>
          <w:rFonts w:hint="eastAsia" w:ascii="黑体" w:hAnsi="黑体" w:eastAsia="黑体"/>
          <w:color w:val="000000"/>
          <w:kern w:val="0"/>
          <w:sz w:val="52"/>
          <w:szCs w:val="52"/>
          <w:lang w:val="en-US" w:eastAsia="zh-CN"/>
        </w:rPr>
        <w:t>尾气</w:t>
      </w:r>
      <w:r>
        <w:rPr>
          <w:rFonts w:hint="eastAsia" w:ascii="黑体" w:hAnsi="黑体" w:eastAsia="黑体"/>
          <w:color w:val="000000"/>
          <w:kern w:val="0"/>
          <w:sz w:val="52"/>
          <w:szCs w:val="52"/>
        </w:rPr>
        <w:t>检测</w:t>
      </w:r>
      <w:r>
        <w:rPr>
          <w:rFonts w:hint="eastAsia" w:ascii="黑体" w:hAnsi="黑体" w:eastAsia="黑体"/>
          <w:color w:val="000000"/>
          <w:kern w:val="0"/>
          <w:sz w:val="52"/>
          <w:szCs w:val="52"/>
          <w:lang w:eastAsia="zh-CN"/>
        </w:rPr>
        <w:t>项目</w:t>
      </w:r>
      <w:r>
        <w:rPr>
          <w:rFonts w:hint="eastAsia" w:ascii="黑体" w:hAnsi="黑体" w:eastAsia="黑体"/>
          <w:color w:val="000000"/>
          <w:kern w:val="0"/>
          <w:sz w:val="52"/>
          <w:szCs w:val="52"/>
          <w:lang w:val="en-US" w:eastAsia="zh-CN"/>
        </w:rPr>
        <w:t>技术规格书</w:t>
      </w:r>
    </w:p>
    <w:p>
      <w:pPr>
        <w:widowControl/>
        <w:tabs>
          <w:tab w:val="center" w:pos="4649"/>
          <w:tab w:val="right" w:pos="9299"/>
        </w:tabs>
        <w:adjustRightInd w:val="0"/>
        <w:snapToGrid w:val="0"/>
        <w:spacing w:line="360" w:lineRule="auto"/>
        <w:ind w:firstLine="1040"/>
        <w:jc w:val="center"/>
        <w:rPr>
          <w:rFonts w:ascii="黑体" w:hAnsi="黑体" w:eastAsia="黑体"/>
          <w:color w:val="000000"/>
          <w:kern w:val="0"/>
          <w:sz w:val="52"/>
          <w:szCs w:val="52"/>
        </w:rPr>
      </w:pPr>
    </w:p>
    <w:p>
      <w:pPr>
        <w:widowControl/>
        <w:tabs>
          <w:tab w:val="center" w:pos="4649"/>
          <w:tab w:val="right" w:pos="9299"/>
        </w:tabs>
        <w:adjustRightInd w:val="0"/>
        <w:snapToGrid w:val="0"/>
        <w:spacing w:line="360" w:lineRule="auto"/>
        <w:ind w:firstLine="1040"/>
        <w:jc w:val="center"/>
        <w:rPr>
          <w:rFonts w:ascii="黑体" w:hAnsi="黑体" w:eastAsia="黑体"/>
          <w:color w:val="000000"/>
          <w:kern w:val="0"/>
          <w:sz w:val="52"/>
          <w:szCs w:val="52"/>
        </w:rPr>
      </w:pPr>
    </w:p>
    <w:p>
      <w:pPr>
        <w:widowControl/>
        <w:tabs>
          <w:tab w:val="center" w:pos="4649"/>
          <w:tab w:val="right" w:pos="9299"/>
        </w:tabs>
        <w:adjustRightInd w:val="0"/>
        <w:snapToGrid w:val="0"/>
        <w:spacing w:before="60" w:after="200" w:line="360" w:lineRule="auto"/>
        <w:ind w:firstLine="0" w:firstLineChars="0"/>
        <w:rPr>
          <w:rFonts w:ascii="黑体" w:hAnsi="宋体" w:eastAsia="黑体"/>
          <w:color w:val="000000"/>
          <w:kern w:val="0"/>
          <w:sz w:val="44"/>
          <w:szCs w:val="44"/>
        </w:rPr>
      </w:pPr>
    </w:p>
    <w:p>
      <w:pPr>
        <w:pStyle w:val="9"/>
        <w:widowControl/>
        <w:tabs>
          <w:tab w:val="center" w:pos="4649"/>
          <w:tab w:val="right" w:pos="9299"/>
        </w:tabs>
        <w:adjustRightInd w:val="0"/>
        <w:spacing w:after="200" w:line="360" w:lineRule="auto"/>
        <w:jc w:val="center"/>
        <w:rPr>
          <w:rFonts w:hint="eastAsia" w:ascii="黑体" w:hAnsi="宋体" w:eastAsia="黑体"/>
          <w:color w:val="000000"/>
          <w:kern w:val="0"/>
          <w:sz w:val="44"/>
          <w:szCs w:val="44"/>
        </w:rPr>
      </w:pPr>
    </w:p>
    <w:p>
      <w:pPr>
        <w:pStyle w:val="9"/>
        <w:widowControl/>
        <w:tabs>
          <w:tab w:val="center" w:pos="4649"/>
          <w:tab w:val="right" w:pos="9299"/>
        </w:tabs>
        <w:adjustRightInd w:val="0"/>
        <w:spacing w:after="200" w:line="360" w:lineRule="auto"/>
        <w:jc w:val="center"/>
        <w:rPr>
          <w:rFonts w:hint="eastAsia" w:ascii="黑体" w:hAnsi="宋体" w:eastAsia="黑体"/>
          <w:color w:val="000000"/>
          <w:kern w:val="0"/>
          <w:sz w:val="44"/>
          <w:szCs w:val="44"/>
        </w:rPr>
      </w:pPr>
    </w:p>
    <w:p>
      <w:pPr>
        <w:pStyle w:val="9"/>
        <w:widowControl/>
        <w:tabs>
          <w:tab w:val="center" w:pos="4649"/>
          <w:tab w:val="right" w:pos="9299"/>
        </w:tabs>
        <w:adjustRightInd w:val="0"/>
        <w:spacing w:after="200" w:line="360" w:lineRule="auto"/>
        <w:jc w:val="center"/>
        <w:rPr>
          <w:rFonts w:ascii="黑体" w:hAnsi="宋体" w:eastAsia="黑体"/>
          <w:kern w:val="0"/>
          <w:sz w:val="44"/>
          <w:szCs w:val="44"/>
        </w:rPr>
      </w:pPr>
      <w:r>
        <w:rPr>
          <w:rFonts w:hint="eastAsia" w:ascii="黑体" w:hAnsi="宋体" w:eastAsia="黑体"/>
          <w:color w:val="000000"/>
          <w:kern w:val="0"/>
          <w:sz w:val="44"/>
          <w:szCs w:val="44"/>
        </w:rPr>
        <w:t>采购人：</w:t>
      </w:r>
      <w:r>
        <w:rPr>
          <w:rFonts w:hint="eastAsia" w:ascii="黑体" w:hAnsi="宋体" w:eastAsia="黑体" w:cs="Times New Roman"/>
          <w:color w:val="000000"/>
          <w:kern w:val="0"/>
          <w:sz w:val="44"/>
          <w:szCs w:val="44"/>
        </w:rPr>
        <w:fldChar w:fldCharType="begin"/>
      </w:r>
      <w:r>
        <w:rPr>
          <w:rFonts w:hint="eastAsia" w:ascii="黑体" w:hAnsi="宋体" w:eastAsia="黑体" w:cs="Times New Roman"/>
          <w:color w:val="000000"/>
          <w:kern w:val="0"/>
          <w:sz w:val="44"/>
          <w:szCs w:val="44"/>
        </w:rPr>
        <w:instrText xml:space="preserve"> HYPERLINK "http://www.baidu.com/link?url=zSACFN6ljYWYPDUv36yhV4X5s-NOrm1ny9rYIL-qjWz7QD7p_koLKgwCkdsYDaCY" \t "_blank" </w:instrText>
      </w:r>
      <w:r>
        <w:rPr>
          <w:rFonts w:hint="eastAsia" w:ascii="黑体" w:hAnsi="宋体" w:eastAsia="黑体" w:cs="Times New Roman"/>
          <w:color w:val="000000"/>
          <w:kern w:val="0"/>
          <w:sz w:val="44"/>
          <w:szCs w:val="44"/>
        </w:rPr>
        <w:fldChar w:fldCharType="separate"/>
      </w:r>
      <w:r>
        <w:rPr>
          <w:rFonts w:hint="eastAsia" w:ascii="黑体" w:hAnsi="宋体" w:eastAsia="黑体" w:cs="Times New Roman"/>
          <w:color w:val="000000"/>
          <w:kern w:val="0"/>
          <w:sz w:val="44"/>
          <w:szCs w:val="44"/>
        </w:rPr>
        <w:t>国能黄骅港务</w:t>
      </w:r>
      <w:r>
        <w:rPr>
          <w:rFonts w:hint="eastAsia" w:ascii="黑体" w:hAnsi="宋体" w:eastAsia="黑体" w:cs="Times New Roman"/>
          <w:color w:val="000000"/>
          <w:kern w:val="0"/>
          <w:sz w:val="44"/>
          <w:szCs w:val="44"/>
          <w:lang w:eastAsia="zh-CN"/>
        </w:rPr>
        <w:t>有限责任</w:t>
      </w:r>
      <w:r>
        <w:rPr>
          <w:rFonts w:hint="eastAsia" w:ascii="黑体" w:hAnsi="宋体" w:eastAsia="黑体" w:cs="Times New Roman"/>
          <w:color w:val="000000"/>
          <w:kern w:val="0"/>
          <w:sz w:val="44"/>
          <w:szCs w:val="44"/>
        </w:rPr>
        <w:t>公司</w:t>
      </w:r>
      <w:r>
        <w:rPr>
          <w:rFonts w:hint="eastAsia" w:ascii="黑体" w:hAnsi="宋体" w:eastAsia="黑体" w:cs="Times New Roman"/>
          <w:color w:val="000000"/>
          <w:kern w:val="0"/>
          <w:sz w:val="44"/>
          <w:szCs w:val="44"/>
        </w:rPr>
        <w:fldChar w:fldCharType="end"/>
      </w:r>
    </w:p>
    <w:p>
      <w:pPr>
        <w:pStyle w:val="4"/>
        <w:adjustRightInd w:val="0"/>
        <w:snapToGrid w:val="0"/>
        <w:spacing w:line="360" w:lineRule="auto"/>
        <w:ind w:firstLine="0" w:firstLineChars="0"/>
        <w:rPr>
          <w:rFonts w:hint="eastAsia"/>
        </w:rPr>
        <w:sectPr>
          <w:pgSz w:w="11906" w:h="16838"/>
          <w:pgMar w:top="1440" w:right="1800" w:bottom="1440" w:left="1800" w:header="851" w:footer="992" w:gutter="0"/>
          <w:pgNumType w:start="1"/>
          <w:cols w:space="720" w:num="1"/>
          <w:docGrid w:type="lines" w:linePitch="312" w:charSpace="0"/>
        </w:sectPr>
      </w:pPr>
    </w:p>
    <w:p>
      <w:pPr>
        <w:ind w:firstLine="420"/>
        <w:jc w:val="center"/>
      </w:pPr>
      <w:r>
        <w:rPr>
          <w:rFonts w:ascii="宋体" w:hAnsi="宋体" w:eastAsia="宋体"/>
          <w:sz w:val="21"/>
        </w:rPr>
        <w:t>目录</w:t>
      </w:r>
    </w:p>
    <w:p>
      <w:pPr>
        <w:pStyle w:val="10"/>
        <w:tabs>
          <w:tab w:val="right" w:leader="dot" w:pos="8306"/>
        </w:tabs>
      </w:pPr>
      <w:r>
        <w:rPr>
          <w:b/>
          <w:bCs/>
        </w:rPr>
        <w:fldChar w:fldCharType="begin"/>
      </w:r>
      <w:r>
        <w:instrText xml:space="preserve"> HYPERLINK \l _Toc18007 </w:instrText>
      </w:r>
      <w:r>
        <w:rPr>
          <w:b/>
          <w:bCs/>
        </w:rPr>
        <w:fldChar w:fldCharType="separate"/>
      </w:r>
      <w:r>
        <w:rPr>
          <w:rFonts w:hint="eastAsia" w:ascii="黑体" w:hAnsi="黑体" w:eastAsia="黑体" w:cs="黑体"/>
          <w:b/>
          <w:bCs/>
        </w:rPr>
        <w:t>报价人须知</w:t>
      </w:r>
      <w:r>
        <w:rPr>
          <w:b/>
          <w:bCs/>
        </w:rPr>
        <w:tab/>
      </w:r>
      <w:r>
        <w:rPr>
          <w:b/>
          <w:bCs/>
        </w:rPr>
        <w:t>1</w:t>
      </w:r>
      <w:r>
        <w:rPr>
          <w:b/>
          <w:bCs/>
        </w:rPr>
        <w:fldChar w:fldCharType="end"/>
      </w:r>
    </w:p>
    <w:p>
      <w:pPr>
        <w:pStyle w:val="10"/>
        <w:tabs>
          <w:tab w:val="right" w:leader="dot" w:pos="8306"/>
        </w:tabs>
      </w:pPr>
      <w:r>
        <w:rPr>
          <w:b/>
          <w:bCs/>
        </w:rPr>
        <w:fldChar w:fldCharType="begin"/>
      </w:r>
      <w:r>
        <w:instrText xml:space="preserve"> HYPERLINK \l _Toc22843 </w:instrText>
      </w:r>
      <w:r>
        <w:rPr>
          <w:b/>
          <w:bCs/>
        </w:rPr>
        <w:fldChar w:fldCharType="separate"/>
      </w:r>
      <w:r>
        <w:rPr>
          <w:rFonts w:ascii="黑体" w:hAnsi="黑体" w:eastAsia="黑体" w:cs="黑体"/>
          <w:b/>
          <w:bCs/>
        </w:rPr>
        <w:t xml:space="preserve">第一章 </w:t>
      </w:r>
      <w:r>
        <w:rPr>
          <w:rFonts w:hint="eastAsia" w:ascii="黑体" w:hAnsi="黑体" w:eastAsia="黑体" w:cs="黑体"/>
          <w:b/>
          <w:bCs/>
        </w:rPr>
        <w:t>总体要求</w:t>
      </w:r>
      <w:r>
        <w:rPr>
          <w:b/>
          <w:bCs/>
        </w:rPr>
        <w:tab/>
      </w:r>
      <w:r>
        <w:rPr>
          <w:b/>
          <w:bCs/>
        </w:rPr>
        <w:t>2</w:t>
      </w:r>
      <w:r>
        <w:rPr>
          <w:b/>
          <w:bCs/>
        </w:rPr>
        <w:fldChar w:fldCharType="end"/>
      </w:r>
    </w:p>
    <w:p>
      <w:pPr>
        <w:pStyle w:val="10"/>
        <w:tabs>
          <w:tab w:val="right" w:leader="dot" w:pos="8306"/>
        </w:tabs>
      </w:pPr>
      <w:r>
        <w:rPr>
          <w:b/>
          <w:bCs/>
        </w:rPr>
        <w:fldChar w:fldCharType="begin"/>
      </w:r>
      <w:r>
        <w:instrText xml:space="preserve"> HYPERLINK \l _Toc308 </w:instrText>
      </w:r>
      <w:r>
        <w:rPr>
          <w:b/>
          <w:bCs/>
        </w:rPr>
        <w:fldChar w:fldCharType="separate"/>
      </w:r>
      <w:r>
        <w:rPr>
          <w:rFonts w:ascii="黑体" w:hAnsi="黑体" w:eastAsia="黑体" w:cs="黑体"/>
          <w:b/>
          <w:bCs/>
        </w:rPr>
        <w:t xml:space="preserve">第二章 </w:t>
      </w:r>
      <w:r>
        <w:rPr>
          <w:rFonts w:hint="eastAsia" w:ascii="黑体" w:hAnsi="黑体" w:eastAsia="黑体" w:cs="黑体"/>
          <w:b/>
          <w:bCs/>
        </w:rPr>
        <w:t>项目概况</w:t>
      </w:r>
      <w:r>
        <w:rPr>
          <w:b/>
          <w:bCs/>
        </w:rPr>
        <w:tab/>
      </w:r>
      <w:r>
        <w:rPr>
          <w:b/>
          <w:bCs/>
        </w:rPr>
        <w:t>3</w:t>
      </w:r>
      <w:r>
        <w:rPr>
          <w:b/>
          <w:bCs/>
        </w:rPr>
        <w:fldChar w:fldCharType="end"/>
      </w:r>
    </w:p>
    <w:p>
      <w:pPr>
        <w:pStyle w:val="10"/>
        <w:tabs>
          <w:tab w:val="right" w:leader="dot" w:pos="8306"/>
        </w:tabs>
      </w:pPr>
      <w:r>
        <w:rPr>
          <w:b/>
          <w:bCs/>
        </w:rPr>
        <w:fldChar w:fldCharType="begin"/>
      </w:r>
      <w:r>
        <w:instrText xml:space="preserve"> HYPERLINK \l _Toc1804 </w:instrText>
      </w:r>
      <w:r>
        <w:rPr>
          <w:b/>
          <w:bCs/>
        </w:rPr>
        <w:fldChar w:fldCharType="separate"/>
      </w:r>
      <w:r>
        <w:rPr>
          <w:rFonts w:ascii="黑体" w:hAnsi="黑体" w:eastAsia="黑体" w:cs="黑体"/>
          <w:b/>
          <w:bCs/>
        </w:rPr>
        <w:t xml:space="preserve">第三章 </w:t>
      </w:r>
      <w:r>
        <w:rPr>
          <w:rFonts w:hint="eastAsia" w:ascii="黑体" w:hAnsi="黑体" w:eastAsia="黑体" w:cs="黑体"/>
          <w:b/>
          <w:bCs/>
        </w:rPr>
        <w:t>采购范围</w:t>
      </w:r>
      <w:r>
        <w:rPr>
          <w:b/>
          <w:bCs/>
        </w:rPr>
        <w:tab/>
      </w:r>
      <w:r>
        <w:rPr>
          <w:b/>
          <w:bCs/>
        </w:rPr>
        <w:t>4</w:t>
      </w:r>
      <w:r>
        <w:rPr>
          <w:b/>
          <w:bCs/>
        </w:rPr>
        <w:fldChar w:fldCharType="end"/>
      </w:r>
    </w:p>
    <w:p>
      <w:pPr>
        <w:pStyle w:val="11"/>
        <w:tabs>
          <w:tab w:val="right" w:leader="dot" w:pos="8306"/>
        </w:tabs>
        <w:ind w:left="560"/>
      </w:pPr>
      <w:r>
        <w:fldChar w:fldCharType="begin"/>
      </w:r>
      <w:r>
        <w:instrText xml:space="preserve"> HYPERLINK \l _Toc23850 </w:instrText>
      </w:r>
      <w:r>
        <w:fldChar w:fldCharType="separate"/>
      </w:r>
      <w:r>
        <w:rPr>
          <w:rFonts w:hint="eastAsia" w:ascii="黑体" w:hAnsi="黑体" w:eastAsia="黑体" w:cs="黑体"/>
        </w:rPr>
        <w:t>3.1服务范围</w:t>
      </w:r>
      <w:r>
        <w:tab/>
      </w:r>
      <w:r>
        <w:t>4</w:t>
      </w:r>
      <w:r>
        <w:fldChar w:fldCharType="end"/>
      </w:r>
    </w:p>
    <w:p>
      <w:pPr>
        <w:pStyle w:val="11"/>
        <w:tabs>
          <w:tab w:val="right" w:leader="dot" w:pos="8306"/>
        </w:tabs>
        <w:ind w:left="560"/>
      </w:pPr>
      <w:r>
        <w:fldChar w:fldCharType="begin"/>
      </w:r>
      <w:r>
        <w:instrText xml:space="preserve"> HYPERLINK \l _Toc16654 </w:instrText>
      </w:r>
      <w:r>
        <w:fldChar w:fldCharType="separate"/>
      </w:r>
      <w:r>
        <w:rPr>
          <w:rFonts w:hint="eastAsia" w:ascii="黑体" w:hAnsi="黑体" w:eastAsia="黑体" w:cs="黑体"/>
        </w:rPr>
        <w:t>3.2服务期限</w:t>
      </w:r>
      <w:r>
        <w:tab/>
      </w:r>
      <w:r>
        <w:t>4</w:t>
      </w:r>
      <w:r>
        <w:fldChar w:fldCharType="end"/>
      </w:r>
    </w:p>
    <w:p>
      <w:pPr>
        <w:pStyle w:val="11"/>
        <w:tabs>
          <w:tab w:val="right" w:leader="dot" w:pos="8306"/>
        </w:tabs>
        <w:ind w:left="560"/>
      </w:pPr>
      <w:r>
        <w:fldChar w:fldCharType="begin"/>
      </w:r>
      <w:r>
        <w:instrText xml:space="preserve"> HYPERLINK \l _Toc19220 </w:instrText>
      </w:r>
      <w:r>
        <w:fldChar w:fldCharType="separate"/>
      </w:r>
      <w:r>
        <w:rPr>
          <w:rFonts w:hint="eastAsia" w:ascii="黑体" w:hAnsi="黑体" w:eastAsia="黑体" w:cs="黑体"/>
        </w:rPr>
        <w:t>3.3服务地点</w:t>
      </w:r>
      <w:r>
        <w:tab/>
      </w:r>
      <w:r>
        <w:t>4</w:t>
      </w:r>
      <w:r>
        <w:fldChar w:fldCharType="end"/>
      </w:r>
    </w:p>
    <w:p>
      <w:pPr>
        <w:pStyle w:val="11"/>
        <w:tabs>
          <w:tab w:val="right" w:leader="dot" w:pos="8306"/>
        </w:tabs>
        <w:ind w:left="560"/>
      </w:pPr>
      <w:r>
        <w:fldChar w:fldCharType="begin"/>
      </w:r>
      <w:r>
        <w:instrText xml:space="preserve"> HYPERLINK \l _Toc4765 </w:instrText>
      </w:r>
      <w:r>
        <w:fldChar w:fldCharType="separate"/>
      </w:r>
      <w:r>
        <w:rPr>
          <w:rFonts w:hint="eastAsia" w:ascii="黑体" w:hAnsi="黑体" w:eastAsia="黑体" w:cs="黑体"/>
        </w:rPr>
        <w:t>3.4采购人提供的条件</w:t>
      </w:r>
      <w:r>
        <w:tab/>
      </w:r>
      <w:r>
        <w:t>4</w:t>
      </w:r>
      <w:r>
        <w:fldChar w:fldCharType="end"/>
      </w:r>
    </w:p>
    <w:p>
      <w:pPr>
        <w:pStyle w:val="11"/>
        <w:tabs>
          <w:tab w:val="right" w:leader="dot" w:pos="8306"/>
        </w:tabs>
        <w:ind w:left="560"/>
      </w:pPr>
      <w:r>
        <w:fldChar w:fldCharType="begin"/>
      </w:r>
      <w:r>
        <w:instrText xml:space="preserve"> HYPERLINK \l _Toc14116 </w:instrText>
      </w:r>
      <w:r>
        <w:fldChar w:fldCharType="separate"/>
      </w:r>
      <w:r>
        <w:rPr>
          <w:rFonts w:hint="eastAsia" w:ascii="黑体" w:hAnsi="黑体" w:eastAsia="黑体" w:cs="黑体"/>
        </w:rPr>
        <w:t>3.5服务内容</w:t>
      </w:r>
      <w:r>
        <w:tab/>
      </w:r>
      <w:r>
        <w:t>4</w:t>
      </w:r>
      <w:r>
        <w:fldChar w:fldCharType="end"/>
      </w:r>
    </w:p>
    <w:p>
      <w:pPr>
        <w:pStyle w:val="10"/>
        <w:tabs>
          <w:tab w:val="right" w:leader="dot" w:pos="8306"/>
        </w:tabs>
      </w:pPr>
      <w:r>
        <w:rPr>
          <w:b/>
          <w:bCs/>
        </w:rPr>
        <w:fldChar w:fldCharType="begin"/>
      </w:r>
      <w:r>
        <w:instrText xml:space="preserve"> HYPERLINK \l _Toc10175 </w:instrText>
      </w:r>
      <w:r>
        <w:rPr>
          <w:b/>
          <w:bCs/>
        </w:rPr>
        <w:fldChar w:fldCharType="separate"/>
      </w:r>
      <w:r>
        <w:rPr>
          <w:rFonts w:ascii="黑体" w:hAnsi="黑体" w:eastAsia="黑体" w:cs="黑体"/>
          <w:b/>
          <w:bCs/>
        </w:rPr>
        <w:t xml:space="preserve">第四章 </w:t>
      </w:r>
      <w:r>
        <w:rPr>
          <w:rFonts w:hint="eastAsia" w:ascii="黑体" w:hAnsi="黑体" w:eastAsia="黑体" w:cs="黑体"/>
          <w:b/>
          <w:bCs/>
        </w:rPr>
        <w:t>标准与规范</w:t>
      </w:r>
      <w:r>
        <w:rPr>
          <w:b/>
          <w:bCs/>
        </w:rPr>
        <w:tab/>
      </w:r>
      <w:r>
        <w:rPr>
          <w:b/>
          <w:bCs/>
        </w:rPr>
        <w:t>6</w:t>
      </w:r>
      <w:r>
        <w:rPr>
          <w:b/>
          <w:bCs/>
        </w:rPr>
        <w:fldChar w:fldCharType="end"/>
      </w:r>
    </w:p>
    <w:p>
      <w:pPr>
        <w:pStyle w:val="11"/>
        <w:tabs>
          <w:tab w:val="right" w:leader="dot" w:pos="8306"/>
        </w:tabs>
        <w:ind w:left="560"/>
      </w:pPr>
      <w:r>
        <w:fldChar w:fldCharType="begin"/>
      </w:r>
      <w:r>
        <w:instrText xml:space="preserve"> HYPERLINK \l _Toc2594 </w:instrText>
      </w:r>
      <w:r>
        <w:fldChar w:fldCharType="separate"/>
      </w:r>
      <w:r>
        <w:rPr>
          <w:rFonts w:hint="eastAsia" w:ascii="黑体" w:hAnsi="黑体" w:eastAsia="黑体" w:cs="黑体"/>
        </w:rPr>
        <w:t>4.1通用部分</w:t>
      </w:r>
      <w:r>
        <w:tab/>
      </w:r>
      <w:r>
        <w:t>6</w:t>
      </w:r>
      <w:r>
        <w:fldChar w:fldCharType="end"/>
      </w:r>
    </w:p>
    <w:p>
      <w:pPr>
        <w:pStyle w:val="11"/>
        <w:tabs>
          <w:tab w:val="right" w:leader="dot" w:pos="8306"/>
        </w:tabs>
        <w:ind w:left="560"/>
      </w:pPr>
      <w:r>
        <w:fldChar w:fldCharType="begin"/>
      </w:r>
      <w:r>
        <w:instrText xml:space="preserve"> HYPERLINK \l _Toc29763 </w:instrText>
      </w:r>
      <w:r>
        <w:fldChar w:fldCharType="separate"/>
      </w:r>
      <w:r>
        <w:rPr>
          <w:rFonts w:hint="eastAsia" w:ascii="黑体" w:hAnsi="黑体" w:eastAsia="黑体" w:cs="黑体"/>
        </w:rPr>
        <w:t>4.2专用部分</w:t>
      </w:r>
      <w:r>
        <w:tab/>
      </w:r>
      <w:r>
        <w:t>6</w:t>
      </w:r>
      <w:r>
        <w:fldChar w:fldCharType="end"/>
      </w:r>
    </w:p>
    <w:p>
      <w:pPr>
        <w:pStyle w:val="10"/>
        <w:tabs>
          <w:tab w:val="right" w:leader="dot" w:pos="8306"/>
        </w:tabs>
      </w:pPr>
      <w:r>
        <w:rPr>
          <w:b/>
          <w:bCs/>
        </w:rPr>
        <w:fldChar w:fldCharType="begin"/>
      </w:r>
      <w:r>
        <w:instrText xml:space="preserve"> HYPERLINK \l _Toc3381 </w:instrText>
      </w:r>
      <w:r>
        <w:rPr>
          <w:b/>
          <w:bCs/>
        </w:rPr>
        <w:fldChar w:fldCharType="separate"/>
      </w:r>
      <w:r>
        <w:rPr>
          <w:rFonts w:ascii="黑体" w:hAnsi="黑体" w:eastAsia="黑体" w:cs="黑体"/>
          <w:b/>
          <w:bCs/>
        </w:rPr>
        <w:t xml:space="preserve">第五章 </w:t>
      </w:r>
      <w:r>
        <w:rPr>
          <w:rFonts w:hint="eastAsia" w:ascii="黑体" w:hAnsi="黑体" w:eastAsia="黑体" w:cs="黑体"/>
          <w:b/>
          <w:bCs/>
        </w:rPr>
        <w:t>技术要求</w:t>
      </w:r>
      <w:r>
        <w:rPr>
          <w:b/>
          <w:bCs/>
        </w:rPr>
        <w:tab/>
      </w:r>
      <w:r>
        <w:rPr>
          <w:b/>
          <w:bCs/>
        </w:rPr>
        <w:t>7</w:t>
      </w:r>
      <w:r>
        <w:rPr>
          <w:b/>
          <w:bCs/>
        </w:rPr>
        <w:fldChar w:fldCharType="end"/>
      </w:r>
    </w:p>
    <w:p>
      <w:pPr>
        <w:pStyle w:val="11"/>
        <w:tabs>
          <w:tab w:val="right" w:leader="dot" w:pos="8306"/>
        </w:tabs>
        <w:ind w:left="560"/>
      </w:pPr>
      <w:r>
        <w:fldChar w:fldCharType="begin"/>
      </w:r>
      <w:r>
        <w:instrText xml:space="preserve"> HYPERLINK \l _Toc23247 </w:instrText>
      </w:r>
      <w:r>
        <w:fldChar w:fldCharType="separate"/>
      </w:r>
      <w:r>
        <w:rPr>
          <w:rFonts w:hint="eastAsia" w:ascii="黑体" w:hAnsi="黑体" w:eastAsia="黑体" w:cs="黑体"/>
        </w:rPr>
        <w:t>5.1通用部分</w:t>
      </w:r>
      <w:r>
        <w:tab/>
      </w:r>
      <w:r>
        <w:t>7</w:t>
      </w:r>
      <w:r>
        <w:fldChar w:fldCharType="end"/>
      </w:r>
    </w:p>
    <w:p>
      <w:pPr>
        <w:pStyle w:val="11"/>
        <w:tabs>
          <w:tab w:val="right" w:leader="dot" w:pos="8306"/>
        </w:tabs>
        <w:ind w:left="560"/>
      </w:pPr>
      <w:r>
        <w:fldChar w:fldCharType="begin"/>
      </w:r>
      <w:r>
        <w:instrText xml:space="preserve"> HYPERLINK \l _Toc3423 </w:instrText>
      </w:r>
      <w:r>
        <w:fldChar w:fldCharType="separate"/>
      </w:r>
      <w:r>
        <w:rPr>
          <w:rFonts w:hint="eastAsia" w:ascii="黑体" w:hAnsi="黑体" w:eastAsia="黑体" w:cs="黑体"/>
        </w:rPr>
        <w:t>5.2专用部分</w:t>
      </w:r>
      <w:r>
        <w:tab/>
      </w:r>
      <w:r>
        <w:t>7</w:t>
      </w:r>
      <w:r>
        <w:fldChar w:fldCharType="end"/>
      </w:r>
    </w:p>
    <w:p>
      <w:pPr>
        <w:pStyle w:val="11"/>
        <w:tabs>
          <w:tab w:val="right" w:leader="dot" w:pos="8306"/>
        </w:tabs>
        <w:ind w:left="560"/>
        <w:rPr>
          <w:rFonts w:hint="default" w:eastAsia="宋体"/>
          <w:lang w:val="en-US" w:eastAsia="zh-CN"/>
        </w:rPr>
      </w:pPr>
      <w:r>
        <w:rPr>
          <w:rFonts w:hint="eastAsia" w:ascii="黑体" w:hAnsi="黑体" w:eastAsia="黑体" w:cs="黑体"/>
          <w:lang w:val="en-US" w:eastAsia="zh-CN"/>
        </w:rPr>
        <w:t>5.3 报价表</w:t>
      </w:r>
      <w:r>
        <w:rPr>
          <w:rFonts w:hint="eastAsia"/>
          <w:lang w:val="en-US" w:eastAsia="zh-CN"/>
        </w:rPr>
        <w:t>................................................................................................................................... 9</w:t>
      </w:r>
    </w:p>
    <w:p>
      <w:pPr>
        <w:pStyle w:val="10"/>
        <w:tabs>
          <w:tab w:val="right" w:leader="dot" w:pos="8306"/>
        </w:tabs>
        <w:rPr>
          <w:rFonts w:hint="eastAsia" w:eastAsia="宋体"/>
          <w:lang w:val="en-US" w:eastAsia="zh-CN"/>
        </w:rPr>
      </w:pPr>
      <w:r>
        <w:rPr>
          <w:b/>
          <w:bCs/>
        </w:rPr>
        <w:fldChar w:fldCharType="begin"/>
      </w:r>
      <w:r>
        <w:instrText xml:space="preserve"> HYPERLINK \l _Toc13708 </w:instrText>
      </w:r>
      <w:r>
        <w:rPr>
          <w:b/>
          <w:bCs/>
        </w:rPr>
        <w:fldChar w:fldCharType="separate"/>
      </w:r>
      <w:r>
        <w:rPr>
          <w:rFonts w:ascii="黑体" w:hAnsi="黑体" w:eastAsia="黑体" w:cs="黑体"/>
          <w:b/>
          <w:bCs/>
        </w:rPr>
        <w:t xml:space="preserve">第六章 </w:t>
      </w:r>
      <w:r>
        <w:rPr>
          <w:rFonts w:hint="eastAsia" w:ascii="黑体" w:hAnsi="黑体" w:eastAsia="黑体" w:cs="黑体"/>
          <w:b/>
          <w:bCs/>
        </w:rPr>
        <w:t>项目组织与管理</w:t>
      </w:r>
      <w:r>
        <w:rPr>
          <w:b/>
          <w:bCs/>
        </w:rPr>
        <w:tab/>
      </w:r>
      <w:r>
        <w:rPr>
          <w:rFonts w:hint="eastAsia"/>
          <w:b/>
          <w:bCs/>
          <w:lang w:val="en-US" w:eastAsia="zh-CN"/>
        </w:rPr>
        <w:t>1</w:t>
      </w:r>
      <w:r>
        <w:rPr>
          <w:b/>
          <w:bCs/>
        </w:rPr>
        <w:fldChar w:fldCharType="end"/>
      </w:r>
      <w:r>
        <w:rPr>
          <w:rFonts w:hint="eastAsia"/>
          <w:b/>
          <w:bCs/>
          <w:lang w:val="en-US" w:eastAsia="zh-CN"/>
        </w:rPr>
        <w:t>0</w:t>
      </w:r>
    </w:p>
    <w:p>
      <w:pPr>
        <w:pStyle w:val="11"/>
        <w:tabs>
          <w:tab w:val="right" w:leader="dot" w:pos="8306"/>
        </w:tabs>
        <w:ind w:left="560"/>
        <w:rPr>
          <w:rFonts w:hint="eastAsia" w:eastAsia="宋体"/>
          <w:lang w:val="en-US" w:eastAsia="zh-CN"/>
        </w:rPr>
      </w:pPr>
      <w:r>
        <w:fldChar w:fldCharType="begin"/>
      </w:r>
      <w:r>
        <w:instrText xml:space="preserve"> HYPERLINK \l _Toc1950 </w:instrText>
      </w:r>
      <w:r>
        <w:fldChar w:fldCharType="separate"/>
      </w:r>
      <w:r>
        <w:rPr>
          <w:rFonts w:hint="eastAsia" w:ascii="黑体" w:hAnsi="黑体" w:eastAsia="黑体" w:cs="黑体"/>
        </w:rPr>
        <w:t>6.1人员配置及组织</w:t>
      </w:r>
      <w:r>
        <w:tab/>
      </w:r>
      <w:r>
        <w:rPr>
          <w:rFonts w:hint="eastAsia"/>
          <w:lang w:val="en-US" w:eastAsia="zh-CN"/>
        </w:rPr>
        <w:t>1</w:t>
      </w:r>
      <w:r>
        <w:fldChar w:fldCharType="end"/>
      </w:r>
      <w:r>
        <w:rPr>
          <w:rFonts w:hint="eastAsia"/>
          <w:lang w:val="en-US" w:eastAsia="zh-CN"/>
        </w:rPr>
        <w:t>0</w:t>
      </w:r>
    </w:p>
    <w:p>
      <w:pPr>
        <w:pStyle w:val="11"/>
        <w:tabs>
          <w:tab w:val="right" w:leader="dot" w:pos="8306"/>
        </w:tabs>
        <w:ind w:left="560"/>
        <w:rPr>
          <w:rFonts w:hint="eastAsia" w:eastAsia="宋体"/>
          <w:lang w:val="en-US" w:eastAsia="zh-CN"/>
        </w:rPr>
      </w:pPr>
      <w:r>
        <w:fldChar w:fldCharType="begin"/>
      </w:r>
      <w:r>
        <w:instrText xml:space="preserve"> HYPERLINK \l _Toc21259 </w:instrText>
      </w:r>
      <w:r>
        <w:fldChar w:fldCharType="separate"/>
      </w:r>
      <w:r>
        <w:rPr>
          <w:rFonts w:hint="eastAsia" w:ascii="黑体" w:hAnsi="黑体" w:eastAsia="黑体" w:cs="黑体"/>
        </w:rPr>
        <w:t>6.2器械、工具及材料</w:t>
      </w:r>
      <w:r>
        <w:tab/>
      </w:r>
      <w:r>
        <w:rPr>
          <w:rFonts w:hint="eastAsia"/>
          <w:lang w:val="en-US" w:eastAsia="zh-CN"/>
        </w:rPr>
        <w:t>1</w:t>
      </w:r>
      <w:r>
        <w:fldChar w:fldCharType="end"/>
      </w:r>
      <w:r>
        <w:rPr>
          <w:rFonts w:hint="eastAsia"/>
          <w:lang w:val="en-US" w:eastAsia="zh-CN"/>
        </w:rPr>
        <w:t>1</w:t>
      </w:r>
    </w:p>
    <w:p>
      <w:pPr>
        <w:pStyle w:val="11"/>
        <w:tabs>
          <w:tab w:val="right" w:leader="dot" w:pos="8306"/>
        </w:tabs>
        <w:ind w:left="560"/>
        <w:rPr>
          <w:rFonts w:hint="eastAsia" w:eastAsia="宋体"/>
          <w:lang w:val="en-US" w:eastAsia="zh-CN"/>
        </w:rPr>
      </w:pPr>
      <w:r>
        <w:fldChar w:fldCharType="begin"/>
      </w:r>
      <w:r>
        <w:instrText xml:space="preserve"> HYPERLINK \l _Toc1929 </w:instrText>
      </w:r>
      <w:r>
        <w:fldChar w:fldCharType="separate"/>
      </w:r>
      <w:r>
        <w:rPr>
          <w:rFonts w:hint="eastAsia" w:ascii="黑体" w:hAnsi="黑体" w:eastAsia="黑体" w:cs="黑体"/>
        </w:rPr>
        <w:t>6.3安全文明管理</w:t>
      </w:r>
      <w:r>
        <w:tab/>
      </w:r>
      <w:r>
        <w:rPr>
          <w:rFonts w:hint="eastAsia"/>
          <w:lang w:val="en-US" w:eastAsia="zh-CN"/>
        </w:rPr>
        <w:t>1</w:t>
      </w:r>
      <w:r>
        <w:fldChar w:fldCharType="end"/>
      </w:r>
      <w:r>
        <w:rPr>
          <w:rFonts w:hint="eastAsia"/>
          <w:lang w:val="en-US" w:eastAsia="zh-CN"/>
        </w:rPr>
        <w:t>1</w:t>
      </w:r>
    </w:p>
    <w:p>
      <w:pPr>
        <w:pStyle w:val="11"/>
        <w:tabs>
          <w:tab w:val="right" w:leader="dot" w:pos="8306"/>
        </w:tabs>
        <w:ind w:left="560"/>
      </w:pPr>
      <w:r>
        <w:fldChar w:fldCharType="begin"/>
      </w:r>
      <w:r>
        <w:instrText xml:space="preserve"> HYPERLINK \l _Toc21165 </w:instrText>
      </w:r>
      <w:r>
        <w:fldChar w:fldCharType="separate"/>
      </w:r>
      <w:r>
        <w:rPr>
          <w:rFonts w:hint="eastAsia" w:ascii="黑体" w:hAnsi="黑体" w:eastAsia="黑体" w:cs="黑体"/>
        </w:rPr>
        <w:t>6.4 其他</w:t>
      </w:r>
      <w:r>
        <w:tab/>
      </w:r>
      <w:r>
        <w:t>1</w:t>
      </w:r>
      <w:r>
        <w:rPr>
          <w:rFonts w:hint="eastAsia"/>
          <w:lang w:val="en-US" w:eastAsia="zh-CN"/>
        </w:rPr>
        <w:t>2</w:t>
      </w:r>
      <w:r>
        <w:fldChar w:fldCharType="end"/>
      </w:r>
    </w:p>
    <w:p>
      <w:pPr>
        <w:pStyle w:val="10"/>
        <w:tabs>
          <w:tab w:val="right" w:leader="dot" w:pos="8306"/>
        </w:tabs>
      </w:pPr>
      <w:r>
        <w:rPr>
          <w:b/>
          <w:bCs/>
        </w:rPr>
        <w:fldChar w:fldCharType="begin"/>
      </w:r>
      <w:r>
        <w:instrText xml:space="preserve"> HYPERLINK \l _Toc28827 </w:instrText>
      </w:r>
      <w:r>
        <w:rPr>
          <w:b/>
          <w:bCs/>
        </w:rPr>
        <w:fldChar w:fldCharType="separate"/>
      </w:r>
      <w:r>
        <w:rPr>
          <w:rFonts w:ascii="黑体" w:hAnsi="黑体" w:eastAsia="黑体" w:cs="黑体"/>
          <w:b/>
          <w:bCs/>
        </w:rPr>
        <w:t xml:space="preserve">第七章 </w:t>
      </w:r>
      <w:r>
        <w:rPr>
          <w:rFonts w:hint="eastAsia" w:ascii="黑体" w:hAnsi="黑体" w:eastAsia="黑体" w:cs="黑体"/>
          <w:b/>
          <w:bCs/>
        </w:rPr>
        <w:t>成果及考评</w:t>
      </w:r>
      <w:r>
        <w:rPr>
          <w:b/>
          <w:bCs/>
        </w:rPr>
        <w:tab/>
      </w:r>
      <w:r>
        <w:rPr>
          <w:b/>
          <w:bCs/>
        </w:rPr>
        <w:t>1</w:t>
      </w:r>
      <w:r>
        <w:rPr>
          <w:rFonts w:hint="eastAsia"/>
          <w:b/>
          <w:bCs/>
          <w:lang w:val="en-US" w:eastAsia="zh-CN"/>
        </w:rPr>
        <w:t>3</w:t>
      </w:r>
      <w:r>
        <w:rPr>
          <w:b/>
          <w:bCs/>
        </w:rPr>
        <w:fldChar w:fldCharType="end"/>
      </w:r>
    </w:p>
    <w:p>
      <w:pPr>
        <w:pStyle w:val="11"/>
        <w:tabs>
          <w:tab w:val="right" w:leader="dot" w:pos="8306"/>
        </w:tabs>
        <w:ind w:left="560"/>
      </w:pPr>
      <w:r>
        <w:fldChar w:fldCharType="begin"/>
      </w:r>
      <w:r>
        <w:instrText xml:space="preserve"> HYPERLINK \l _Toc11569 </w:instrText>
      </w:r>
      <w:r>
        <w:fldChar w:fldCharType="separate"/>
      </w:r>
      <w:r>
        <w:rPr>
          <w:rFonts w:hint="eastAsia" w:ascii="黑体" w:hAnsi="黑体" w:eastAsia="黑体" w:cs="黑体"/>
        </w:rPr>
        <w:t>7.1成果</w:t>
      </w:r>
      <w:r>
        <w:tab/>
      </w:r>
      <w:r>
        <w:t>1</w:t>
      </w:r>
      <w:r>
        <w:rPr>
          <w:rFonts w:hint="eastAsia"/>
          <w:lang w:val="en-US" w:eastAsia="zh-CN"/>
        </w:rPr>
        <w:t>3</w:t>
      </w:r>
      <w:r>
        <w:fldChar w:fldCharType="end"/>
      </w:r>
    </w:p>
    <w:p>
      <w:pPr>
        <w:pStyle w:val="11"/>
        <w:tabs>
          <w:tab w:val="right" w:leader="dot" w:pos="8306"/>
        </w:tabs>
        <w:ind w:left="560"/>
      </w:pPr>
      <w:r>
        <w:fldChar w:fldCharType="begin"/>
      </w:r>
      <w:r>
        <w:instrText xml:space="preserve"> HYPERLINK \l _Toc14077 </w:instrText>
      </w:r>
      <w:r>
        <w:fldChar w:fldCharType="separate"/>
      </w:r>
      <w:r>
        <w:rPr>
          <w:rFonts w:hint="eastAsia" w:ascii="黑体" w:hAnsi="黑体" w:eastAsia="黑体" w:cs="黑体"/>
        </w:rPr>
        <w:t>7.2考评</w:t>
      </w:r>
      <w:r>
        <w:tab/>
      </w:r>
      <w:r>
        <w:t>1</w:t>
      </w:r>
      <w:r>
        <w:rPr>
          <w:rFonts w:hint="eastAsia"/>
          <w:lang w:val="en-US" w:eastAsia="zh-CN"/>
        </w:rPr>
        <w:t>3</w:t>
      </w:r>
      <w:r>
        <w:fldChar w:fldCharType="end"/>
      </w:r>
    </w:p>
    <w:p>
      <w:pPr>
        <w:pStyle w:val="10"/>
        <w:tabs>
          <w:tab w:val="right" w:leader="dot" w:pos="8306"/>
        </w:tabs>
      </w:pPr>
      <w:r>
        <w:rPr>
          <w:b/>
          <w:bCs/>
        </w:rPr>
        <w:fldChar w:fldCharType="begin"/>
      </w:r>
      <w:r>
        <w:instrText xml:space="preserve"> HYPERLINK \l _Toc4833 </w:instrText>
      </w:r>
      <w:r>
        <w:rPr>
          <w:b/>
          <w:bCs/>
        </w:rPr>
        <w:fldChar w:fldCharType="separate"/>
      </w:r>
      <w:r>
        <w:rPr>
          <w:rFonts w:ascii="黑体" w:hAnsi="黑体" w:eastAsia="黑体" w:cs="黑体"/>
          <w:b/>
          <w:bCs/>
        </w:rPr>
        <w:t xml:space="preserve">第八章 </w:t>
      </w:r>
      <w:r>
        <w:rPr>
          <w:rFonts w:hint="eastAsia" w:ascii="黑体" w:hAnsi="黑体" w:eastAsia="黑体" w:cs="黑体"/>
          <w:b/>
          <w:bCs/>
        </w:rPr>
        <w:t>其他</w:t>
      </w:r>
      <w:r>
        <w:rPr>
          <w:b/>
          <w:bCs/>
        </w:rPr>
        <w:tab/>
      </w:r>
      <w:r>
        <w:rPr>
          <w:b/>
          <w:bCs/>
        </w:rPr>
        <w:t>1</w:t>
      </w:r>
      <w:r>
        <w:rPr>
          <w:rFonts w:hint="eastAsia"/>
          <w:b/>
          <w:bCs/>
          <w:lang w:val="en-US" w:eastAsia="zh-CN"/>
        </w:rPr>
        <w:t>4</w:t>
      </w:r>
      <w:r>
        <w:rPr>
          <w:b/>
          <w:bCs/>
        </w:rPr>
        <w:fldChar w:fldCharType="end"/>
      </w:r>
    </w:p>
    <w:p>
      <w:pPr>
        <w:pStyle w:val="10"/>
        <w:tabs>
          <w:tab w:val="right" w:leader="dot" w:pos="8306"/>
        </w:tabs>
        <w:adjustRightInd w:val="0"/>
        <w:snapToGrid w:val="0"/>
        <w:spacing w:line="360" w:lineRule="auto"/>
      </w:pPr>
    </w:p>
    <w:p>
      <w:pPr>
        <w:pStyle w:val="10"/>
        <w:tabs>
          <w:tab w:val="right" w:leader="dot" w:pos="8306"/>
        </w:tabs>
        <w:adjustRightInd w:val="0"/>
        <w:snapToGrid w:val="0"/>
        <w:spacing w:line="360" w:lineRule="auto"/>
      </w:pPr>
    </w:p>
    <w:p>
      <w:pPr>
        <w:pStyle w:val="10"/>
        <w:tabs>
          <w:tab w:val="right" w:leader="dot" w:pos="8306"/>
        </w:tabs>
        <w:adjustRightInd w:val="0"/>
        <w:snapToGrid w:val="0"/>
        <w:spacing w:line="360" w:lineRule="auto"/>
      </w:pPr>
    </w:p>
    <w:p>
      <w:pPr>
        <w:adjustRightInd w:val="0"/>
        <w:snapToGrid w:val="0"/>
        <w:spacing w:line="360" w:lineRule="auto"/>
        <w:ind w:firstLine="560"/>
        <w:rPr>
          <w:rFonts w:hint="eastAsia" w:ascii="黑体" w:hAnsi="黑体" w:eastAsia="黑体" w:cs="黑体"/>
          <w:szCs w:val="28"/>
        </w:rPr>
        <w:sectPr>
          <w:footerReference r:id="rId5" w:type="default"/>
          <w:pgSz w:w="11906" w:h="16838"/>
          <w:pgMar w:top="1440" w:right="1800" w:bottom="1440" w:left="1800" w:header="851" w:footer="992" w:gutter="0"/>
          <w:pgNumType w:start="1"/>
          <w:cols w:space="720" w:num="1"/>
          <w:docGrid w:type="lines" w:linePitch="312" w:charSpace="0"/>
        </w:sectPr>
      </w:pPr>
      <w:bookmarkStart w:id="0" w:name="_Toc18423_WPSOffice_Level1"/>
      <w:bookmarkStart w:id="1" w:name="_Toc30565_WPSOffice_Level1"/>
    </w:p>
    <w:bookmarkEnd w:id="0"/>
    <w:bookmarkEnd w:id="1"/>
    <w:p>
      <w:pPr>
        <w:pStyle w:val="3"/>
        <w:adjustRightInd w:val="0"/>
        <w:snapToGrid w:val="0"/>
        <w:spacing w:before="0" w:after="0" w:line="360" w:lineRule="auto"/>
        <w:ind w:firstLine="560"/>
        <w:rPr>
          <w:rFonts w:hint="eastAsia" w:ascii="黑体" w:hAnsi="黑体" w:eastAsia="黑体" w:cs="黑体"/>
          <w:b w:val="0"/>
          <w:bCs w:val="0"/>
          <w:sz w:val="28"/>
          <w:szCs w:val="28"/>
        </w:rPr>
      </w:pPr>
      <w:bookmarkStart w:id="2" w:name="_Toc18007"/>
      <w:bookmarkStart w:id="3" w:name="_Toc5341"/>
      <w:bookmarkStart w:id="4" w:name="_Toc19717"/>
      <w:bookmarkStart w:id="5" w:name="_Toc706"/>
      <w:bookmarkStart w:id="6" w:name="_Toc14514_WPSOffice_Level1"/>
      <w:bookmarkStart w:id="7" w:name="_Toc10216685"/>
      <w:bookmarkStart w:id="8" w:name="_Toc24508"/>
      <w:bookmarkStart w:id="9" w:name="_Toc16105_WPSOffice_Level1"/>
      <w:bookmarkStart w:id="10" w:name="_Toc19895_WPSOffice_Level1"/>
      <w:bookmarkStart w:id="11" w:name="_Toc25316"/>
      <w:bookmarkStart w:id="12" w:name="_Toc22253"/>
      <w:bookmarkStart w:id="13" w:name="_Toc12135_WPSOffice_Level1"/>
      <w:bookmarkStart w:id="14" w:name="_Toc28085"/>
      <w:bookmarkStart w:id="15" w:name="_Toc10029977"/>
      <w:r>
        <w:rPr>
          <w:rFonts w:hint="eastAsia" w:ascii="黑体" w:hAnsi="黑体" w:eastAsia="黑体" w:cs="黑体"/>
          <w:b w:val="0"/>
          <w:bCs w:val="0"/>
          <w:sz w:val="28"/>
          <w:szCs w:val="28"/>
        </w:rPr>
        <w:t>报价人须知</w:t>
      </w:r>
      <w:bookmarkEnd w:id="2"/>
      <w:bookmarkEnd w:id="3"/>
      <w:bookmarkEnd w:id="4"/>
    </w:p>
    <w:p>
      <w:pPr>
        <w:pStyle w:val="3"/>
        <w:adjustRightInd w:val="0"/>
        <w:snapToGrid w:val="0"/>
        <w:spacing w:before="0" w:after="0" w:line="360" w:lineRule="auto"/>
        <w:ind w:firstLine="562"/>
        <w:jc w:val="both"/>
        <w:rPr>
          <w:rFonts w:hint="eastAsia" w:ascii="宋体" w:hAnsi="宋体" w:cs="宋体"/>
          <w:kern w:val="2"/>
          <w:sz w:val="28"/>
          <w:szCs w:val="22"/>
          <w:u w:val="single"/>
        </w:rPr>
      </w:pPr>
      <w:r>
        <w:rPr>
          <w:rFonts w:hint="eastAsia" w:ascii="宋体" w:hAnsi="宋体" w:cs="宋体"/>
          <w:kern w:val="2"/>
          <w:sz w:val="28"/>
          <w:szCs w:val="22"/>
          <w:u w:val="single"/>
        </w:rPr>
        <w:t>1.请报价人在报价前仔细阅读本技术部分说明。</w:t>
      </w:r>
    </w:p>
    <w:p>
      <w:pPr>
        <w:pStyle w:val="3"/>
        <w:adjustRightInd w:val="0"/>
        <w:snapToGrid w:val="0"/>
        <w:spacing w:before="0" w:after="0" w:line="360" w:lineRule="auto"/>
        <w:ind w:firstLine="560"/>
        <w:jc w:val="both"/>
        <w:rPr>
          <w:rFonts w:hint="eastAsia" w:ascii="宋体" w:hAnsi="宋体" w:cs="宋体"/>
          <w:b w:val="0"/>
          <w:bCs w:val="0"/>
          <w:kern w:val="2"/>
          <w:sz w:val="28"/>
          <w:szCs w:val="22"/>
        </w:rPr>
      </w:pPr>
      <w:r>
        <w:rPr>
          <w:rFonts w:hint="eastAsia" w:ascii="宋体" w:hAnsi="宋体" w:cs="宋体"/>
          <w:b w:val="0"/>
          <w:bCs w:val="0"/>
          <w:kern w:val="2"/>
          <w:sz w:val="28"/>
          <w:szCs w:val="22"/>
        </w:rPr>
        <w:t>2.本文件部分条款由通用部分和专用部分组成。专用部分是根据具体采购项目实际需要对通用部分的补充和完善，两者应对照阅读。若出现相互矛盾或不一致时，则以专用部分为准。</w:t>
      </w:r>
    </w:p>
    <w:p>
      <w:pPr>
        <w:pStyle w:val="3"/>
        <w:adjustRightInd w:val="0"/>
        <w:snapToGrid w:val="0"/>
        <w:spacing w:before="0" w:after="0" w:line="360" w:lineRule="auto"/>
        <w:ind w:firstLine="560"/>
        <w:jc w:val="both"/>
        <w:rPr>
          <w:rFonts w:hint="eastAsia" w:ascii="宋体" w:hAnsi="宋体" w:cs="宋体"/>
          <w:b w:val="0"/>
          <w:bCs w:val="0"/>
          <w:kern w:val="2"/>
          <w:sz w:val="28"/>
          <w:szCs w:val="22"/>
        </w:rPr>
      </w:pPr>
      <w:r>
        <w:rPr>
          <w:rFonts w:hint="eastAsia" w:ascii="宋体" w:hAnsi="宋体" w:cs="宋体"/>
          <w:b w:val="0"/>
          <w:bCs w:val="0"/>
          <w:kern w:val="2"/>
          <w:sz w:val="28"/>
          <w:szCs w:val="22"/>
        </w:rPr>
        <w:t>3.专用部分表述为“无”的条款，即为对通用部分无补充和完善，该条款全部以通用部分表述为准。</w:t>
      </w:r>
    </w:p>
    <w:p>
      <w:pPr>
        <w:adjustRightInd w:val="0"/>
        <w:snapToGrid w:val="0"/>
        <w:spacing w:line="360" w:lineRule="auto"/>
        <w:ind w:firstLine="560"/>
        <w:rPr>
          <w:rFonts w:hint="eastAsia" w:ascii="宋体" w:hAnsi="宋体" w:eastAsia="宋体" w:cs="宋体"/>
          <w:szCs w:val="22"/>
        </w:rPr>
      </w:pPr>
    </w:p>
    <w:p>
      <w:pPr>
        <w:pStyle w:val="4"/>
        <w:adjustRightInd w:val="0"/>
        <w:snapToGrid w:val="0"/>
        <w:spacing w:line="360" w:lineRule="auto"/>
        <w:ind w:firstLine="560"/>
        <w:rPr>
          <w:rFonts w:hint="eastAsia" w:ascii="宋体" w:hAnsi="宋体" w:eastAsia="宋体" w:cs="宋体"/>
          <w:b w:val="0"/>
          <w:bCs w:val="0"/>
          <w:sz w:val="28"/>
          <w:szCs w:val="22"/>
        </w:rPr>
      </w:pPr>
    </w:p>
    <w:p>
      <w:pPr>
        <w:adjustRightInd w:val="0"/>
        <w:snapToGrid w:val="0"/>
        <w:spacing w:line="360" w:lineRule="auto"/>
        <w:ind w:firstLine="560"/>
        <w:rPr>
          <w:rFonts w:hint="eastAsia" w:ascii="宋体" w:hAnsi="宋体" w:eastAsia="宋体" w:cs="宋体"/>
          <w:szCs w:val="22"/>
        </w:rPr>
      </w:pPr>
    </w:p>
    <w:p>
      <w:pPr>
        <w:pStyle w:val="4"/>
        <w:adjustRightInd w:val="0"/>
        <w:snapToGrid w:val="0"/>
        <w:spacing w:line="360" w:lineRule="auto"/>
        <w:ind w:firstLine="560"/>
        <w:rPr>
          <w:rFonts w:hint="eastAsia" w:ascii="宋体" w:hAnsi="宋体" w:eastAsia="宋体" w:cs="宋体"/>
          <w:b w:val="0"/>
          <w:bCs w:val="0"/>
          <w:sz w:val="28"/>
          <w:szCs w:val="22"/>
        </w:rPr>
      </w:pPr>
    </w:p>
    <w:p>
      <w:pPr>
        <w:adjustRightInd w:val="0"/>
        <w:snapToGrid w:val="0"/>
        <w:spacing w:line="360" w:lineRule="auto"/>
        <w:ind w:firstLine="560"/>
        <w:rPr>
          <w:rFonts w:hint="eastAsia" w:ascii="宋体" w:hAnsi="宋体" w:eastAsia="宋体" w:cs="宋体"/>
          <w:szCs w:val="22"/>
        </w:rPr>
      </w:pPr>
    </w:p>
    <w:p>
      <w:pPr>
        <w:pStyle w:val="4"/>
        <w:adjustRightInd w:val="0"/>
        <w:snapToGrid w:val="0"/>
        <w:spacing w:line="360" w:lineRule="auto"/>
        <w:ind w:firstLine="560"/>
        <w:rPr>
          <w:rFonts w:hint="eastAsia" w:ascii="宋体" w:hAnsi="宋体" w:eastAsia="宋体" w:cs="宋体"/>
          <w:b w:val="0"/>
          <w:bCs w:val="0"/>
          <w:sz w:val="28"/>
          <w:szCs w:val="22"/>
        </w:rPr>
      </w:pPr>
    </w:p>
    <w:p>
      <w:pPr>
        <w:adjustRightInd w:val="0"/>
        <w:snapToGrid w:val="0"/>
        <w:spacing w:line="360" w:lineRule="auto"/>
        <w:ind w:firstLine="560"/>
        <w:rPr>
          <w:rFonts w:hint="eastAsia" w:ascii="宋体" w:hAnsi="宋体" w:eastAsia="宋体" w:cs="宋体"/>
          <w:szCs w:val="22"/>
        </w:rPr>
      </w:pPr>
    </w:p>
    <w:p>
      <w:pPr>
        <w:pStyle w:val="4"/>
        <w:adjustRightInd w:val="0"/>
        <w:snapToGrid w:val="0"/>
        <w:spacing w:line="360" w:lineRule="auto"/>
        <w:ind w:firstLine="560"/>
        <w:rPr>
          <w:rFonts w:hint="eastAsia" w:ascii="宋体" w:hAnsi="宋体" w:eastAsia="宋体" w:cs="宋体"/>
          <w:b w:val="0"/>
          <w:bCs w:val="0"/>
          <w:sz w:val="28"/>
          <w:szCs w:val="22"/>
        </w:rPr>
      </w:pPr>
    </w:p>
    <w:p>
      <w:pPr>
        <w:adjustRightInd w:val="0"/>
        <w:snapToGrid w:val="0"/>
        <w:spacing w:line="360" w:lineRule="auto"/>
        <w:ind w:firstLine="560"/>
        <w:rPr>
          <w:rFonts w:hint="eastAsia" w:ascii="宋体" w:hAnsi="宋体" w:eastAsia="宋体" w:cs="宋体"/>
          <w:szCs w:val="22"/>
        </w:rPr>
      </w:pPr>
    </w:p>
    <w:p>
      <w:pPr>
        <w:pStyle w:val="4"/>
        <w:adjustRightInd w:val="0"/>
        <w:snapToGrid w:val="0"/>
        <w:spacing w:line="360" w:lineRule="auto"/>
        <w:ind w:firstLine="560"/>
        <w:rPr>
          <w:rFonts w:hint="eastAsia" w:ascii="宋体" w:hAnsi="宋体" w:eastAsia="宋体" w:cs="宋体"/>
          <w:b w:val="0"/>
          <w:bCs w:val="0"/>
          <w:sz w:val="28"/>
          <w:szCs w:val="22"/>
        </w:rPr>
      </w:pPr>
    </w:p>
    <w:p>
      <w:pPr>
        <w:adjustRightInd w:val="0"/>
        <w:snapToGrid w:val="0"/>
        <w:spacing w:line="360" w:lineRule="auto"/>
        <w:ind w:firstLine="560"/>
        <w:rPr>
          <w:rFonts w:hint="eastAsia"/>
        </w:rPr>
      </w:pPr>
    </w:p>
    <w:p>
      <w:pPr>
        <w:pStyle w:val="3"/>
        <w:numPr>
          <w:ilvl w:val="0"/>
          <w:numId w:val="1"/>
        </w:numPr>
        <w:adjustRightInd w:val="0"/>
        <w:snapToGrid w:val="0"/>
        <w:spacing w:before="0" w:after="0" w:line="360" w:lineRule="auto"/>
        <w:ind w:left="0" w:firstLine="560"/>
        <w:rPr>
          <w:rFonts w:hint="eastAsia" w:ascii="黑体" w:hAnsi="黑体" w:eastAsia="黑体" w:cs="黑体"/>
          <w:b w:val="0"/>
          <w:bCs w:val="0"/>
          <w:sz w:val="28"/>
          <w:szCs w:val="28"/>
        </w:rPr>
      </w:pPr>
      <w:bookmarkStart w:id="16" w:name="_Toc27396_WPSOffice_Level1"/>
      <w:bookmarkStart w:id="17" w:name="_Toc212"/>
      <w:bookmarkStart w:id="18" w:name="_Toc11060_WPSOffice_Level1"/>
      <w:r>
        <w:rPr>
          <w:rFonts w:hint="eastAsia" w:ascii="黑体" w:hAnsi="黑体" w:eastAsia="黑体" w:cs="黑体"/>
          <w:b w:val="0"/>
          <w:bCs w:val="0"/>
          <w:sz w:val="28"/>
          <w:szCs w:val="28"/>
        </w:rPr>
        <w:br w:type="page"/>
      </w:r>
      <w:bookmarkStart w:id="19" w:name="_Toc22843"/>
      <w:bookmarkStart w:id="20" w:name="_Toc25265"/>
      <w:bookmarkStart w:id="21" w:name="_Toc25066"/>
      <w:r>
        <w:rPr>
          <w:rFonts w:hint="eastAsia" w:ascii="黑体" w:hAnsi="黑体" w:eastAsia="黑体" w:cs="黑体"/>
          <w:b w:val="0"/>
          <w:bCs w:val="0"/>
          <w:sz w:val="28"/>
          <w:szCs w:val="28"/>
        </w:rPr>
        <w:t>总体要求</w:t>
      </w:r>
      <w:bookmarkEnd w:id="16"/>
      <w:bookmarkEnd w:id="17"/>
      <w:bookmarkEnd w:id="18"/>
      <w:bookmarkEnd w:id="19"/>
      <w:bookmarkEnd w:id="20"/>
      <w:bookmarkEnd w:id="21"/>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1.1本技术部分仅适用于本服务项目。</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 xml:space="preserve">1.2本技术部分提出的条件是最低限度要求，并未对一切细节作出规定，也并未规定所有的技术要求和适用的标准，报价人应保证按照本技术部分和相关规范的要求进行服务。国家、地方及行业有关强制性标准，必须满足其要求。 </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 xml:space="preserve">1.3本采购文件中使用的标准，如遇与报价人所执行的标准不一致时，按较高的标准执行。在合同生效后，采购人有权提出因规范标准发生变化而产生的一些补充修改要求，报价人应遵守这个要求。 </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1.4本技术部分可能存在未能全面反映现场实际状况的微小偏差，报价人应充分了解本项目实际情况并根据规范要求、行业标准，结合自身经验和收集的相关信息综合考虑项目工作内容。报价人不得拒绝完成本项目任务所必须的工作，相关费用包含在报价中。</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1.5本项目涉及到的知识产权费用均已包含在报价中，因知识产权产生的纠纷由报价人自行承担或解决，采购人不承担相应责任。</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1.6报价人可在报价文件中引用本技术部分的相关标准或要求，但不得原封不动地复印或拷贝本技术部分作为其报价文件的主要内容，否则其报价文件将被作为无效报价。</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1.7除采购文件另有规定外，列入本技术部分的所有工作内容均应包含在本项目报价中。</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1.8本技术部分为合同的附件，与合同正文具有同等效力。</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1.9本技术部分中如出现资质、业绩等方面要求与商务部分不一致，以商务部分为准。</w:t>
      </w:r>
    </w:p>
    <w:p>
      <w:pPr>
        <w:pStyle w:val="3"/>
        <w:numPr>
          <w:ilvl w:val="0"/>
          <w:numId w:val="1"/>
        </w:numPr>
        <w:adjustRightInd w:val="0"/>
        <w:snapToGrid w:val="0"/>
        <w:spacing w:before="0" w:after="0" w:line="360" w:lineRule="auto"/>
        <w:ind w:left="0" w:firstLine="560"/>
        <w:rPr>
          <w:rFonts w:hint="eastAsia" w:ascii="黑体" w:hAnsi="黑体" w:eastAsia="黑体" w:cs="黑体"/>
          <w:b w:val="0"/>
          <w:bCs w:val="0"/>
          <w:sz w:val="28"/>
          <w:szCs w:val="28"/>
        </w:rPr>
      </w:pPr>
      <w:r>
        <w:rPr>
          <w:rFonts w:hint="eastAsia" w:ascii="黑体" w:hAnsi="黑体" w:eastAsia="黑体" w:cs="黑体"/>
          <w:b w:val="0"/>
          <w:bCs w:val="0"/>
          <w:sz w:val="28"/>
          <w:szCs w:val="28"/>
        </w:rPr>
        <w:br w:type="page"/>
      </w:r>
      <w:bookmarkStart w:id="22" w:name="_Toc28283"/>
      <w:bookmarkStart w:id="23" w:name="_Toc308"/>
      <w:bookmarkStart w:id="24" w:name="_Toc20362"/>
      <w:r>
        <w:rPr>
          <w:rFonts w:hint="eastAsia" w:ascii="黑体" w:hAnsi="黑体" w:eastAsia="黑体" w:cs="黑体"/>
          <w:b w:val="0"/>
          <w:bCs w:val="0"/>
          <w:sz w:val="28"/>
          <w:szCs w:val="28"/>
        </w:rPr>
        <w:t>项目概况</w:t>
      </w:r>
      <w:bookmarkEnd w:id="5"/>
      <w:bookmarkEnd w:id="6"/>
      <w:bookmarkEnd w:id="7"/>
      <w:bookmarkEnd w:id="8"/>
      <w:bookmarkEnd w:id="9"/>
      <w:bookmarkEnd w:id="10"/>
      <w:bookmarkEnd w:id="11"/>
      <w:bookmarkEnd w:id="12"/>
      <w:bookmarkEnd w:id="13"/>
      <w:bookmarkEnd w:id="14"/>
      <w:bookmarkEnd w:id="15"/>
      <w:bookmarkEnd w:id="22"/>
      <w:bookmarkEnd w:id="23"/>
      <w:bookmarkEnd w:id="24"/>
    </w:p>
    <w:p>
      <w:pPr>
        <w:adjustRightInd w:val="0"/>
        <w:snapToGrid w:val="0"/>
        <w:spacing w:line="360" w:lineRule="auto"/>
        <w:ind w:firstLine="560"/>
        <w:rPr>
          <w:rFonts w:hint="eastAsia" w:ascii="宋体" w:hAnsi="宋体" w:eastAsia="宋体" w:cs="宋体"/>
          <w:szCs w:val="22"/>
          <w:lang w:val="en-US" w:eastAsia="zh-CN"/>
        </w:rPr>
      </w:pPr>
      <w:r>
        <w:rPr>
          <w:rFonts w:hint="eastAsia" w:ascii="宋体" w:hAnsi="宋体" w:eastAsia="宋体" w:cs="宋体"/>
          <w:szCs w:val="22"/>
          <w:lang w:val="en-US" w:eastAsia="zh-CN"/>
        </w:rPr>
        <w:t>国能黄骅港务公司位于河北省沧州市渤海新区，负责煤炭装卸、散杂货物流、油品等业务，已连续6年吞吐量突破2亿吨。2001年正式投产生产，至今已运营20多年。港口距离黄骅市约50公里，附近有黄石高速、沿海高速等，交通方便。</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按照《排污单位自行监测技术指南》、《排污单位自行监测技术指南-火力发电及锅炉》、《国家重点监控企业自行监测及信息公开办法（试行）》、《排污许可证》等管理要求，需要委托有</w:t>
      </w:r>
      <w:r>
        <w:rPr>
          <w:rFonts w:hint="eastAsia" w:ascii="宋体" w:hAnsi="宋体" w:eastAsia="宋体" w:cs="宋体"/>
          <w:szCs w:val="22"/>
          <w:lang w:val="en-US" w:eastAsia="zh-CN"/>
        </w:rPr>
        <w:t>非道路移动机械尾气检测</w:t>
      </w:r>
      <w:r>
        <w:rPr>
          <w:rFonts w:hint="eastAsia" w:ascii="宋体" w:hAnsi="宋体" w:eastAsia="宋体" w:cs="宋体"/>
          <w:szCs w:val="22"/>
        </w:rPr>
        <w:t>资质单位对</w:t>
      </w:r>
      <w:r>
        <w:rPr>
          <w:rFonts w:hint="eastAsia" w:ascii="宋体" w:hAnsi="宋体" w:eastAsia="宋体" w:cs="宋体"/>
          <w:szCs w:val="22"/>
          <w:lang w:val="en-US" w:eastAsia="zh-CN"/>
        </w:rPr>
        <w:t>国能黄骅港务公司非道路移动机械尾气排放进行</w:t>
      </w:r>
      <w:r>
        <w:rPr>
          <w:rFonts w:hint="eastAsia" w:ascii="宋体" w:hAnsi="宋体" w:eastAsia="宋体" w:cs="宋体"/>
          <w:szCs w:val="22"/>
        </w:rPr>
        <w:t>检测。</w:t>
      </w:r>
    </w:p>
    <w:p>
      <w:pPr>
        <w:adjustRightInd w:val="0"/>
        <w:snapToGrid w:val="0"/>
        <w:spacing w:line="360" w:lineRule="auto"/>
        <w:ind w:firstLine="560"/>
        <w:rPr>
          <w:rFonts w:hint="eastAsia" w:ascii="宋体" w:hAnsi="宋体" w:eastAsia="宋体" w:cs="宋体"/>
          <w:highlight w:val="yellow"/>
          <w:u w:val="single"/>
        </w:rPr>
      </w:pPr>
    </w:p>
    <w:p>
      <w:pPr>
        <w:pStyle w:val="3"/>
        <w:numPr>
          <w:ilvl w:val="0"/>
          <w:numId w:val="1"/>
        </w:numPr>
        <w:adjustRightInd w:val="0"/>
        <w:snapToGrid w:val="0"/>
        <w:spacing w:before="0" w:after="0" w:line="360" w:lineRule="auto"/>
        <w:ind w:left="0" w:firstLine="560"/>
        <w:rPr>
          <w:rFonts w:hint="eastAsia" w:ascii="黑体" w:hAnsi="黑体" w:eastAsia="黑体" w:cs="黑体"/>
          <w:b w:val="0"/>
          <w:bCs w:val="0"/>
          <w:sz w:val="28"/>
          <w:szCs w:val="28"/>
        </w:rPr>
      </w:pPr>
      <w:bookmarkStart w:id="25" w:name="_Toc12118"/>
      <w:bookmarkStart w:id="26" w:name="_Toc10216686"/>
      <w:bookmarkStart w:id="27" w:name="_Toc17680"/>
      <w:bookmarkStart w:id="28" w:name="_Toc19781"/>
      <w:bookmarkStart w:id="29" w:name="_Toc372"/>
      <w:bookmarkStart w:id="30" w:name="_Toc7115"/>
      <w:bookmarkStart w:id="31" w:name="_Toc25498_WPSOffice_Level1"/>
      <w:bookmarkStart w:id="32" w:name="_Toc10047_WPSOffice_Level1"/>
      <w:bookmarkStart w:id="33" w:name="_Toc1631_WPSOffice_Level1"/>
      <w:bookmarkStart w:id="34" w:name="_Toc25687_WPSOffice_Level1"/>
      <w:r>
        <w:rPr>
          <w:rFonts w:hint="eastAsia" w:ascii="黑体" w:hAnsi="黑体" w:eastAsia="黑体" w:cs="黑体"/>
          <w:b w:val="0"/>
          <w:bCs w:val="0"/>
          <w:sz w:val="28"/>
          <w:szCs w:val="28"/>
        </w:rPr>
        <w:br w:type="page"/>
      </w:r>
      <w:bookmarkStart w:id="35" w:name="_Toc4284"/>
      <w:bookmarkStart w:id="36" w:name="_Toc1804"/>
      <w:bookmarkStart w:id="37" w:name="_Toc15988"/>
      <w:r>
        <w:rPr>
          <w:rFonts w:hint="eastAsia" w:ascii="黑体" w:hAnsi="黑体" w:eastAsia="黑体" w:cs="黑体"/>
          <w:b w:val="0"/>
          <w:bCs w:val="0"/>
          <w:sz w:val="28"/>
          <w:szCs w:val="28"/>
        </w:rPr>
        <w:t>采购范围</w:t>
      </w:r>
      <w:bookmarkEnd w:id="25"/>
      <w:bookmarkEnd w:id="26"/>
      <w:bookmarkEnd w:id="27"/>
      <w:bookmarkEnd w:id="28"/>
      <w:bookmarkEnd w:id="29"/>
      <w:bookmarkEnd w:id="30"/>
      <w:bookmarkEnd w:id="31"/>
      <w:bookmarkEnd w:id="32"/>
      <w:bookmarkEnd w:id="33"/>
      <w:bookmarkEnd w:id="34"/>
      <w:bookmarkEnd w:id="35"/>
      <w:bookmarkEnd w:id="36"/>
      <w:bookmarkEnd w:id="37"/>
    </w:p>
    <w:p>
      <w:pPr>
        <w:adjustRightInd w:val="0"/>
        <w:snapToGrid w:val="0"/>
        <w:spacing w:line="360" w:lineRule="auto"/>
        <w:ind w:firstLine="560"/>
        <w:rPr>
          <w:rFonts w:hint="eastAsia" w:ascii="黑体" w:hAnsi="黑体" w:eastAsia="黑体" w:cs="黑体"/>
          <w:szCs w:val="22"/>
        </w:rPr>
      </w:pPr>
      <w:bookmarkStart w:id="38" w:name="_Toc26627"/>
      <w:bookmarkStart w:id="39" w:name="_Toc32739"/>
      <w:bookmarkStart w:id="40" w:name="_Toc4669_WPSOffice_Level2"/>
      <w:bookmarkStart w:id="41" w:name="_Toc12882"/>
      <w:bookmarkStart w:id="42" w:name="_Toc23284"/>
      <w:bookmarkStart w:id="43" w:name="_Toc18388_WPSOffice_Level2"/>
      <w:bookmarkStart w:id="44" w:name="_Toc16105_WPSOffice_Level2"/>
      <w:bookmarkStart w:id="45" w:name="_Toc23850"/>
      <w:bookmarkStart w:id="46" w:name="_Toc2249_WPSOffice_Level2"/>
      <w:bookmarkStart w:id="47" w:name="_Toc5390"/>
      <w:bookmarkStart w:id="48" w:name="_Toc1585"/>
      <w:r>
        <w:rPr>
          <w:rFonts w:hint="eastAsia" w:ascii="黑体" w:hAnsi="黑体" w:eastAsia="黑体" w:cs="黑体"/>
          <w:szCs w:val="22"/>
        </w:rPr>
        <w:t>3.1服务范围</w:t>
      </w:r>
      <w:bookmarkEnd w:id="38"/>
      <w:bookmarkEnd w:id="39"/>
      <w:bookmarkEnd w:id="40"/>
      <w:bookmarkEnd w:id="41"/>
      <w:bookmarkEnd w:id="42"/>
      <w:bookmarkEnd w:id="43"/>
      <w:bookmarkEnd w:id="44"/>
      <w:bookmarkEnd w:id="45"/>
      <w:bookmarkEnd w:id="46"/>
      <w:bookmarkEnd w:id="47"/>
      <w:bookmarkEnd w:id="48"/>
    </w:p>
    <w:p>
      <w:pPr>
        <w:adjustRightInd w:val="0"/>
        <w:snapToGrid w:val="0"/>
        <w:spacing w:line="360" w:lineRule="auto"/>
        <w:ind w:firstLine="560"/>
        <w:rPr>
          <w:rFonts w:hint="eastAsia" w:ascii="宋体" w:hAnsi="宋体" w:eastAsia="宋体" w:cs="黑体"/>
        </w:rPr>
      </w:pPr>
      <w:r>
        <w:rPr>
          <w:rFonts w:hint="eastAsia" w:ascii="宋体" w:hAnsi="宋体" w:eastAsia="宋体" w:cs="黑体"/>
        </w:rPr>
        <w:t>本采购标的的服务范围为</w:t>
      </w:r>
      <w:r>
        <w:rPr>
          <w:rFonts w:hint="eastAsia" w:ascii="宋体" w:hAnsi="宋体" w:eastAsia="宋体" w:cs="黑体"/>
        </w:rPr>
        <w:fldChar w:fldCharType="begin"/>
      </w:r>
      <w:r>
        <w:rPr>
          <w:rFonts w:hint="eastAsia" w:ascii="宋体" w:hAnsi="宋体" w:eastAsia="宋体" w:cs="黑体"/>
        </w:rPr>
        <w:instrText xml:space="preserve"> HYPERLINK "http://www.baidu.com/link?url=zSACFN6ljYWYPDUv36yhV4X5s-NOrm1ny9rYIL-qjWz7QD7p_koLKgwCkdsYDaCY" \t "_blank" </w:instrText>
      </w:r>
      <w:r>
        <w:rPr>
          <w:rFonts w:hint="eastAsia" w:ascii="宋体" w:hAnsi="宋体" w:eastAsia="宋体" w:cs="黑体"/>
        </w:rPr>
        <w:fldChar w:fldCharType="separate"/>
      </w:r>
      <w:r>
        <w:rPr>
          <w:rFonts w:hint="eastAsia" w:ascii="宋体" w:hAnsi="宋体" w:eastAsia="宋体" w:cs="黑体"/>
        </w:rPr>
        <w:t>国能黄骅港务</w:t>
      </w:r>
      <w:r>
        <w:rPr>
          <w:rFonts w:hint="eastAsia" w:ascii="宋体" w:hAnsi="宋体" w:eastAsia="宋体" w:cs="黑体"/>
          <w:lang w:eastAsia="zh-CN"/>
        </w:rPr>
        <w:t>有限责任</w:t>
      </w:r>
      <w:r>
        <w:rPr>
          <w:rFonts w:hint="eastAsia" w:ascii="宋体" w:hAnsi="宋体" w:eastAsia="宋体" w:cs="黑体"/>
        </w:rPr>
        <w:t>公司</w:t>
      </w:r>
      <w:r>
        <w:rPr>
          <w:rFonts w:hint="eastAsia" w:ascii="宋体" w:hAnsi="宋体" w:eastAsia="宋体" w:cs="黑体"/>
        </w:rPr>
        <w:fldChar w:fldCharType="end"/>
      </w:r>
      <w:r>
        <w:rPr>
          <w:rFonts w:hint="eastAsia" w:ascii="宋体" w:hAnsi="宋体" w:eastAsia="宋体" w:cs="黑体"/>
        </w:rPr>
        <w:t>非道路移动机械</w:t>
      </w:r>
      <w:r>
        <w:rPr>
          <w:rFonts w:hint="eastAsia" w:ascii="宋体" w:hAnsi="宋体" w:eastAsia="宋体" w:cs="黑体"/>
          <w:lang w:val="en-US" w:eastAsia="zh-CN"/>
        </w:rPr>
        <w:t>尾气</w:t>
      </w:r>
      <w:r>
        <w:rPr>
          <w:rFonts w:hint="eastAsia" w:ascii="宋体" w:hAnsi="宋体" w:eastAsia="宋体" w:cs="黑体"/>
        </w:rPr>
        <w:t>检测服务。</w:t>
      </w:r>
    </w:p>
    <w:p>
      <w:pPr>
        <w:adjustRightInd w:val="0"/>
        <w:snapToGrid w:val="0"/>
        <w:spacing w:line="360" w:lineRule="auto"/>
        <w:ind w:firstLine="560"/>
        <w:rPr>
          <w:rFonts w:hint="eastAsia" w:ascii="黑体" w:hAnsi="黑体" w:eastAsia="黑体" w:cs="黑体"/>
          <w:szCs w:val="22"/>
          <w:highlight w:val="none"/>
        </w:rPr>
      </w:pPr>
      <w:bookmarkStart w:id="49" w:name="_Toc11666"/>
      <w:bookmarkStart w:id="50" w:name="_Toc12135_WPSOffice_Level2"/>
      <w:bookmarkStart w:id="51" w:name="_Toc10916"/>
      <w:bookmarkStart w:id="52" w:name="_Toc25498_WPSOffice_Level2"/>
      <w:bookmarkStart w:id="53" w:name="_Toc29616"/>
      <w:bookmarkStart w:id="54" w:name="_Toc3573"/>
      <w:bookmarkStart w:id="55" w:name="_Toc1116"/>
      <w:bookmarkStart w:id="56" w:name="_Toc16654"/>
      <w:bookmarkStart w:id="57" w:name="_Toc18243_WPSOffice_Level2"/>
      <w:bookmarkStart w:id="58" w:name="_Toc30277"/>
      <w:bookmarkStart w:id="59" w:name="_Toc15884"/>
      <w:bookmarkStart w:id="60" w:name="_Toc1208_WPSOffice_Level2"/>
      <w:bookmarkStart w:id="61" w:name="_Toc4899"/>
      <w:bookmarkStart w:id="62" w:name="_Toc5567_WPSOffice_Level2"/>
      <w:bookmarkStart w:id="63" w:name="_Toc4211"/>
      <w:bookmarkStart w:id="64" w:name="_Toc18478"/>
      <w:bookmarkStart w:id="65" w:name="_Toc4613"/>
      <w:bookmarkStart w:id="66" w:name="_Toc22994_WPSOffice_Level2"/>
      <w:bookmarkStart w:id="67" w:name="_Toc15835_WPSOffice_Level2"/>
      <w:r>
        <w:rPr>
          <w:rFonts w:hint="eastAsia" w:ascii="黑体" w:hAnsi="黑体" w:eastAsia="黑体" w:cs="黑体"/>
          <w:szCs w:val="22"/>
          <w:highlight w:val="none"/>
        </w:rPr>
        <w:t>3.2服务期限</w:t>
      </w:r>
      <w:bookmarkEnd w:id="49"/>
      <w:bookmarkEnd w:id="50"/>
      <w:bookmarkEnd w:id="51"/>
      <w:bookmarkEnd w:id="52"/>
      <w:bookmarkEnd w:id="53"/>
      <w:bookmarkEnd w:id="54"/>
      <w:bookmarkEnd w:id="55"/>
      <w:bookmarkEnd w:id="56"/>
      <w:bookmarkEnd w:id="57"/>
      <w:bookmarkEnd w:id="58"/>
      <w:bookmarkEnd w:id="59"/>
    </w:p>
    <w:p>
      <w:pPr>
        <w:adjustRightInd w:val="0"/>
        <w:snapToGrid w:val="0"/>
        <w:spacing w:line="360" w:lineRule="auto"/>
        <w:ind w:firstLine="560"/>
        <w:rPr>
          <w:rFonts w:hint="eastAsia" w:ascii="宋体" w:hAnsi="宋体" w:eastAsia="宋体" w:cs="宋体"/>
          <w:szCs w:val="22"/>
          <w:highlight w:val="none"/>
          <w:lang w:eastAsia="zh-CN"/>
        </w:rPr>
      </w:pPr>
      <w:bookmarkStart w:id="68" w:name="_Toc1272_WPSOffice_Level2"/>
      <w:bookmarkStart w:id="69" w:name="_Toc20248"/>
      <w:bookmarkStart w:id="70" w:name="_Toc22070"/>
      <w:bookmarkStart w:id="71" w:name="_Toc32095"/>
      <w:bookmarkStart w:id="72" w:name="_Toc1631_WPSOffice_Level2"/>
      <w:bookmarkStart w:id="73" w:name="_Toc12395"/>
      <w:bookmarkStart w:id="74" w:name="_Toc25235_WPSOffice_Level2"/>
      <w:r>
        <w:rPr>
          <w:rFonts w:hint="eastAsia" w:ascii="宋体" w:hAnsi="宋体" w:eastAsia="宋体" w:cs="宋体"/>
          <w:szCs w:val="22"/>
          <w:highlight w:val="none"/>
        </w:rPr>
        <w:t>计划服务期限为</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2024</w:t>
      </w:r>
      <w:bookmarkStart w:id="75" w:name="_Toc31653"/>
      <w:bookmarkStart w:id="76" w:name="_Toc12525"/>
      <w:bookmarkStart w:id="77" w:name="_Toc12403"/>
      <w:bookmarkStart w:id="78" w:name="_Toc19220"/>
      <w:r>
        <w:rPr>
          <w:rFonts w:hint="eastAsia" w:ascii="宋体" w:hAnsi="宋体" w:eastAsia="宋体" w:cs="宋体"/>
          <w:szCs w:val="22"/>
          <w:highlight w:val="none"/>
          <w:lang w:val="en-US" w:eastAsia="zh-CN"/>
        </w:rPr>
        <w:t>年10月1日-2024年12月31日</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共1次</w:t>
      </w:r>
      <w:r>
        <w:rPr>
          <w:rFonts w:hint="eastAsia" w:ascii="宋体" w:hAnsi="宋体" w:eastAsia="宋体" w:cs="宋体"/>
          <w:szCs w:val="22"/>
          <w:highlight w:val="none"/>
          <w:lang w:eastAsia="zh-CN"/>
        </w:rPr>
        <w:t>。</w:t>
      </w:r>
    </w:p>
    <w:p>
      <w:pPr>
        <w:adjustRightInd w:val="0"/>
        <w:snapToGrid w:val="0"/>
        <w:spacing w:line="360" w:lineRule="auto"/>
        <w:ind w:firstLine="560"/>
        <w:rPr>
          <w:rFonts w:hint="eastAsia" w:ascii="黑体" w:hAnsi="黑体" w:eastAsia="黑体" w:cs="黑体"/>
          <w:szCs w:val="22"/>
          <w:highlight w:val="none"/>
        </w:rPr>
      </w:pPr>
      <w:r>
        <w:rPr>
          <w:rFonts w:hint="eastAsia" w:ascii="黑体" w:hAnsi="黑体" w:eastAsia="黑体" w:cs="黑体"/>
          <w:szCs w:val="22"/>
          <w:highlight w:val="none"/>
        </w:rPr>
        <w:t>3.3服务地点</w:t>
      </w:r>
      <w:bookmarkEnd w:id="68"/>
      <w:bookmarkEnd w:id="69"/>
      <w:bookmarkEnd w:id="70"/>
      <w:bookmarkEnd w:id="71"/>
      <w:bookmarkEnd w:id="72"/>
      <w:bookmarkEnd w:id="73"/>
      <w:bookmarkEnd w:id="74"/>
      <w:bookmarkEnd w:id="75"/>
      <w:bookmarkEnd w:id="76"/>
      <w:bookmarkEnd w:id="77"/>
      <w:bookmarkEnd w:id="78"/>
    </w:p>
    <w:p>
      <w:pPr>
        <w:adjustRightInd w:val="0"/>
        <w:snapToGrid w:val="0"/>
        <w:spacing w:line="360" w:lineRule="auto"/>
        <w:ind w:firstLine="560"/>
        <w:rPr>
          <w:rFonts w:hint="eastAsia"/>
          <w:color w:val="000000"/>
          <w:szCs w:val="21"/>
          <w:highlight w:val="none"/>
        </w:rPr>
      </w:pPr>
      <w:r>
        <w:rPr>
          <w:rFonts w:hint="eastAsia" w:ascii="宋体" w:hAnsi="宋体" w:eastAsia="宋体" w:cs="宋体"/>
          <w:szCs w:val="22"/>
          <w:highlight w:val="none"/>
        </w:rPr>
        <w:t>本项目服务地点为</w:t>
      </w:r>
      <w:r>
        <w:rPr>
          <w:rFonts w:hint="eastAsia" w:ascii="宋体" w:hAnsi="宋体" w:eastAsia="宋体" w:cs="宋体"/>
          <w:szCs w:val="22"/>
          <w:highlight w:val="none"/>
          <w:lang w:val="en-US" w:eastAsia="zh-CN"/>
        </w:rPr>
        <w:t>河北省沧州市渤海新区国能黄骅港务公司现场</w:t>
      </w:r>
      <w:r>
        <w:rPr>
          <w:rFonts w:hint="eastAsia" w:ascii="宋体" w:hAnsi="宋体" w:eastAsia="宋体" w:cs="宋体"/>
          <w:szCs w:val="22"/>
          <w:highlight w:val="none"/>
        </w:rPr>
        <w:t>。</w:t>
      </w:r>
    </w:p>
    <w:p>
      <w:pPr>
        <w:adjustRightInd w:val="0"/>
        <w:snapToGrid w:val="0"/>
        <w:spacing w:line="360" w:lineRule="auto"/>
        <w:ind w:firstLine="560"/>
        <w:rPr>
          <w:rFonts w:hint="eastAsia" w:ascii="黑体" w:hAnsi="黑体" w:eastAsia="黑体" w:cs="黑体"/>
          <w:szCs w:val="22"/>
          <w:highlight w:val="none"/>
        </w:rPr>
      </w:pPr>
      <w:bookmarkStart w:id="79" w:name="_Toc18892"/>
      <w:bookmarkStart w:id="80" w:name="_Toc1084"/>
      <w:bookmarkStart w:id="81" w:name="_Toc4765"/>
      <w:r>
        <w:rPr>
          <w:rFonts w:hint="eastAsia" w:ascii="黑体" w:hAnsi="黑体" w:eastAsia="黑体" w:cs="黑体"/>
          <w:szCs w:val="22"/>
          <w:highlight w:val="none"/>
        </w:rPr>
        <w:t>3.4采购人提供的条件</w:t>
      </w:r>
      <w:bookmarkEnd w:id="60"/>
      <w:bookmarkEnd w:id="61"/>
      <w:bookmarkEnd w:id="62"/>
      <w:bookmarkEnd w:id="63"/>
      <w:bookmarkEnd w:id="64"/>
      <w:bookmarkEnd w:id="65"/>
      <w:bookmarkEnd w:id="66"/>
      <w:bookmarkEnd w:id="67"/>
      <w:bookmarkEnd w:id="79"/>
      <w:bookmarkEnd w:id="80"/>
      <w:bookmarkEnd w:id="81"/>
    </w:p>
    <w:p>
      <w:pPr>
        <w:adjustRightInd w:val="0"/>
        <w:snapToGrid w:val="0"/>
        <w:spacing w:line="360" w:lineRule="auto"/>
        <w:ind w:firstLine="560"/>
        <w:rPr>
          <w:rFonts w:hint="eastAsia" w:ascii="宋体" w:hAnsi="宋体" w:eastAsia="宋体" w:cs="宋体"/>
          <w:szCs w:val="22"/>
          <w:highlight w:val="none"/>
        </w:rPr>
      </w:pPr>
      <w:r>
        <w:rPr>
          <w:rFonts w:hint="eastAsia" w:ascii="宋体" w:hAnsi="宋体" w:eastAsia="宋体" w:cs="宋体"/>
          <w:szCs w:val="22"/>
          <w:highlight w:val="none"/>
        </w:rPr>
        <w:t>3.4.1通用部分</w:t>
      </w:r>
    </w:p>
    <w:p>
      <w:pPr>
        <w:numPr>
          <w:ilvl w:val="0"/>
          <w:numId w:val="2"/>
        </w:numPr>
        <w:adjustRightInd w:val="0"/>
        <w:snapToGrid w:val="0"/>
        <w:spacing w:line="360" w:lineRule="auto"/>
        <w:ind w:firstLine="560"/>
        <w:rPr>
          <w:rFonts w:ascii="宋体" w:hAnsi="宋体" w:eastAsia="宋体" w:cs="宋体"/>
          <w:szCs w:val="22"/>
          <w:highlight w:val="none"/>
        </w:rPr>
      </w:pPr>
      <w:r>
        <w:rPr>
          <w:rFonts w:hint="eastAsia" w:ascii="宋体" w:hAnsi="宋体" w:eastAsia="宋体" w:cs="宋体"/>
          <w:szCs w:val="22"/>
          <w:highlight w:val="none"/>
        </w:rPr>
        <w:t>本项目服务相关的文件、资料。</w:t>
      </w:r>
    </w:p>
    <w:p>
      <w:pPr>
        <w:numPr>
          <w:ilvl w:val="0"/>
          <w:numId w:val="2"/>
        </w:numPr>
        <w:adjustRightInd w:val="0"/>
        <w:snapToGrid w:val="0"/>
        <w:spacing w:line="360" w:lineRule="auto"/>
        <w:ind w:firstLine="560"/>
        <w:rPr>
          <w:rFonts w:hint="eastAsia" w:ascii="宋体" w:hAnsi="宋体" w:eastAsia="宋体" w:cs="宋体"/>
          <w:szCs w:val="22"/>
          <w:highlight w:val="none"/>
        </w:rPr>
      </w:pPr>
      <w:r>
        <w:rPr>
          <w:rFonts w:hint="eastAsia" w:ascii="宋体" w:hAnsi="宋体" w:eastAsia="宋体" w:cs="宋体"/>
          <w:szCs w:val="22"/>
          <w:highlight w:val="none"/>
        </w:rPr>
        <w:t>采购人提供配合的管理人员。</w:t>
      </w:r>
    </w:p>
    <w:p>
      <w:pPr>
        <w:adjustRightInd w:val="0"/>
        <w:snapToGrid w:val="0"/>
        <w:spacing w:line="360" w:lineRule="auto"/>
        <w:ind w:firstLine="560"/>
        <w:rPr>
          <w:rFonts w:hint="eastAsia" w:ascii="宋体" w:hAnsi="宋体" w:eastAsia="宋体" w:cs="宋体"/>
          <w:szCs w:val="22"/>
          <w:highlight w:val="none"/>
        </w:rPr>
      </w:pPr>
      <w:r>
        <w:rPr>
          <w:rFonts w:hint="eastAsia" w:ascii="宋体" w:hAnsi="宋体" w:eastAsia="宋体" w:cs="宋体"/>
          <w:szCs w:val="22"/>
          <w:highlight w:val="none"/>
        </w:rPr>
        <w:t>3.4.2专用部分</w:t>
      </w:r>
    </w:p>
    <w:p>
      <w:pPr>
        <w:adjustRightInd w:val="0"/>
        <w:snapToGrid w:val="0"/>
        <w:spacing w:line="360" w:lineRule="auto"/>
        <w:ind w:firstLine="560"/>
        <w:rPr>
          <w:rFonts w:ascii="宋体" w:hAnsi="宋体" w:eastAsia="宋体" w:cs="宋体"/>
          <w:szCs w:val="22"/>
          <w:highlight w:val="none"/>
        </w:rPr>
      </w:pPr>
      <w:r>
        <w:rPr>
          <w:rFonts w:hint="eastAsia" w:ascii="宋体" w:hAnsi="宋体" w:eastAsia="宋体" w:cs="宋体"/>
          <w:szCs w:val="22"/>
          <w:highlight w:val="none"/>
        </w:rPr>
        <w:t>采购人除提供通用条件和资料以外，还将提供以下资料和条件供服务使用：</w:t>
      </w:r>
    </w:p>
    <w:p>
      <w:pPr>
        <w:numPr>
          <w:ilvl w:val="0"/>
          <w:numId w:val="3"/>
        </w:numPr>
        <w:adjustRightInd w:val="0"/>
        <w:snapToGrid w:val="0"/>
        <w:spacing w:line="360" w:lineRule="auto"/>
        <w:ind w:firstLine="560"/>
        <w:rPr>
          <w:rFonts w:hint="eastAsia" w:ascii="宋体" w:hAnsi="宋体" w:eastAsia="宋体" w:cs="宋体"/>
          <w:szCs w:val="22"/>
          <w:highlight w:val="none"/>
        </w:rPr>
      </w:pPr>
      <w:r>
        <w:rPr>
          <w:rFonts w:hint="eastAsia" w:ascii="宋体" w:hAnsi="宋体" w:eastAsia="宋体" w:cs="宋体"/>
          <w:szCs w:val="22"/>
          <w:highlight w:val="none"/>
        </w:rPr>
        <w:t>资料：</w:t>
      </w:r>
      <w:r>
        <w:rPr>
          <w:rFonts w:hint="eastAsia" w:ascii="宋体" w:hAnsi="宋体" w:eastAsia="宋体" w:cs="宋体"/>
          <w:szCs w:val="22"/>
          <w:highlight w:val="none"/>
          <w:lang w:val="en-US" w:eastAsia="zh-CN"/>
        </w:rPr>
        <w:t>非道路移动机械合格证等随机资料</w:t>
      </w:r>
      <w:r>
        <w:rPr>
          <w:rFonts w:hint="eastAsia" w:ascii="宋体" w:hAnsi="宋体" w:eastAsia="宋体" w:cs="宋体"/>
          <w:szCs w:val="22"/>
          <w:highlight w:val="none"/>
        </w:rPr>
        <w:t>。</w:t>
      </w:r>
    </w:p>
    <w:p>
      <w:pPr>
        <w:numPr>
          <w:ilvl w:val="0"/>
          <w:numId w:val="3"/>
        </w:numPr>
        <w:adjustRightInd w:val="0"/>
        <w:snapToGrid w:val="0"/>
        <w:spacing w:line="360" w:lineRule="auto"/>
        <w:ind w:firstLine="560"/>
        <w:rPr>
          <w:rFonts w:hint="eastAsia"/>
          <w:highlight w:val="none"/>
        </w:rPr>
      </w:pPr>
      <w:r>
        <w:rPr>
          <w:rFonts w:hint="eastAsia" w:ascii="宋体" w:hAnsi="宋体" w:eastAsia="宋体" w:cs="宋体"/>
          <w:szCs w:val="22"/>
          <w:highlight w:val="none"/>
        </w:rPr>
        <w:t>驻场服务时，办公、生活用房、用餐、通讯等，费用由报价人承担。</w:t>
      </w:r>
    </w:p>
    <w:p>
      <w:pPr>
        <w:adjustRightInd w:val="0"/>
        <w:snapToGrid w:val="0"/>
        <w:spacing w:line="360" w:lineRule="auto"/>
        <w:ind w:firstLine="560"/>
        <w:rPr>
          <w:rFonts w:hint="eastAsia" w:ascii="黑体" w:hAnsi="黑体" w:eastAsia="黑体" w:cs="黑体"/>
          <w:szCs w:val="22"/>
          <w:highlight w:val="none"/>
        </w:rPr>
      </w:pPr>
      <w:bookmarkStart w:id="82" w:name="_Toc28554_WPSOffice_Level2"/>
      <w:bookmarkStart w:id="83" w:name="_Toc4632_WPSOffice_Level2"/>
      <w:bookmarkStart w:id="84" w:name="_Toc14116"/>
      <w:bookmarkStart w:id="85" w:name="_Toc23347_WPSOffice_Level2"/>
      <w:bookmarkStart w:id="86" w:name="_Toc11874"/>
      <w:bookmarkStart w:id="87" w:name="_Toc31601"/>
      <w:bookmarkStart w:id="88" w:name="_Toc30831"/>
      <w:bookmarkStart w:id="89" w:name="_Toc20493_WPSOffice_Level2"/>
      <w:bookmarkStart w:id="90" w:name="_Toc11983"/>
      <w:bookmarkStart w:id="91" w:name="_Toc28554"/>
      <w:bookmarkStart w:id="92" w:name="_Toc10953"/>
      <w:r>
        <w:rPr>
          <w:rFonts w:hint="eastAsia" w:ascii="黑体" w:hAnsi="黑体" w:eastAsia="黑体" w:cs="黑体"/>
          <w:szCs w:val="22"/>
          <w:highlight w:val="none"/>
        </w:rPr>
        <w:t>3.5服务内容</w:t>
      </w:r>
      <w:bookmarkEnd w:id="82"/>
      <w:bookmarkEnd w:id="83"/>
      <w:bookmarkEnd w:id="84"/>
      <w:bookmarkEnd w:id="85"/>
      <w:bookmarkEnd w:id="86"/>
      <w:bookmarkEnd w:id="87"/>
      <w:bookmarkEnd w:id="88"/>
      <w:bookmarkEnd w:id="89"/>
      <w:bookmarkEnd w:id="90"/>
      <w:bookmarkEnd w:id="91"/>
      <w:bookmarkEnd w:id="92"/>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本环境检测主要工作内容：</w:t>
      </w:r>
    </w:p>
    <w:p>
      <w:pPr>
        <w:tabs>
          <w:tab w:val="left" w:pos="709"/>
          <w:tab w:val="left" w:pos="288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3.5.1对</w:t>
      </w:r>
      <w:r>
        <w:rPr>
          <w:rFonts w:hint="eastAsia" w:ascii="宋体" w:hAnsi="宋体" w:eastAsia="宋体" w:cs="黑体"/>
        </w:rPr>
        <w:fldChar w:fldCharType="begin"/>
      </w:r>
      <w:r>
        <w:rPr>
          <w:rFonts w:hint="eastAsia" w:ascii="宋体" w:hAnsi="宋体" w:eastAsia="宋体" w:cs="黑体"/>
        </w:rPr>
        <w:instrText xml:space="preserve"> HYPERLINK "http://www.baidu.com/link?url=zSACFN6ljYWYPDUv36yhV4X5s-NOrm1ny9rYIL-qjWz7QD7p_koLKgwCkdsYDaCY" \t "_blank" </w:instrText>
      </w:r>
      <w:r>
        <w:rPr>
          <w:rFonts w:hint="eastAsia" w:ascii="宋体" w:hAnsi="宋体" w:eastAsia="宋体" w:cs="黑体"/>
        </w:rPr>
        <w:fldChar w:fldCharType="separate"/>
      </w:r>
      <w:r>
        <w:rPr>
          <w:rFonts w:hint="eastAsia" w:ascii="宋体" w:hAnsi="宋体" w:eastAsia="宋体" w:cs="黑体"/>
        </w:rPr>
        <w:t>国能黄骅港务</w:t>
      </w:r>
      <w:r>
        <w:rPr>
          <w:rFonts w:hint="eastAsia" w:ascii="宋体" w:hAnsi="宋体" w:eastAsia="宋体" w:cs="黑体"/>
          <w:lang w:eastAsia="zh-CN"/>
        </w:rPr>
        <w:t>有限责任</w:t>
      </w:r>
      <w:r>
        <w:rPr>
          <w:rFonts w:hint="eastAsia" w:ascii="宋体" w:hAnsi="宋体" w:eastAsia="宋体" w:cs="黑体"/>
        </w:rPr>
        <w:t>公司</w:t>
      </w:r>
      <w:r>
        <w:rPr>
          <w:rFonts w:hint="eastAsia" w:ascii="宋体" w:hAnsi="宋体" w:eastAsia="宋体" w:cs="黑体"/>
        </w:rPr>
        <w:fldChar w:fldCharType="end"/>
      </w:r>
      <w:r>
        <w:rPr>
          <w:rFonts w:hint="eastAsia" w:ascii="宋体" w:hAnsi="宋体" w:eastAsia="宋体" w:cs="黑体"/>
        </w:rPr>
        <w:t>非道路移动机械</w:t>
      </w:r>
      <w:r>
        <w:rPr>
          <w:rFonts w:hint="eastAsia" w:ascii="宋体" w:hAnsi="宋体" w:eastAsia="宋体" w:cs="黑体"/>
          <w:lang w:eastAsia="zh-CN"/>
        </w:rPr>
        <w:t>进行</w:t>
      </w:r>
      <w:r>
        <w:rPr>
          <w:rFonts w:hint="eastAsia" w:ascii="宋体" w:hAnsi="宋体" w:eastAsia="宋体" w:cs="黑体"/>
          <w:lang w:val="en-US" w:eastAsia="zh-CN"/>
        </w:rPr>
        <w:t>尾气</w:t>
      </w:r>
      <w:r>
        <w:rPr>
          <w:rFonts w:hint="eastAsia" w:ascii="宋体" w:hAnsi="宋体" w:eastAsia="宋体" w:cs="黑体"/>
          <w:lang w:eastAsia="zh-CN"/>
        </w:rPr>
        <w:t>检测</w:t>
      </w:r>
      <w:r>
        <w:rPr>
          <w:rFonts w:hint="eastAsia" w:ascii="宋体" w:hAnsi="宋体" w:eastAsia="宋体" w:cs="宋体"/>
          <w:szCs w:val="22"/>
        </w:rPr>
        <w:t>，并出具相应的</w:t>
      </w:r>
      <w:r>
        <w:rPr>
          <w:rFonts w:hint="eastAsia" w:ascii="宋体" w:hAnsi="宋体" w:eastAsia="宋体" w:cs="宋体"/>
          <w:szCs w:val="22"/>
          <w:lang w:val="en-US" w:eastAsia="zh-CN"/>
        </w:rPr>
        <w:t>检测</w:t>
      </w:r>
      <w:r>
        <w:rPr>
          <w:rFonts w:hint="eastAsia" w:ascii="宋体" w:hAnsi="宋体" w:eastAsia="宋体" w:cs="宋体"/>
          <w:szCs w:val="22"/>
        </w:rPr>
        <w:t>结果及报告。</w:t>
      </w:r>
    </w:p>
    <w:p>
      <w:pPr>
        <w:tabs>
          <w:tab w:val="left" w:pos="709"/>
          <w:tab w:val="left" w:pos="288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3.5.2 环境</w:t>
      </w:r>
      <w:r>
        <w:rPr>
          <w:rFonts w:hint="eastAsia" w:ascii="宋体" w:hAnsi="宋体" w:eastAsia="宋体" w:cs="宋体"/>
          <w:szCs w:val="22"/>
          <w:lang w:val="en-US" w:eastAsia="zh-CN"/>
        </w:rPr>
        <w:t>检</w:t>
      </w:r>
      <w:r>
        <w:rPr>
          <w:rFonts w:hint="eastAsia" w:ascii="宋体" w:hAnsi="宋体" w:eastAsia="宋体" w:cs="宋体"/>
          <w:szCs w:val="22"/>
        </w:rPr>
        <w:t>测布点、批次及内容见下表</w:t>
      </w:r>
    </w:p>
    <w:p>
      <w:pPr>
        <w:tabs>
          <w:tab w:val="left" w:pos="709"/>
          <w:tab w:val="left" w:pos="2880"/>
        </w:tabs>
        <w:adjustRightInd w:val="0"/>
        <w:snapToGrid w:val="0"/>
        <w:spacing w:line="360" w:lineRule="auto"/>
        <w:ind w:firstLine="0" w:firstLineChars="0"/>
        <w:jc w:val="center"/>
        <w:rPr>
          <w:rFonts w:hint="eastAsia" w:ascii="宋体" w:hAnsi="宋体" w:eastAsia="宋体" w:cs="宋体"/>
          <w:sz w:val="21"/>
          <w:szCs w:val="21"/>
        </w:rPr>
      </w:pPr>
      <w:bookmarkStart w:id="93" w:name="_Toc5212"/>
      <w:bookmarkStart w:id="94" w:name="_Toc22383"/>
      <w:bookmarkStart w:id="95" w:name="_Toc30302"/>
    </w:p>
    <w:p>
      <w:pPr>
        <w:tabs>
          <w:tab w:val="left" w:pos="709"/>
          <w:tab w:val="left" w:pos="2880"/>
        </w:tabs>
        <w:adjustRightInd w:val="0"/>
        <w:snapToGrid w:val="0"/>
        <w:spacing w:line="360" w:lineRule="auto"/>
        <w:ind w:firstLine="0" w:firstLineChars="0"/>
        <w:jc w:val="center"/>
        <w:rPr>
          <w:rFonts w:hint="eastAsia" w:ascii="宋体" w:hAnsi="宋体" w:eastAsia="宋体" w:cs="宋体"/>
          <w:sz w:val="21"/>
          <w:szCs w:val="21"/>
        </w:rPr>
      </w:pPr>
    </w:p>
    <w:p>
      <w:pPr>
        <w:tabs>
          <w:tab w:val="left" w:pos="709"/>
          <w:tab w:val="left" w:pos="2880"/>
        </w:tabs>
        <w:adjustRightInd w:val="0"/>
        <w:snapToGrid w:val="0"/>
        <w:spacing w:line="360" w:lineRule="auto"/>
        <w:ind w:firstLine="0" w:firstLineChars="0"/>
        <w:jc w:val="center"/>
        <w:rPr>
          <w:rFonts w:ascii="宋体" w:hAnsi="宋体" w:eastAsia="宋体" w:cs="宋体"/>
          <w:sz w:val="21"/>
          <w:szCs w:val="21"/>
        </w:rPr>
      </w:pPr>
      <w:r>
        <w:rPr>
          <w:rFonts w:hint="eastAsia" w:ascii="宋体" w:hAnsi="宋体" w:eastAsia="宋体" w:cs="宋体"/>
          <w:sz w:val="21"/>
          <w:szCs w:val="21"/>
        </w:rPr>
        <w:t>表1 环境监测布点、批次及内容</w:t>
      </w:r>
      <w:bookmarkEnd w:id="93"/>
      <w:bookmarkEnd w:id="94"/>
      <w:bookmarkEnd w:id="95"/>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2389"/>
        <w:gridCol w:w="2754"/>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类别</w:t>
            </w:r>
          </w:p>
        </w:tc>
        <w:tc>
          <w:tcPr>
            <w:tcW w:w="2389"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监测点位置</w:t>
            </w:r>
          </w:p>
        </w:tc>
        <w:tc>
          <w:tcPr>
            <w:tcW w:w="2754"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检测项目</w:t>
            </w:r>
          </w:p>
        </w:tc>
        <w:tc>
          <w:tcPr>
            <w:tcW w:w="2131"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1248"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非道路移动机械尾气</w:t>
            </w:r>
          </w:p>
        </w:tc>
        <w:tc>
          <w:tcPr>
            <w:tcW w:w="2389"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尾气排放口</w:t>
            </w:r>
          </w:p>
        </w:tc>
        <w:tc>
          <w:tcPr>
            <w:tcW w:w="2754" w:type="dxa"/>
            <w:noWrap w:val="0"/>
            <w:vAlign w:val="center"/>
          </w:tcPr>
          <w:p>
            <w:pPr>
              <w:pStyle w:val="4"/>
              <w:adjustRightInd w:val="0"/>
              <w:snapToGrid w:val="0"/>
              <w:spacing w:line="360" w:lineRule="auto"/>
              <w:ind w:firstLine="0" w:firstLineChars="0"/>
              <w:jc w:val="center"/>
              <w:outlineLvl w:val="1"/>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光吸收系数：《非道路移动柴油机械排气烟度限值及测量方法》</w:t>
            </w:r>
            <w:r>
              <w:rPr>
                <w:rFonts w:hint="eastAsia" w:ascii="宋体" w:hAnsi="宋体" w:eastAsia="宋体" w:cs="宋体"/>
                <w:b w:val="0"/>
                <w:bCs w:val="0"/>
                <w:sz w:val="21"/>
                <w:szCs w:val="21"/>
                <w:lang w:val="en-US" w:eastAsia="zh-CN"/>
              </w:rPr>
              <w:t>GB36886-2018中5.2.1不透光烟度法（5.1.3自由加速法）</w:t>
            </w:r>
          </w:p>
        </w:tc>
        <w:tc>
          <w:tcPr>
            <w:tcW w:w="2131" w:type="dxa"/>
            <w:noWrap w:val="0"/>
            <w:vAlign w:val="center"/>
          </w:tcPr>
          <w:p>
            <w:pPr>
              <w:pStyle w:val="4"/>
              <w:adjustRightInd w:val="0"/>
              <w:snapToGrid w:val="0"/>
              <w:spacing w:line="360" w:lineRule="auto"/>
              <w:ind w:firstLine="0" w:firstLineChars="0"/>
              <w:jc w:val="center"/>
              <w:outlineLvl w:val="1"/>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1次/季</w:t>
            </w:r>
            <w:r>
              <w:rPr>
                <w:rFonts w:hint="eastAsia" w:ascii="宋体" w:hAnsi="宋体" w:eastAsia="宋体" w:cs="宋体"/>
                <w:b w:val="0"/>
                <w:bCs w:val="0"/>
                <w:sz w:val="21"/>
                <w:szCs w:val="21"/>
                <w:lang w:val="en-US" w:eastAsia="zh-CN"/>
              </w:rPr>
              <w:t>度</w:t>
            </w:r>
          </w:p>
        </w:tc>
      </w:tr>
    </w:tbl>
    <w:p>
      <w:pPr>
        <w:tabs>
          <w:tab w:val="left" w:pos="709"/>
          <w:tab w:val="left" w:pos="288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 w:val="21"/>
          <w:szCs w:val="21"/>
        </w:rPr>
        <w:t>注： 根据环保需要进行的测量项目（未含在上述范围内），也应包含在报价人工作范围内，并不发生费用。</w:t>
      </w:r>
    </w:p>
    <w:p>
      <w:pPr>
        <w:tabs>
          <w:tab w:val="left" w:pos="709"/>
          <w:tab w:val="left" w:pos="2880"/>
        </w:tabs>
        <w:adjustRightInd w:val="0"/>
        <w:snapToGrid w:val="0"/>
        <w:spacing w:line="360" w:lineRule="auto"/>
        <w:ind w:firstLine="560"/>
        <w:rPr>
          <w:rFonts w:hint="eastAsia" w:ascii="宋体" w:hAnsi="宋体" w:eastAsia="宋体" w:cs="宋体"/>
          <w:szCs w:val="22"/>
        </w:rPr>
      </w:pPr>
    </w:p>
    <w:p>
      <w:pPr>
        <w:tabs>
          <w:tab w:val="left" w:pos="709"/>
          <w:tab w:val="left" w:pos="2880"/>
        </w:tabs>
        <w:adjustRightInd w:val="0"/>
        <w:snapToGrid w:val="0"/>
        <w:spacing w:line="360" w:lineRule="auto"/>
        <w:ind w:firstLine="560"/>
        <w:rPr>
          <w:rFonts w:hint="eastAsia" w:ascii="宋体" w:hAnsi="宋体" w:eastAsia="宋体" w:cs="宋体"/>
          <w:szCs w:val="22"/>
        </w:rPr>
      </w:pPr>
    </w:p>
    <w:p>
      <w:pPr>
        <w:tabs>
          <w:tab w:val="left" w:pos="709"/>
          <w:tab w:val="left" w:pos="2880"/>
        </w:tabs>
        <w:adjustRightInd w:val="0"/>
        <w:snapToGrid w:val="0"/>
        <w:spacing w:line="360" w:lineRule="auto"/>
        <w:ind w:firstLine="560"/>
        <w:rPr>
          <w:rFonts w:hint="eastAsia" w:ascii="宋体" w:hAnsi="宋体" w:eastAsia="宋体" w:cs="宋体"/>
          <w:szCs w:val="22"/>
        </w:rPr>
      </w:pPr>
    </w:p>
    <w:p>
      <w:pPr>
        <w:pStyle w:val="4"/>
        <w:rPr>
          <w:rFonts w:hint="eastAsia" w:ascii="宋体" w:hAnsi="宋体" w:eastAsia="宋体" w:cs="宋体"/>
          <w:szCs w:val="22"/>
        </w:rPr>
      </w:pPr>
    </w:p>
    <w:p>
      <w:pPr>
        <w:rPr>
          <w:rFonts w:hint="eastAsia" w:ascii="宋体" w:hAnsi="宋体" w:eastAsia="宋体" w:cs="宋体"/>
          <w:szCs w:val="22"/>
        </w:rPr>
      </w:pPr>
    </w:p>
    <w:p>
      <w:pPr>
        <w:pStyle w:val="4"/>
        <w:rPr>
          <w:rFonts w:hint="eastAsia" w:ascii="宋体" w:hAnsi="宋体" w:eastAsia="宋体" w:cs="宋体"/>
          <w:szCs w:val="22"/>
        </w:rPr>
      </w:pPr>
    </w:p>
    <w:p>
      <w:pPr>
        <w:rPr>
          <w:rFonts w:hint="eastAsia" w:ascii="宋体" w:hAnsi="宋体" w:eastAsia="宋体" w:cs="宋体"/>
          <w:szCs w:val="22"/>
        </w:rPr>
      </w:pPr>
    </w:p>
    <w:p>
      <w:pPr>
        <w:pStyle w:val="4"/>
        <w:rPr>
          <w:rFonts w:hint="eastAsia" w:ascii="宋体" w:hAnsi="宋体" w:eastAsia="宋体" w:cs="宋体"/>
          <w:szCs w:val="22"/>
        </w:rPr>
      </w:pPr>
    </w:p>
    <w:p>
      <w:pPr>
        <w:rPr>
          <w:rFonts w:hint="eastAsia" w:ascii="宋体" w:hAnsi="宋体" w:eastAsia="宋体" w:cs="宋体"/>
          <w:szCs w:val="22"/>
        </w:rPr>
      </w:pPr>
    </w:p>
    <w:p>
      <w:pPr>
        <w:pStyle w:val="4"/>
        <w:rPr>
          <w:rFonts w:hint="eastAsia" w:ascii="宋体" w:hAnsi="宋体" w:eastAsia="宋体" w:cs="宋体"/>
          <w:szCs w:val="22"/>
        </w:rPr>
      </w:pPr>
    </w:p>
    <w:p>
      <w:pPr>
        <w:rPr>
          <w:rFonts w:hint="eastAsia"/>
        </w:rPr>
      </w:pPr>
    </w:p>
    <w:p>
      <w:pPr>
        <w:pStyle w:val="3"/>
        <w:numPr>
          <w:ilvl w:val="0"/>
          <w:numId w:val="1"/>
        </w:numPr>
        <w:adjustRightInd w:val="0"/>
        <w:snapToGrid w:val="0"/>
        <w:spacing w:before="0" w:after="0" w:line="360" w:lineRule="auto"/>
        <w:ind w:left="0" w:firstLine="560"/>
        <w:rPr>
          <w:rFonts w:hint="eastAsia" w:ascii="黑体" w:hAnsi="黑体" w:eastAsia="黑体" w:cs="黑体"/>
          <w:b w:val="0"/>
          <w:bCs w:val="0"/>
          <w:sz w:val="28"/>
          <w:szCs w:val="28"/>
        </w:rPr>
      </w:pPr>
      <w:bookmarkStart w:id="96" w:name="_Toc9378"/>
      <w:bookmarkStart w:id="97" w:name="_Toc5926"/>
      <w:bookmarkStart w:id="98" w:name="_Toc4944"/>
      <w:bookmarkStart w:id="99" w:name="_Toc15283"/>
      <w:bookmarkStart w:id="100" w:name="_Toc27207_WPSOffice_Level1"/>
      <w:bookmarkStart w:id="101" w:name="_Toc22994_WPSOffice_Level1"/>
      <w:bookmarkStart w:id="102" w:name="_Toc22628_WPSOffice_Level1"/>
      <w:bookmarkStart w:id="103" w:name="_Toc10175"/>
      <w:bookmarkStart w:id="104" w:name="_Toc26195"/>
      <w:bookmarkStart w:id="105" w:name="_Toc10029979"/>
      <w:bookmarkStart w:id="106" w:name="_Toc20308"/>
      <w:bookmarkStart w:id="107" w:name="_Toc1272_WPSOffice_Level1"/>
      <w:bookmarkStart w:id="108" w:name="_Toc30899"/>
      <w:bookmarkStart w:id="109" w:name="_Toc10216687"/>
      <w:r>
        <w:rPr>
          <w:rFonts w:hint="eastAsia" w:ascii="黑体" w:hAnsi="黑体" w:eastAsia="黑体" w:cs="黑体"/>
          <w:b w:val="0"/>
          <w:bCs w:val="0"/>
          <w:sz w:val="28"/>
          <w:szCs w:val="28"/>
        </w:rPr>
        <w:t>标准与规范</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adjustRightInd w:val="0"/>
        <w:snapToGrid w:val="0"/>
        <w:spacing w:line="360" w:lineRule="auto"/>
        <w:ind w:firstLine="560"/>
        <w:rPr>
          <w:rFonts w:hint="eastAsia" w:ascii="黑体" w:hAnsi="黑体" w:eastAsia="黑体" w:cs="黑体"/>
          <w:szCs w:val="22"/>
        </w:rPr>
      </w:pPr>
      <w:bookmarkStart w:id="110" w:name="_Toc16633"/>
      <w:bookmarkStart w:id="111" w:name="_Toc2594"/>
      <w:bookmarkStart w:id="112" w:name="_Toc24154_WPSOffice_Level2"/>
      <w:bookmarkStart w:id="113" w:name="_Toc24625_WPSOffice_Level2"/>
      <w:bookmarkStart w:id="114" w:name="_Toc10637"/>
      <w:bookmarkStart w:id="115" w:name="_Toc26639"/>
      <w:bookmarkStart w:id="116" w:name="_Toc11560"/>
      <w:bookmarkStart w:id="117" w:name="_Toc3045"/>
      <w:bookmarkStart w:id="118" w:name="_Toc15870"/>
      <w:bookmarkStart w:id="119" w:name="_Toc14943_WPSOffice_Level2"/>
      <w:bookmarkStart w:id="120" w:name="_Toc4337"/>
      <w:bookmarkStart w:id="121" w:name="_Toc15412"/>
      <w:bookmarkStart w:id="122" w:name="_Toc31823"/>
      <w:bookmarkStart w:id="123" w:name="_Toc18875_WPSOffice_Level2"/>
      <w:r>
        <w:rPr>
          <w:rFonts w:hint="eastAsia" w:ascii="黑体" w:hAnsi="黑体" w:eastAsia="黑体" w:cs="黑体"/>
          <w:szCs w:val="22"/>
        </w:rPr>
        <w:t>4.1通用部分</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adjustRightInd w:val="0"/>
        <w:snapToGrid w:val="0"/>
        <w:spacing w:line="360" w:lineRule="auto"/>
        <w:ind w:firstLine="560"/>
        <w:rPr>
          <w:rFonts w:hint="eastAsia" w:ascii="宋体" w:hAnsi="宋体" w:eastAsia="宋体" w:cs="宋体"/>
          <w:szCs w:val="22"/>
        </w:rPr>
      </w:pPr>
      <w:bookmarkStart w:id="124" w:name="_Toc13191_WPSOffice_Level2"/>
      <w:bookmarkStart w:id="125" w:name="_Toc27225"/>
      <w:bookmarkStart w:id="126" w:name="_Toc10451_WPSOffice_Level2"/>
      <w:bookmarkStart w:id="127" w:name="_Toc14844"/>
      <w:bookmarkStart w:id="128" w:name="_Toc26234"/>
      <w:bookmarkStart w:id="129" w:name="_Toc23320_WPSOffice_Level2"/>
      <w:bookmarkStart w:id="130" w:name="_Toc28875"/>
      <w:bookmarkStart w:id="131" w:name="_Toc21591_WPSOffice_Level2"/>
      <w:r>
        <w:rPr>
          <w:rFonts w:hint="eastAsia" w:ascii="宋体" w:hAnsi="宋体" w:eastAsia="宋体" w:cs="宋体"/>
          <w:szCs w:val="22"/>
        </w:rPr>
        <w:t>4.1.1本项目所适用的法律、标准、规范为国家、地方及行业现行的法律、标准、规范，以及在合同实施期间国家、地方及行业对相应法律、标准或规范的修改，以及新颁布的法律、标准和规范。具体法律、标准和规范见专用部分，如专用部分未单独列出法律、规范和标准，则按国家、地方及行业相应最高要求实施。</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4.1.2本项目在执行上述要求外，还须执行国家能源集团、采购人的相关管理文件、技术标准要求。</w:t>
      </w:r>
    </w:p>
    <w:p>
      <w:pPr>
        <w:adjustRightInd w:val="0"/>
        <w:snapToGrid w:val="0"/>
        <w:spacing w:line="360" w:lineRule="auto"/>
        <w:ind w:firstLine="560"/>
        <w:rPr>
          <w:rFonts w:hint="eastAsia" w:ascii="黑体" w:hAnsi="黑体" w:eastAsia="黑体" w:cs="黑体"/>
          <w:szCs w:val="22"/>
        </w:rPr>
      </w:pPr>
      <w:bookmarkStart w:id="132" w:name="_Toc1697"/>
      <w:bookmarkStart w:id="133" w:name="_Toc2361"/>
      <w:bookmarkStart w:id="134" w:name="_Toc29763"/>
      <w:r>
        <w:rPr>
          <w:rFonts w:hint="eastAsia" w:ascii="黑体" w:hAnsi="黑体" w:eastAsia="黑体" w:cs="黑体"/>
          <w:szCs w:val="22"/>
        </w:rPr>
        <w:t>4.2专用部分</w:t>
      </w:r>
      <w:bookmarkEnd w:id="124"/>
      <w:bookmarkEnd w:id="125"/>
      <w:bookmarkEnd w:id="126"/>
      <w:bookmarkEnd w:id="127"/>
      <w:bookmarkEnd w:id="128"/>
      <w:bookmarkEnd w:id="129"/>
      <w:bookmarkEnd w:id="130"/>
      <w:bookmarkEnd w:id="131"/>
      <w:bookmarkEnd w:id="132"/>
      <w:bookmarkEnd w:id="133"/>
      <w:bookmarkEnd w:id="134"/>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本项目所适用标准和规范见下（包括但不限于，其中没有标注日期的标准，其最新版本适用于本项目）：</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w:t>
      </w:r>
      <w:r>
        <w:rPr>
          <w:rFonts w:hint="eastAsia" w:ascii="宋体" w:hAnsi="宋体" w:eastAsia="宋体" w:cs="宋体"/>
          <w:sz w:val="28"/>
          <w:szCs w:val="28"/>
          <w:lang w:eastAsia="zh-CN"/>
        </w:rPr>
        <w:t>《非道路柴油移动机械排气烟度限值及测量方法》（</w:t>
      </w:r>
      <w:r>
        <w:rPr>
          <w:rFonts w:hint="eastAsia" w:ascii="宋体" w:hAnsi="宋体" w:eastAsia="宋体" w:cs="宋体"/>
          <w:sz w:val="28"/>
          <w:szCs w:val="28"/>
          <w:lang w:val="en-US" w:eastAsia="zh-CN"/>
        </w:rPr>
        <w:t>GB36886-2018</w:t>
      </w:r>
      <w:r>
        <w:rPr>
          <w:rFonts w:hint="eastAsia" w:ascii="宋体" w:hAnsi="宋体" w:eastAsia="宋体" w:cs="宋体"/>
          <w:sz w:val="28"/>
          <w:szCs w:val="28"/>
          <w:lang w:eastAsia="zh-CN"/>
        </w:rPr>
        <w:t>）</w:t>
      </w:r>
      <w:r>
        <w:rPr>
          <w:rFonts w:hint="eastAsia" w:ascii="宋体" w:hAnsi="宋体" w:eastAsia="宋体" w:cs="宋体"/>
          <w:szCs w:val="22"/>
        </w:rPr>
        <w:t>；</w:t>
      </w:r>
    </w:p>
    <w:p>
      <w:pPr>
        <w:pStyle w:val="4"/>
        <w:adjustRightInd w:val="0"/>
        <w:snapToGrid w:val="0"/>
        <w:spacing w:line="360" w:lineRule="auto"/>
        <w:ind w:firstLine="562"/>
        <w:rPr>
          <w:rFonts w:hint="eastAsia" w:ascii="宋体" w:hAnsi="宋体"/>
          <w:sz w:val="28"/>
          <w:szCs w:val="28"/>
        </w:rPr>
      </w:pPr>
    </w:p>
    <w:p>
      <w:pPr>
        <w:pStyle w:val="4"/>
        <w:adjustRightInd w:val="0"/>
        <w:snapToGrid w:val="0"/>
        <w:spacing w:line="360" w:lineRule="auto"/>
        <w:ind w:firstLine="643"/>
        <w:rPr>
          <w:rFonts w:hint="eastAsia" w:ascii="宋体" w:hAnsi="宋体" w:eastAsia="宋体" w:cs="黑体"/>
          <w:szCs w:val="22"/>
          <w:highlight w:val="yellow"/>
        </w:rPr>
      </w:pPr>
    </w:p>
    <w:p>
      <w:pPr>
        <w:adjustRightInd w:val="0"/>
        <w:snapToGrid w:val="0"/>
        <w:spacing w:line="360" w:lineRule="auto"/>
        <w:ind w:firstLine="560"/>
        <w:rPr>
          <w:rFonts w:hint="eastAsia" w:ascii="宋体" w:hAnsi="宋体" w:eastAsia="宋体" w:cs="黑体"/>
          <w:szCs w:val="22"/>
          <w:highlight w:val="yellow"/>
        </w:rPr>
      </w:pPr>
    </w:p>
    <w:p>
      <w:pPr>
        <w:pStyle w:val="3"/>
        <w:numPr>
          <w:ilvl w:val="0"/>
          <w:numId w:val="1"/>
        </w:numPr>
        <w:adjustRightInd w:val="0"/>
        <w:snapToGrid w:val="0"/>
        <w:spacing w:before="0" w:after="0" w:line="360" w:lineRule="auto"/>
        <w:ind w:left="0" w:firstLine="560"/>
        <w:rPr>
          <w:rFonts w:hint="eastAsia" w:ascii="黑体" w:hAnsi="黑体" w:eastAsia="黑体" w:cs="黑体"/>
          <w:b w:val="0"/>
          <w:bCs w:val="0"/>
          <w:sz w:val="28"/>
          <w:szCs w:val="28"/>
        </w:rPr>
      </w:pPr>
      <w:bookmarkStart w:id="135" w:name="_Toc10029980"/>
      <w:bookmarkStart w:id="136" w:name="_Toc4632_WPSOffice_Level1"/>
      <w:bookmarkStart w:id="137" w:name="_Toc5567_WPSOffice_Level1"/>
      <w:bookmarkStart w:id="138" w:name="_Toc10216688"/>
      <w:bookmarkStart w:id="139" w:name="_Toc14379_WPSOffice_Level1"/>
      <w:bookmarkStart w:id="140" w:name="_Toc20946"/>
      <w:bookmarkStart w:id="141" w:name="_Toc22485"/>
      <w:bookmarkStart w:id="142" w:name="_Toc28656"/>
      <w:r>
        <w:rPr>
          <w:rFonts w:hint="eastAsia" w:ascii="黑体" w:hAnsi="黑体" w:eastAsia="黑体" w:cs="黑体"/>
          <w:b w:val="0"/>
          <w:bCs w:val="0"/>
          <w:sz w:val="28"/>
          <w:szCs w:val="28"/>
        </w:rPr>
        <w:br w:type="page"/>
      </w:r>
      <w:bookmarkStart w:id="143" w:name="_Toc7187"/>
      <w:bookmarkStart w:id="144" w:name="_Toc22462"/>
      <w:bookmarkStart w:id="145" w:name="_Toc22656"/>
      <w:bookmarkStart w:id="146" w:name="_Toc7381_WPSOffice_Level1"/>
      <w:bookmarkStart w:id="147" w:name="_Toc17736"/>
      <w:bookmarkStart w:id="148" w:name="_Toc3381"/>
      <w:r>
        <w:rPr>
          <w:rFonts w:hint="eastAsia" w:ascii="黑体" w:hAnsi="黑体" w:eastAsia="黑体" w:cs="黑体"/>
          <w:b w:val="0"/>
          <w:bCs w:val="0"/>
          <w:sz w:val="28"/>
          <w:szCs w:val="28"/>
        </w:rPr>
        <w:t>技术要求</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adjustRightInd w:val="0"/>
        <w:snapToGrid w:val="0"/>
        <w:spacing w:line="360" w:lineRule="auto"/>
        <w:ind w:firstLine="560"/>
        <w:rPr>
          <w:rFonts w:hint="eastAsia" w:ascii="黑体" w:hAnsi="黑体" w:eastAsia="黑体" w:cs="黑体"/>
          <w:szCs w:val="22"/>
        </w:rPr>
      </w:pPr>
      <w:bookmarkStart w:id="149" w:name="_Toc14985"/>
      <w:bookmarkStart w:id="150" w:name="_Toc3549_WPSOffice_Level2"/>
      <w:bookmarkStart w:id="151" w:name="_Toc23247"/>
      <w:bookmarkStart w:id="152" w:name="_Toc16449_WPSOffice_Level2"/>
      <w:bookmarkStart w:id="153" w:name="_Toc31691"/>
      <w:bookmarkStart w:id="154" w:name="_Toc24488_WPSOffice_Level2"/>
      <w:bookmarkStart w:id="155" w:name="_Toc28395_WPSOffice_Level2"/>
      <w:bookmarkStart w:id="156" w:name="_Toc31384_WPSOffice_Level2"/>
      <w:r>
        <w:rPr>
          <w:rFonts w:hint="eastAsia" w:ascii="黑体" w:hAnsi="黑体" w:eastAsia="黑体" w:cs="黑体"/>
          <w:szCs w:val="22"/>
        </w:rPr>
        <w:t>5.1通用部分</w:t>
      </w:r>
      <w:bookmarkEnd w:id="149"/>
      <w:bookmarkEnd w:id="150"/>
      <w:bookmarkEnd w:id="151"/>
      <w:bookmarkEnd w:id="152"/>
      <w:bookmarkEnd w:id="153"/>
    </w:p>
    <w:p>
      <w:pPr>
        <w:adjustRightInd w:val="0"/>
        <w:snapToGrid w:val="0"/>
        <w:spacing w:line="360" w:lineRule="auto"/>
        <w:ind w:firstLine="560"/>
        <w:rPr>
          <w:rFonts w:hint="eastAsia" w:ascii="宋体" w:hAnsi="宋体" w:eastAsia="宋体" w:cs="宋体"/>
          <w:snapToGrid w:val="0"/>
          <w:szCs w:val="28"/>
        </w:rPr>
      </w:pPr>
      <w:bookmarkStart w:id="157" w:name="_Toc4301_WPSOffice_Level2"/>
      <w:bookmarkStart w:id="158" w:name="_Toc32587_WPSOffice_Level2"/>
      <w:bookmarkStart w:id="159" w:name="_Toc20088_WPSOffice_Level2"/>
      <w:bookmarkStart w:id="160" w:name="_Toc13385_WPSOffice_Level2"/>
      <w:r>
        <w:rPr>
          <w:rFonts w:hint="eastAsia" w:ascii="宋体" w:hAnsi="宋体" w:eastAsia="宋体" w:cs="宋体"/>
          <w:snapToGrid w:val="0"/>
          <w:szCs w:val="28"/>
        </w:rPr>
        <w:t>5.1.1严格按照适用标准和规范开展工作。</w:t>
      </w:r>
    </w:p>
    <w:p>
      <w:pPr>
        <w:adjustRightInd w:val="0"/>
        <w:snapToGrid w:val="0"/>
        <w:spacing w:line="360" w:lineRule="auto"/>
        <w:ind w:firstLine="560"/>
        <w:rPr>
          <w:rFonts w:hint="eastAsia" w:ascii="宋体" w:hAnsi="宋体" w:eastAsia="宋体" w:cs="宋体"/>
          <w:szCs w:val="28"/>
        </w:rPr>
      </w:pPr>
      <w:r>
        <w:rPr>
          <w:rFonts w:hint="eastAsia" w:ascii="宋体" w:hAnsi="宋体" w:eastAsia="宋体" w:cs="宋体"/>
          <w:snapToGrid w:val="0"/>
          <w:szCs w:val="28"/>
        </w:rPr>
        <w:t>5.1.2报价人应做好本项目实施过程资料的整理工作，符合采购人归档要求，并及时提供给采购人。</w:t>
      </w:r>
    </w:p>
    <w:p>
      <w:pPr>
        <w:adjustRightInd w:val="0"/>
        <w:snapToGrid w:val="0"/>
        <w:spacing w:line="360" w:lineRule="auto"/>
        <w:ind w:firstLine="560"/>
        <w:rPr>
          <w:rFonts w:hint="eastAsia" w:ascii="宋体" w:hAnsi="宋体" w:eastAsia="宋体" w:cs="黑体"/>
          <w:szCs w:val="22"/>
          <w:highlight w:val="yellow"/>
        </w:rPr>
      </w:pPr>
      <w:bookmarkStart w:id="161" w:name="_Toc6183"/>
      <w:bookmarkStart w:id="162" w:name="_Toc20461"/>
      <w:bookmarkStart w:id="163" w:name="_Toc3423"/>
      <w:r>
        <w:rPr>
          <w:rFonts w:hint="eastAsia" w:ascii="黑体" w:hAnsi="黑体" w:eastAsia="黑体" w:cs="黑体"/>
          <w:szCs w:val="22"/>
        </w:rPr>
        <w:t>5.2专用部分</w:t>
      </w:r>
      <w:bookmarkEnd w:id="157"/>
      <w:bookmarkEnd w:id="158"/>
      <w:bookmarkEnd w:id="159"/>
      <w:bookmarkEnd w:id="160"/>
      <w:bookmarkEnd w:id="161"/>
      <w:bookmarkEnd w:id="162"/>
      <w:bookmarkEnd w:id="163"/>
    </w:p>
    <w:bookmarkEnd w:id="154"/>
    <w:bookmarkEnd w:id="155"/>
    <w:bookmarkEnd w:id="156"/>
    <w:p>
      <w:pPr>
        <w:adjustRightInd w:val="0"/>
        <w:snapToGrid w:val="0"/>
        <w:spacing w:line="360" w:lineRule="auto"/>
        <w:ind w:firstLine="560"/>
        <w:rPr>
          <w:rFonts w:hint="eastAsia" w:ascii="宋体" w:hAnsi="宋体" w:eastAsia="宋体" w:cs="宋体"/>
          <w:szCs w:val="22"/>
        </w:rPr>
      </w:pPr>
      <w:bookmarkStart w:id="164" w:name="_Toc23347_WPSOffice_Level1"/>
      <w:bookmarkStart w:id="165" w:name="_Toc12116"/>
      <w:r>
        <w:rPr>
          <w:rFonts w:hint="eastAsia" w:ascii="宋体" w:hAnsi="宋体" w:eastAsia="宋体" w:cs="宋体"/>
          <w:szCs w:val="22"/>
        </w:rPr>
        <w:t>5.2.1依据</w:t>
      </w:r>
      <w:r>
        <w:rPr>
          <w:rFonts w:hint="eastAsia" w:ascii="宋体" w:hAnsi="宋体" w:eastAsia="宋体" w:cs="宋体"/>
          <w:sz w:val="28"/>
          <w:szCs w:val="28"/>
          <w:lang w:eastAsia="zh-CN"/>
        </w:rPr>
        <w:t>《非道路柴油移动机械排气烟度限值及测量方法》（</w:t>
      </w:r>
      <w:r>
        <w:rPr>
          <w:rFonts w:hint="eastAsia" w:ascii="宋体" w:hAnsi="宋体" w:eastAsia="宋体" w:cs="宋体"/>
          <w:sz w:val="28"/>
          <w:szCs w:val="28"/>
          <w:lang w:val="en-US" w:eastAsia="zh-CN"/>
        </w:rPr>
        <w:t>GB36886-2018</w:t>
      </w:r>
      <w:r>
        <w:rPr>
          <w:rFonts w:hint="eastAsia" w:ascii="宋体" w:hAnsi="宋体" w:eastAsia="宋体" w:cs="宋体"/>
          <w:sz w:val="28"/>
          <w:szCs w:val="28"/>
          <w:lang w:eastAsia="zh-CN"/>
        </w:rPr>
        <w:t>）</w:t>
      </w:r>
      <w:r>
        <w:rPr>
          <w:rFonts w:hint="eastAsia" w:ascii="宋体" w:hAnsi="宋体" w:eastAsia="宋体" w:cs="宋体"/>
          <w:szCs w:val="22"/>
        </w:rPr>
        <w:t>等要求制定</w:t>
      </w:r>
      <w:r>
        <w:rPr>
          <w:rFonts w:hint="eastAsia" w:ascii="宋体" w:hAnsi="宋体" w:eastAsia="宋体" w:cs="宋体"/>
          <w:szCs w:val="22"/>
          <w:lang w:val="en-US" w:eastAsia="zh-CN"/>
        </w:rPr>
        <w:t>检</w:t>
      </w:r>
      <w:r>
        <w:rPr>
          <w:rFonts w:hint="eastAsia" w:ascii="宋体" w:hAnsi="宋体" w:eastAsia="宋体" w:cs="宋体"/>
          <w:szCs w:val="22"/>
        </w:rPr>
        <w:t>测方案。</w:t>
      </w:r>
    </w:p>
    <w:p>
      <w:pPr>
        <w:adjustRightInd w:val="0"/>
        <w:snapToGrid w:val="0"/>
        <w:spacing w:line="360" w:lineRule="auto"/>
        <w:ind w:firstLine="560"/>
        <w:rPr>
          <w:rFonts w:hint="eastAsia" w:ascii="宋体" w:hAnsi="宋体" w:eastAsia="宋体" w:cs="宋体"/>
          <w:sz w:val="28"/>
          <w:szCs w:val="22"/>
          <w:highlight w:val="none"/>
        </w:rPr>
      </w:pPr>
      <w:r>
        <w:rPr>
          <w:rFonts w:hint="eastAsia" w:ascii="宋体" w:hAnsi="宋体" w:eastAsia="宋体" w:cs="宋体"/>
          <w:szCs w:val="22"/>
        </w:rPr>
        <w:t>5.2.</w:t>
      </w:r>
      <w:r>
        <w:rPr>
          <w:rFonts w:ascii="宋体" w:hAnsi="宋体" w:eastAsia="宋体" w:cs="宋体"/>
          <w:szCs w:val="22"/>
        </w:rPr>
        <w:t>2</w:t>
      </w:r>
      <w:r>
        <w:rPr>
          <w:rFonts w:hint="eastAsia" w:ascii="宋体" w:hAnsi="宋体" w:eastAsia="宋体" w:cs="宋体"/>
          <w:sz w:val="28"/>
          <w:szCs w:val="22"/>
          <w:highlight w:val="none"/>
        </w:rPr>
        <w:t>在遇有突发舆情和其他突发环境事件等</w:t>
      </w:r>
      <w:r>
        <w:rPr>
          <w:rFonts w:hint="eastAsia" w:ascii="宋体" w:hAnsi="宋体" w:eastAsia="宋体" w:cs="宋体"/>
          <w:sz w:val="28"/>
          <w:szCs w:val="22"/>
          <w:highlight w:val="none"/>
          <w:lang w:val="en-US" w:eastAsia="zh-CN"/>
        </w:rPr>
        <w:t>检</w:t>
      </w:r>
      <w:r>
        <w:rPr>
          <w:rFonts w:hint="eastAsia" w:ascii="宋体" w:hAnsi="宋体" w:eastAsia="宋体" w:cs="宋体"/>
          <w:sz w:val="28"/>
          <w:szCs w:val="22"/>
          <w:highlight w:val="none"/>
        </w:rPr>
        <w:t>测频次外监测服务，要求</w:t>
      </w:r>
      <w:r>
        <w:rPr>
          <w:rFonts w:hint="eastAsia" w:ascii="宋体" w:hAnsi="宋体" w:eastAsia="宋体" w:cs="宋体"/>
          <w:sz w:val="28"/>
          <w:szCs w:val="22"/>
          <w:highlight w:val="none"/>
          <w:lang w:val="en-US" w:eastAsia="zh-CN"/>
        </w:rPr>
        <w:t>24</w:t>
      </w:r>
      <w:r>
        <w:rPr>
          <w:rFonts w:hint="eastAsia" w:ascii="宋体" w:hAnsi="宋体" w:eastAsia="宋体" w:cs="宋体"/>
          <w:sz w:val="28"/>
          <w:szCs w:val="22"/>
          <w:highlight w:val="none"/>
        </w:rPr>
        <w:t>小时内到厂配合进行相关项目</w:t>
      </w:r>
      <w:r>
        <w:rPr>
          <w:rFonts w:hint="eastAsia" w:ascii="宋体" w:hAnsi="宋体" w:eastAsia="宋体" w:cs="宋体"/>
          <w:sz w:val="28"/>
          <w:szCs w:val="22"/>
          <w:highlight w:val="none"/>
          <w:lang w:val="en-US" w:eastAsia="zh-CN"/>
        </w:rPr>
        <w:t>检</w:t>
      </w:r>
      <w:r>
        <w:rPr>
          <w:rFonts w:hint="eastAsia" w:ascii="宋体" w:hAnsi="宋体" w:eastAsia="宋体" w:cs="宋体"/>
          <w:sz w:val="28"/>
          <w:szCs w:val="22"/>
          <w:highlight w:val="none"/>
        </w:rPr>
        <w:t>测，并于</w:t>
      </w:r>
      <w:r>
        <w:rPr>
          <w:rFonts w:hint="eastAsia" w:ascii="宋体" w:hAnsi="宋体" w:eastAsia="宋体" w:cs="宋体"/>
          <w:sz w:val="28"/>
          <w:szCs w:val="22"/>
          <w:highlight w:val="none"/>
          <w:lang w:val="en-US" w:eastAsia="zh-CN"/>
        </w:rPr>
        <w:t>3</w:t>
      </w:r>
      <w:r>
        <w:rPr>
          <w:rFonts w:hint="eastAsia" w:ascii="宋体" w:hAnsi="宋体" w:eastAsia="宋体" w:cs="宋体"/>
          <w:sz w:val="28"/>
          <w:szCs w:val="22"/>
          <w:highlight w:val="none"/>
        </w:rPr>
        <w:t>日内出具有效结论的</w:t>
      </w:r>
      <w:r>
        <w:rPr>
          <w:rFonts w:hint="eastAsia" w:ascii="宋体" w:hAnsi="宋体" w:eastAsia="宋体" w:cs="宋体"/>
          <w:sz w:val="28"/>
          <w:szCs w:val="22"/>
          <w:highlight w:val="none"/>
          <w:lang w:val="en-US" w:eastAsia="zh-CN"/>
        </w:rPr>
        <w:t>检</w:t>
      </w:r>
      <w:r>
        <w:rPr>
          <w:rFonts w:hint="eastAsia" w:ascii="宋体" w:hAnsi="宋体" w:eastAsia="宋体" w:cs="宋体"/>
          <w:sz w:val="28"/>
          <w:szCs w:val="22"/>
          <w:highlight w:val="none"/>
        </w:rPr>
        <w:t>测报告，并提出改进建议。</w:t>
      </w:r>
    </w:p>
    <w:p>
      <w:pPr>
        <w:pStyle w:val="2"/>
        <w:rPr>
          <w:rFonts w:hint="default" w:eastAsia="宋体"/>
          <w:lang w:val="en-US" w:eastAsia="zh-CN"/>
        </w:rPr>
      </w:pPr>
      <w:r>
        <w:rPr>
          <w:rFonts w:hint="eastAsia" w:ascii="宋体" w:hAnsi="宋体" w:cs="宋体"/>
          <w:sz w:val="28"/>
          <w:szCs w:val="22"/>
          <w:highlight w:val="none"/>
          <w:lang w:val="en-US" w:eastAsia="zh-CN"/>
        </w:rPr>
        <w:t xml:space="preserve">    5.2.3 新购车辆，报价人需进行尾气检测和环保牌照办理，价格包含在该项目中</w:t>
      </w:r>
      <w:bookmarkStart w:id="259" w:name="_GoBack"/>
      <w:bookmarkEnd w:id="259"/>
      <w:r>
        <w:rPr>
          <w:rFonts w:hint="eastAsia" w:ascii="宋体" w:hAnsi="宋体" w:cs="宋体"/>
          <w:sz w:val="28"/>
          <w:szCs w:val="22"/>
          <w:highlight w:val="none"/>
          <w:lang w:val="en-US" w:eastAsia="zh-CN"/>
        </w:rPr>
        <w:t>。</w:t>
      </w:r>
    </w:p>
    <w:p>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5.2.4后附非道路柴油移动机械台账。</w:t>
      </w:r>
    </w:p>
    <w:p>
      <w:pPr>
        <w:ind w:left="0" w:leftChars="0" w:firstLine="0" w:firstLineChars="0"/>
        <w:jc w:val="center"/>
        <w:rPr>
          <w:rFonts w:hint="eastAsia" w:ascii="宋体" w:hAnsi="宋体" w:eastAsia="宋体" w:cs="宋体"/>
          <w:sz w:val="21"/>
          <w:szCs w:val="21"/>
          <w:lang w:val="en-US" w:eastAsia="zh-CN"/>
        </w:rPr>
      </w:pPr>
      <w:bookmarkStart w:id="166" w:name="_Toc24154_WPSOffice_Level1"/>
      <w:r>
        <w:rPr>
          <w:rFonts w:hint="eastAsia" w:ascii="宋体" w:hAnsi="宋体" w:eastAsia="宋体" w:cs="宋体"/>
          <w:sz w:val="21"/>
          <w:szCs w:val="21"/>
        </w:rPr>
        <w:t>表</w:t>
      </w:r>
      <w:r>
        <w:rPr>
          <w:rFonts w:hint="eastAsia" w:ascii="宋体" w:hAnsi="宋体" w:eastAsia="宋体" w:cs="宋体"/>
          <w:sz w:val="21"/>
          <w:szCs w:val="21"/>
          <w:lang w:val="en-US" w:eastAsia="zh-CN"/>
        </w:rPr>
        <w:t>2非道路移动机械台账</w:t>
      </w:r>
    </w:p>
    <w:tbl>
      <w:tblPr>
        <w:tblStyle w:val="6"/>
        <w:tblW w:w="87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143"/>
        <w:gridCol w:w="1309"/>
        <w:gridCol w:w="1663"/>
        <w:gridCol w:w="1746"/>
        <w:gridCol w:w="1176"/>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143"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厂内编号</w:t>
            </w:r>
          </w:p>
        </w:tc>
        <w:tc>
          <w:tcPr>
            <w:tcW w:w="1309"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1663"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车型</w:t>
            </w:r>
          </w:p>
        </w:tc>
        <w:tc>
          <w:tcPr>
            <w:tcW w:w="1746"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制造厂家</w:t>
            </w:r>
          </w:p>
        </w:tc>
        <w:tc>
          <w:tcPr>
            <w:tcW w:w="1176"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排放标准</w:t>
            </w:r>
          </w:p>
        </w:tc>
        <w:tc>
          <w:tcPr>
            <w:tcW w:w="1074" w:type="dxa"/>
            <w:tcBorders>
              <w:top w:val="single" w:color="000000" w:sz="4" w:space="0"/>
              <w:left w:val="single" w:color="000000" w:sz="4" w:space="0"/>
              <w:bottom w:val="single" w:color="000000" w:sz="4" w:space="0"/>
              <w:right w:val="single" w:color="000000" w:sz="4" w:space="0"/>
            </w:tcBorders>
            <w:shd w:val="clear" w:color="auto" w:fill="BFBFBF"/>
            <w:noWrap/>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投产时间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港F101</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港F102</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港F103</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港F104</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港F105</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港F106</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L260H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港F110</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L955H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港F111</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装载机</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L180H</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瑞典沃尔沃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港F201</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XZJ5328JQZ25K</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港F202</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XZJ5485JQZ75K</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国5</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港F203</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XZJ5432JQZ70K</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港F205</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XZJ5550JQZ130K</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港F212</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XZJ5335JQZ25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国5</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2017.09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港F213</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XZJ5465JQZ75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国5</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2017.09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购置中</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130T吊车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国6</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购置中</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90T吊车</w:t>
            </w:r>
          </w:p>
        </w:tc>
        <w:tc>
          <w:tcPr>
            <w:tcW w:w="1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2"/>
                <w:szCs w:val="22"/>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国6</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港F204</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合力16T叉车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CPCD160-YC1-06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港F206</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8.5T叉车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CPCD85-YCG</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港F207</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三一16T叉车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SCP160C2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三一</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国3</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港F210</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58米高空车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XGS58K</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港F214</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14米高空车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XGS5064JGKJ6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国6</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港F208</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500kW</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HDX5251TDY</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海德馨</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国4</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港F209</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500kW</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CLW5180XDYD6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程力</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国6</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港F301</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40T板车</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DFH4250D3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国6</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2020.10</w:t>
            </w:r>
          </w:p>
        </w:tc>
      </w:tr>
    </w:tbl>
    <w:p>
      <w:pPr>
        <w:pStyle w:val="2"/>
        <w:rPr>
          <w:rFonts w:hint="default"/>
          <w:lang w:val="en-US" w:eastAsia="zh-CN"/>
        </w:rPr>
      </w:pPr>
    </w:p>
    <w:p>
      <w:pPr>
        <w:pStyle w:val="3"/>
        <w:numPr>
          <w:ilvl w:val="0"/>
          <w:numId w:val="0"/>
        </w:numPr>
        <w:adjustRightInd w:val="0"/>
        <w:snapToGrid w:val="0"/>
        <w:spacing w:before="0" w:after="0" w:line="360" w:lineRule="auto"/>
        <w:jc w:val="both"/>
        <w:rPr>
          <w:rFonts w:hint="eastAsia" w:ascii="黑体" w:hAnsi="黑体" w:eastAsia="黑体" w:cs="黑体"/>
          <w:b w:val="0"/>
          <w:bCs w:val="0"/>
          <w:sz w:val="28"/>
          <w:szCs w:val="28"/>
          <w:lang w:val="en-US" w:eastAsia="zh-CN"/>
        </w:rPr>
      </w:pPr>
      <w:bookmarkStart w:id="167" w:name="_Toc32119"/>
      <w:bookmarkStart w:id="168" w:name="_Toc19974"/>
      <w:bookmarkStart w:id="169" w:name="_Toc13708"/>
      <w:bookmarkStart w:id="170" w:name="_Toc1389"/>
      <w:bookmarkStart w:id="171" w:name="_Toc3671_WPSOffice_Level1"/>
      <w:bookmarkStart w:id="172" w:name="_Toc12563"/>
      <w:bookmarkStart w:id="173" w:name="_Toc27348"/>
      <w:bookmarkStart w:id="174" w:name="_Toc11720_WPSOffice_Level1"/>
      <w:bookmarkStart w:id="175" w:name="_Toc7162"/>
      <w:r>
        <w:rPr>
          <w:rFonts w:hint="eastAsia" w:ascii="黑体" w:hAnsi="黑体" w:eastAsia="黑体" w:cs="黑体"/>
          <w:b w:val="0"/>
          <w:bCs w:val="0"/>
          <w:sz w:val="28"/>
          <w:szCs w:val="28"/>
          <w:lang w:val="en-US" w:eastAsia="zh-CN"/>
        </w:rPr>
        <w:t>5.3 报价表</w:t>
      </w:r>
    </w:p>
    <w:p>
      <w:pPr>
        <w:adjustRightInd w:val="0"/>
        <w:snapToGrid w:val="0"/>
        <w:spacing w:line="360" w:lineRule="auto"/>
        <w:ind w:firstLine="560"/>
        <w:rPr>
          <w:rFonts w:hint="default" w:ascii="宋体" w:hAnsi="宋体" w:eastAsia="宋体" w:cs="黑体"/>
          <w:szCs w:val="22"/>
          <w:lang w:val="en-US" w:eastAsia="zh-CN"/>
        </w:rPr>
      </w:pPr>
      <w:r>
        <w:rPr>
          <w:rFonts w:hint="eastAsia" w:ascii="宋体" w:hAnsi="宋体" w:eastAsia="宋体" w:cs="黑体"/>
          <w:szCs w:val="22"/>
          <w:lang w:val="en-US" w:eastAsia="zh-CN"/>
        </w:rPr>
        <w:t>5.3.1.国能黄骅港务公司非道路移动机械报价表。</w:t>
      </w:r>
    </w:p>
    <w:p>
      <w:pPr>
        <w:ind w:left="0" w:leftChars="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表3 报价表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2392"/>
        <w:gridCol w:w="1042"/>
        <w:gridCol w:w="1891"/>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91" w:type="dxa"/>
            <w:noWrap w:val="0"/>
            <w:vAlign w:val="center"/>
          </w:tcPr>
          <w:p>
            <w:pPr>
              <w:pStyle w:val="2"/>
              <w:jc w:val="center"/>
              <w:rPr>
                <w:rFonts w:hint="default"/>
                <w:vertAlign w:val="baseline"/>
                <w:lang w:val="en-US" w:eastAsia="zh-CN"/>
              </w:rPr>
            </w:pPr>
            <w:r>
              <w:rPr>
                <w:rFonts w:hint="eastAsia"/>
                <w:vertAlign w:val="baseline"/>
                <w:lang w:val="en-US" w:eastAsia="zh-CN"/>
              </w:rPr>
              <w:t>序号</w:t>
            </w:r>
          </w:p>
        </w:tc>
        <w:tc>
          <w:tcPr>
            <w:tcW w:w="2392" w:type="dxa"/>
            <w:noWrap w:val="0"/>
            <w:vAlign w:val="center"/>
          </w:tcPr>
          <w:p>
            <w:pPr>
              <w:pStyle w:val="2"/>
              <w:jc w:val="center"/>
              <w:rPr>
                <w:rFonts w:hint="default"/>
                <w:vertAlign w:val="baseline"/>
                <w:lang w:val="en-US" w:eastAsia="zh-CN"/>
              </w:rPr>
            </w:pPr>
            <w:r>
              <w:rPr>
                <w:rFonts w:hint="eastAsia"/>
                <w:vertAlign w:val="baseline"/>
                <w:lang w:val="en-US" w:eastAsia="zh-CN"/>
              </w:rPr>
              <w:t>名称</w:t>
            </w:r>
          </w:p>
        </w:tc>
        <w:tc>
          <w:tcPr>
            <w:tcW w:w="1042" w:type="dxa"/>
            <w:noWrap w:val="0"/>
            <w:vAlign w:val="center"/>
          </w:tcPr>
          <w:p>
            <w:pPr>
              <w:pStyle w:val="2"/>
              <w:jc w:val="center"/>
              <w:rPr>
                <w:rFonts w:hint="default"/>
                <w:vertAlign w:val="baseline"/>
                <w:lang w:val="en-US" w:eastAsia="zh-CN"/>
              </w:rPr>
            </w:pPr>
            <w:r>
              <w:rPr>
                <w:rFonts w:hint="eastAsia"/>
                <w:vertAlign w:val="baseline"/>
                <w:lang w:val="en-US" w:eastAsia="zh-CN"/>
              </w:rPr>
              <w:t>单位</w:t>
            </w:r>
          </w:p>
        </w:tc>
        <w:tc>
          <w:tcPr>
            <w:tcW w:w="1891" w:type="dxa"/>
            <w:noWrap w:val="0"/>
            <w:vAlign w:val="center"/>
          </w:tcPr>
          <w:p>
            <w:pPr>
              <w:pStyle w:val="2"/>
              <w:jc w:val="center"/>
              <w:rPr>
                <w:rFonts w:hint="default"/>
                <w:vertAlign w:val="baseline"/>
                <w:lang w:val="en-US" w:eastAsia="zh-CN"/>
              </w:rPr>
            </w:pPr>
            <w:r>
              <w:rPr>
                <w:rFonts w:hint="eastAsia"/>
                <w:vertAlign w:val="baseline"/>
                <w:lang w:val="en-US" w:eastAsia="zh-CN"/>
              </w:rPr>
              <w:t>数量</w:t>
            </w:r>
          </w:p>
        </w:tc>
        <w:tc>
          <w:tcPr>
            <w:tcW w:w="1817" w:type="dxa"/>
            <w:noWrap w:val="0"/>
            <w:vAlign w:val="center"/>
          </w:tcPr>
          <w:p>
            <w:pPr>
              <w:pStyle w:val="2"/>
              <w:jc w:val="center"/>
              <w:rPr>
                <w:rFonts w:hint="default"/>
                <w:vertAlign w:val="baseline"/>
                <w:lang w:val="en-US" w:eastAsia="zh-CN"/>
              </w:rPr>
            </w:pPr>
            <w:r>
              <w:rPr>
                <w:rFonts w:hint="eastAsia"/>
                <w:vertAlign w:val="baseline"/>
                <w:lang w:val="en-US" w:eastAsia="zh-CN"/>
              </w:rPr>
              <w:t>合价（万元）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891" w:type="dxa"/>
            <w:noWrap w:val="0"/>
            <w:vAlign w:val="center"/>
          </w:tcPr>
          <w:p>
            <w:pPr>
              <w:pStyle w:val="2"/>
              <w:jc w:val="center"/>
              <w:rPr>
                <w:rFonts w:hint="default"/>
                <w:vertAlign w:val="baseline"/>
                <w:lang w:val="en-US" w:eastAsia="zh-CN"/>
              </w:rPr>
            </w:pPr>
            <w:r>
              <w:rPr>
                <w:rFonts w:hint="eastAsia"/>
                <w:vertAlign w:val="baseline"/>
                <w:lang w:val="en-US" w:eastAsia="zh-CN"/>
              </w:rPr>
              <w:t>1</w:t>
            </w:r>
          </w:p>
        </w:tc>
        <w:tc>
          <w:tcPr>
            <w:tcW w:w="2392" w:type="dxa"/>
            <w:noWrap w:val="0"/>
            <w:vAlign w:val="center"/>
          </w:tcPr>
          <w:p>
            <w:pPr>
              <w:pStyle w:val="2"/>
              <w:jc w:val="center"/>
              <w:rPr>
                <w:rFonts w:hint="default"/>
                <w:vertAlign w:val="baseline"/>
                <w:lang w:val="en-US" w:eastAsia="zh-CN"/>
              </w:rPr>
            </w:pPr>
            <w:r>
              <w:rPr>
                <w:rFonts w:hint="eastAsia"/>
                <w:vertAlign w:val="baseline"/>
                <w:lang w:val="en-US" w:eastAsia="zh-CN"/>
              </w:rPr>
              <w:t>非道路移动机械</w:t>
            </w:r>
          </w:p>
        </w:tc>
        <w:tc>
          <w:tcPr>
            <w:tcW w:w="1042" w:type="dxa"/>
            <w:noWrap w:val="0"/>
            <w:vAlign w:val="center"/>
          </w:tcPr>
          <w:p>
            <w:pPr>
              <w:pStyle w:val="2"/>
              <w:jc w:val="center"/>
              <w:rPr>
                <w:rFonts w:hint="default"/>
                <w:vertAlign w:val="baseline"/>
                <w:lang w:val="en-US" w:eastAsia="zh-CN"/>
              </w:rPr>
            </w:pPr>
            <w:r>
              <w:rPr>
                <w:rFonts w:hint="eastAsia"/>
                <w:vertAlign w:val="baseline"/>
                <w:lang w:val="en-US" w:eastAsia="zh-CN"/>
              </w:rPr>
              <w:t>辆</w:t>
            </w:r>
          </w:p>
        </w:tc>
        <w:tc>
          <w:tcPr>
            <w:tcW w:w="1891" w:type="dxa"/>
            <w:noWrap w:val="0"/>
            <w:vAlign w:val="center"/>
          </w:tcPr>
          <w:p>
            <w:pPr>
              <w:pStyle w:val="2"/>
              <w:jc w:val="center"/>
              <w:rPr>
                <w:rFonts w:hint="default"/>
                <w:vertAlign w:val="baseline"/>
                <w:lang w:val="en-US" w:eastAsia="zh-CN"/>
              </w:rPr>
            </w:pPr>
            <w:r>
              <w:rPr>
                <w:rFonts w:hint="eastAsia"/>
                <w:vertAlign w:val="baseline"/>
                <w:lang w:val="en-US" w:eastAsia="zh-CN"/>
              </w:rPr>
              <w:t>24</w:t>
            </w:r>
          </w:p>
        </w:tc>
        <w:tc>
          <w:tcPr>
            <w:tcW w:w="1817" w:type="dxa"/>
            <w:noWrap w:val="0"/>
            <w:vAlign w:val="center"/>
          </w:tcPr>
          <w:p>
            <w:pPr>
              <w:pStyle w:val="2"/>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3283" w:type="dxa"/>
            <w:gridSpan w:val="2"/>
            <w:noWrap w:val="0"/>
            <w:vAlign w:val="center"/>
          </w:tcPr>
          <w:p>
            <w:pPr>
              <w:pStyle w:val="2"/>
              <w:jc w:val="center"/>
              <w:rPr>
                <w:rFonts w:hint="default"/>
                <w:vertAlign w:val="baseline"/>
                <w:lang w:val="en-US" w:eastAsia="zh-CN"/>
              </w:rPr>
            </w:pPr>
            <w:r>
              <w:rPr>
                <w:rFonts w:hint="eastAsia"/>
                <w:vertAlign w:val="baseline"/>
                <w:lang w:val="en-US" w:eastAsia="zh-CN"/>
              </w:rPr>
              <w:t>合计</w:t>
            </w:r>
          </w:p>
        </w:tc>
        <w:tc>
          <w:tcPr>
            <w:tcW w:w="1042" w:type="dxa"/>
            <w:noWrap w:val="0"/>
            <w:vAlign w:val="center"/>
          </w:tcPr>
          <w:p>
            <w:pPr>
              <w:pStyle w:val="2"/>
              <w:jc w:val="center"/>
              <w:rPr>
                <w:rFonts w:hint="default"/>
                <w:vertAlign w:val="baseline"/>
                <w:lang w:val="en-US" w:eastAsia="zh-CN"/>
              </w:rPr>
            </w:pPr>
          </w:p>
        </w:tc>
        <w:tc>
          <w:tcPr>
            <w:tcW w:w="1891" w:type="dxa"/>
            <w:noWrap w:val="0"/>
            <w:vAlign w:val="center"/>
          </w:tcPr>
          <w:p>
            <w:pPr>
              <w:pStyle w:val="2"/>
              <w:jc w:val="center"/>
              <w:rPr>
                <w:rFonts w:hint="default"/>
                <w:vertAlign w:val="baseline"/>
                <w:lang w:val="en-US" w:eastAsia="zh-CN"/>
              </w:rPr>
            </w:pPr>
          </w:p>
        </w:tc>
        <w:tc>
          <w:tcPr>
            <w:tcW w:w="1817" w:type="dxa"/>
            <w:noWrap w:val="0"/>
            <w:vAlign w:val="center"/>
          </w:tcPr>
          <w:p>
            <w:pPr>
              <w:pStyle w:val="2"/>
              <w:jc w:val="center"/>
              <w:rPr>
                <w:rFonts w:hint="default"/>
                <w:vertAlign w:val="baseline"/>
                <w:lang w:val="en-US" w:eastAsia="zh-CN"/>
              </w:rPr>
            </w:pPr>
          </w:p>
        </w:tc>
      </w:tr>
    </w:tbl>
    <w:p>
      <w:pPr>
        <w:pStyle w:val="2"/>
        <w:rPr>
          <w:rFonts w:hint="default"/>
          <w:lang w:val="en-US" w:eastAsia="zh-CN"/>
        </w:rPr>
      </w:pPr>
    </w:p>
    <w:p>
      <w:pPr>
        <w:pStyle w:val="3"/>
        <w:numPr>
          <w:ilvl w:val="0"/>
          <w:numId w:val="0"/>
        </w:numPr>
        <w:adjustRightInd w:val="0"/>
        <w:snapToGrid w:val="0"/>
        <w:spacing w:before="0" w:after="0" w:line="360" w:lineRule="auto"/>
        <w:jc w:val="center"/>
        <w:rPr>
          <w:rFonts w:hint="eastAsia" w:ascii="黑体" w:hAnsi="黑体" w:eastAsia="黑体" w:cs="黑体"/>
          <w:b w:val="0"/>
          <w:bCs w:val="0"/>
          <w:sz w:val="28"/>
          <w:szCs w:val="28"/>
          <w:lang w:eastAsia="zh-CN"/>
        </w:rPr>
      </w:pPr>
    </w:p>
    <w:p>
      <w:pPr>
        <w:pStyle w:val="3"/>
        <w:numPr>
          <w:ilvl w:val="0"/>
          <w:numId w:val="0"/>
        </w:numPr>
        <w:adjustRightInd w:val="0"/>
        <w:snapToGrid w:val="0"/>
        <w:spacing w:before="0" w:after="0" w:line="360" w:lineRule="auto"/>
        <w:jc w:val="center"/>
        <w:rPr>
          <w:rFonts w:hint="eastAsia" w:ascii="黑体" w:hAnsi="黑体" w:eastAsia="黑体" w:cs="黑体"/>
          <w:b w:val="0"/>
          <w:bCs w:val="0"/>
          <w:sz w:val="28"/>
          <w:szCs w:val="28"/>
        </w:rPr>
      </w:pPr>
      <w:r>
        <w:rPr>
          <w:rFonts w:hint="eastAsia" w:ascii="黑体" w:hAnsi="黑体" w:eastAsia="黑体" w:cs="黑体"/>
          <w:b w:val="0"/>
          <w:bCs w:val="0"/>
          <w:sz w:val="28"/>
          <w:szCs w:val="28"/>
          <w:lang w:eastAsia="zh-CN"/>
        </w:rPr>
        <w:t>第六章</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项目组织与管理</w:t>
      </w:r>
      <w:bookmarkEnd w:id="164"/>
      <w:bookmarkEnd w:id="165"/>
      <w:bookmarkEnd w:id="166"/>
      <w:bookmarkEnd w:id="167"/>
      <w:bookmarkEnd w:id="168"/>
      <w:bookmarkEnd w:id="169"/>
      <w:bookmarkEnd w:id="170"/>
      <w:bookmarkEnd w:id="171"/>
      <w:bookmarkEnd w:id="172"/>
      <w:bookmarkEnd w:id="173"/>
      <w:bookmarkEnd w:id="174"/>
      <w:bookmarkEnd w:id="175"/>
    </w:p>
    <w:p>
      <w:pPr>
        <w:adjustRightInd w:val="0"/>
        <w:snapToGrid w:val="0"/>
        <w:spacing w:line="360" w:lineRule="auto"/>
        <w:ind w:left="0" w:leftChars="0" w:firstLine="560" w:firstLineChars="200"/>
        <w:rPr>
          <w:rFonts w:hint="eastAsia" w:ascii="黑体" w:hAnsi="黑体" w:eastAsia="黑体" w:cs="黑体"/>
          <w:szCs w:val="22"/>
        </w:rPr>
      </w:pPr>
      <w:bookmarkStart w:id="176" w:name="_Toc4115"/>
      <w:bookmarkStart w:id="177" w:name="_Toc1950"/>
      <w:bookmarkStart w:id="178" w:name="_Toc15839"/>
      <w:bookmarkStart w:id="179" w:name="_Toc32567"/>
      <w:bookmarkStart w:id="180" w:name="_Toc10738"/>
      <w:bookmarkStart w:id="181" w:name="_Toc29304_WPSOffice_Level2"/>
      <w:bookmarkStart w:id="182" w:name="_Toc7759_WPSOffice_Level2"/>
      <w:bookmarkStart w:id="183" w:name="_Toc25229"/>
      <w:bookmarkStart w:id="184" w:name="_Toc32761"/>
      <w:bookmarkStart w:id="185" w:name="_Toc21463_WPSOffice_Level2"/>
      <w:bookmarkStart w:id="186" w:name="_Toc10588_WPSOffice_Level2"/>
      <w:r>
        <w:rPr>
          <w:rFonts w:hint="eastAsia" w:ascii="黑体" w:hAnsi="黑体" w:eastAsia="黑体" w:cs="黑体"/>
          <w:szCs w:val="22"/>
        </w:rPr>
        <w:t>6.1人员配置及组织</w:t>
      </w:r>
      <w:bookmarkEnd w:id="176"/>
      <w:bookmarkEnd w:id="177"/>
      <w:bookmarkEnd w:id="178"/>
      <w:bookmarkEnd w:id="179"/>
      <w:bookmarkEnd w:id="180"/>
      <w:bookmarkEnd w:id="181"/>
      <w:bookmarkEnd w:id="182"/>
      <w:bookmarkEnd w:id="183"/>
      <w:bookmarkEnd w:id="184"/>
      <w:bookmarkEnd w:id="185"/>
      <w:bookmarkEnd w:id="186"/>
    </w:p>
    <w:p>
      <w:p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6.1.1通用部分</w:t>
      </w:r>
    </w:p>
    <w:p>
      <w:pPr>
        <w:numPr>
          <w:ilvl w:val="0"/>
          <w:numId w:val="4"/>
        </w:numPr>
        <w:adjustRightInd w:val="0"/>
        <w:snapToGrid w:val="0"/>
        <w:spacing w:line="360" w:lineRule="auto"/>
        <w:ind w:left="280" w:leftChars="0" w:firstLine="560" w:firstLineChars="0"/>
        <w:rPr>
          <w:rFonts w:hint="eastAsia" w:ascii="宋体" w:hAnsi="宋体" w:eastAsia="宋体" w:cs="宋体"/>
          <w:szCs w:val="22"/>
        </w:rPr>
      </w:pPr>
      <w:r>
        <w:rPr>
          <w:rFonts w:hint="eastAsia" w:ascii="宋体" w:hAnsi="宋体" w:eastAsia="宋体" w:cs="宋体"/>
          <w:szCs w:val="22"/>
        </w:rPr>
        <w:t>报价人应按采购文件的要求配置数量足够、专业齐全、结构合理的服务团队进行工作。其中须指定人员作为本服务项目团队的负责人。</w:t>
      </w:r>
    </w:p>
    <w:p>
      <w:pPr>
        <w:numPr>
          <w:ilvl w:val="0"/>
          <w:numId w:val="4"/>
        </w:numPr>
        <w:adjustRightInd w:val="0"/>
        <w:snapToGrid w:val="0"/>
        <w:spacing w:line="360" w:lineRule="auto"/>
        <w:ind w:left="280" w:leftChars="0" w:firstLine="560" w:firstLineChars="0"/>
        <w:rPr>
          <w:rFonts w:ascii="宋体" w:hAnsi="宋体" w:eastAsia="宋体" w:cs="宋体"/>
          <w:szCs w:val="22"/>
        </w:rPr>
      </w:pPr>
      <w:r>
        <w:rPr>
          <w:rFonts w:hint="eastAsia" w:ascii="宋体" w:hAnsi="宋体" w:eastAsia="宋体" w:cs="宋体"/>
          <w:szCs w:val="22"/>
        </w:rPr>
        <w:t>报价人的工作人员应具有与本项目技术要求相适应的技术水平、管理水平和相应资质。</w:t>
      </w:r>
    </w:p>
    <w:p>
      <w:pPr>
        <w:numPr>
          <w:ilvl w:val="0"/>
          <w:numId w:val="4"/>
        </w:numPr>
        <w:adjustRightInd w:val="0"/>
        <w:snapToGrid w:val="0"/>
        <w:spacing w:line="360" w:lineRule="auto"/>
        <w:ind w:left="280" w:leftChars="0" w:firstLine="560" w:firstLineChars="0"/>
        <w:rPr>
          <w:rFonts w:hint="eastAsia" w:ascii="宋体" w:hAnsi="宋体" w:eastAsia="宋体" w:cs="宋体"/>
          <w:szCs w:val="22"/>
        </w:rPr>
      </w:pPr>
      <w:r>
        <w:rPr>
          <w:rFonts w:hint="eastAsia" w:ascii="宋体" w:hAnsi="宋体" w:eastAsia="宋体" w:cs="宋体"/>
          <w:szCs w:val="22"/>
        </w:rPr>
        <w:t>除非采购人书面同意，报价人不得更换工作人员。如需更换，应以同等或更高条件的人员取代需更换的人员。</w:t>
      </w:r>
    </w:p>
    <w:p>
      <w:pPr>
        <w:numPr>
          <w:ilvl w:val="0"/>
          <w:numId w:val="4"/>
        </w:numPr>
        <w:adjustRightInd w:val="0"/>
        <w:snapToGrid w:val="0"/>
        <w:spacing w:line="360" w:lineRule="auto"/>
        <w:ind w:left="280" w:leftChars="0" w:firstLine="560" w:firstLineChars="0"/>
        <w:rPr>
          <w:rFonts w:ascii="宋体" w:hAnsi="宋体" w:eastAsia="宋体" w:cs="宋体"/>
          <w:szCs w:val="22"/>
        </w:rPr>
      </w:pPr>
      <w:r>
        <w:rPr>
          <w:rFonts w:hint="eastAsia" w:ascii="宋体" w:hAnsi="宋体" w:eastAsia="宋体" w:cs="宋体"/>
          <w:szCs w:val="22"/>
        </w:rPr>
        <w:t>当采购人有合理理由认为任何工作人员不符合本项目要求时，采购人有权要求报价人更换，报价人应无条件执行。</w:t>
      </w:r>
    </w:p>
    <w:p>
      <w:pPr>
        <w:numPr>
          <w:ilvl w:val="0"/>
          <w:numId w:val="4"/>
        </w:numPr>
        <w:adjustRightInd w:val="0"/>
        <w:snapToGrid w:val="0"/>
        <w:spacing w:line="360" w:lineRule="auto"/>
        <w:ind w:left="280" w:leftChars="0" w:firstLine="560" w:firstLineChars="0"/>
        <w:rPr>
          <w:rFonts w:ascii="宋体" w:hAnsi="宋体" w:eastAsia="宋体" w:cs="宋体"/>
          <w:szCs w:val="22"/>
        </w:rPr>
      </w:pPr>
      <w:r>
        <w:rPr>
          <w:rFonts w:hint="eastAsia" w:ascii="宋体" w:hAnsi="宋体" w:eastAsia="宋体" w:cs="宋体"/>
          <w:szCs w:val="22"/>
        </w:rPr>
        <w:t>报价人须按商务文件“人员配备表”格式提供人员情况。</w:t>
      </w:r>
    </w:p>
    <w:p>
      <w:p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6.1.2专用部分</w:t>
      </w:r>
    </w:p>
    <w:p>
      <w:pPr>
        <w:numPr>
          <w:ilvl w:val="0"/>
          <w:numId w:val="5"/>
        </w:numPr>
        <w:adjustRightInd w:val="0"/>
        <w:snapToGrid w:val="0"/>
        <w:spacing w:line="360" w:lineRule="auto"/>
        <w:ind w:firstLine="560"/>
        <w:jc w:val="both"/>
        <w:rPr>
          <w:rFonts w:hint="eastAsia" w:ascii="宋体" w:hAnsi="宋体" w:eastAsia="宋体" w:cs="宋体"/>
          <w:color w:val="000000"/>
          <w:sz w:val="28"/>
          <w:szCs w:val="22"/>
          <w:highlight w:val="none"/>
        </w:rPr>
      </w:pPr>
      <w:r>
        <w:rPr>
          <w:rFonts w:hint="eastAsia" w:ascii="宋体" w:hAnsi="宋体" w:eastAsia="宋体" w:cs="宋体"/>
          <w:color w:val="000000"/>
          <w:sz w:val="28"/>
          <w:szCs w:val="22"/>
          <w:highlight w:val="none"/>
        </w:rPr>
        <w:t>现场检测人员应满足检测需要不少于</w:t>
      </w:r>
      <w:r>
        <w:rPr>
          <w:rFonts w:hint="eastAsia" w:ascii="宋体" w:hAnsi="宋体" w:eastAsia="宋体" w:cs="宋体"/>
          <w:color w:val="000000"/>
          <w:sz w:val="28"/>
          <w:szCs w:val="22"/>
          <w:highlight w:val="none"/>
          <w:lang w:val="en-US" w:eastAsia="zh-CN"/>
        </w:rPr>
        <w:t>2</w:t>
      </w:r>
      <w:r>
        <w:rPr>
          <w:rFonts w:hint="eastAsia" w:ascii="宋体" w:hAnsi="宋体" w:eastAsia="宋体" w:cs="宋体"/>
          <w:color w:val="000000"/>
          <w:sz w:val="28"/>
          <w:szCs w:val="22"/>
          <w:highlight w:val="none"/>
        </w:rPr>
        <w:t>人。</w:t>
      </w:r>
    </w:p>
    <w:p>
      <w:pPr>
        <w:numPr>
          <w:ilvl w:val="0"/>
          <w:numId w:val="5"/>
        </w:numPr>
        <w:adjustRightInd w:val="0"/>
        <w:snapToGrid w:val="0"/>
        <w:spacing w:line="360" w:lineRule="auto"/>
        <w:ind w:firstLine="560"/>
        <w:jc w:val="both"/>
        <w:rPr>
          <w:rFonts w:hint="eastAsia" w:ascii="宋体" w:hAnsi="宋体" w:eastAsia="宋体" w:cs="宋体"/>
          <w:color w:val="000000"/>
          <w:sz w:val="28"/>
          <w:szCs w:val="22"/>
          <w:highlight w:val="none"/>
        </w:rPr>
      </w:pPr>
      <w:r>
        <w:rPr>
          <w:rFonts w:hint="eastAsia" w:ascii="宋体" w:hAnsi="宋体" w:eastAsia="宋体" w:cs="宋体"/>
          <w:color w:val="000000"/>
          <w:sz w:val="28"/>
          <w:szCs w:val="22"/>
          <w:highlight w:val="none"/>
        </w:rPr>
        <w:t>现场检测人员必须</w:t>
      </w:r>
      <w:r>
        <w:rPr>
          <w:rFonts w:hint="eastAsia" w:ascii="宋体" w:hAnsi="宋体" w:eastAsia="宋体" w:cs="宋体"/>
          <w:color w:val="000000"/>
          <w:sz w:val="28"/>
          <w:szCs w:val="22"/>
          <w:highlight w:val="none"/>
          <w:lang w:val="en-US" w:eastAsia="zh-CN"/>
        </w:rPr>
        <w:t>接受过</w:t>
      </w:r>
      <w:r>
        <w:rPr>
          <w:rFonts w:hint="eastAsia" w:ascii="宋体" w:hAnsi="宋体" w:eastAsia="宋体" w:cs="宋体"/>
          <w:color w:val="000000"/>
          <w:sz w:val="28"/>
          <w:szCs w:val="22"/>
          <w:highlight w:val="none"/>
        </w:rPr>
        <w:t>安全教育，所有</w:t>
      </w:r>
      <w:r>
        <w:rPr>
          <w:rFonts w:hint="eastAsia" w:ascii="宋体" w:hAnsi="宋体" w:eastAsia="宋体" w:cs="宋体"/>
          <w:color w:val="000000"/>
          <w:sz w:val="28"/>
          <w:szCs w:val="22"/>
          <w:highlight w:val="none"/>
          <w:lang w:val="en-US" w:eastAsia="zh-CN"/>
        </w:rPr>
        <w:t>检测</w:t>
      </w:r>
      <w:r>
        <w:rPr>
          <w:rFonts w:hint="eastAsia" w:ascii="宋体" w:hAnsi="宋体" w:eastAsia="宋体" w:cs="宋体"/>
          <w:color w:val="000000"/>
          <w:sz w:val="28"/>
          <w:szCs w:val="22"/>
          <w:highlight w:val="none"/>
        </w:rPr>
        <w:t>人员应在采购人处进行安全备案。</w:t>
      </w:r>
    </w:p>
    <w:p>
      <w:pPr>
        <w:numPr>
          <w:ilvl w:val="0"/>
          <w:numId w:val="5"/>
        </w:numPr>
        <w:adjustRightInd w:val="0"/>
        <w:snapToGrid w:val="0"/>
        <w:spacing w:line="360" w:lineRule="auto"/>
        <w:ind w:firstLine="560" w:firstLineChars="200"/>
        <w:rPr>
          <w:rFonts w:hint="eastAsia" w:ascii="宋体" w:hAnsi="宋体" w:eastAsia="宋体" w:cs="宋体"/>
          <w:szCs w:val="22"/>
        </w:rPr>
      </w:pPr>
      <w:r>
        <w:rPr>
          <w:rFonts w:hint="eastAsia" w:ascii="宋体" w:hAnsi="宋体" w:eastAsia="宋体" w:cs="宋体"/>
          <w:color w:val="000000"/>
          <w:sz w:val="28"/>
          <w:szCs w:val="22"/>
          <w:highlight w:val="none"/>
        </w:rPr>
        <w:t>现场观测人员应身体健康 ，无不适合本项目实施的职业禁忌症。</w:t>
      </w:r>
    </w:p>
    <w:p>
      <w:pPr>
        <w:adjustRightInd w:val="0"/>
        <w:snapToGrid w:val="0"/>
        <w:spacing w:line="360" w:lineRule="auto"/>
        <w:ind w:firstLine="560"/>
        <w:rPr>
          <w:rFonts w:hint="eastAsia" w:ascii="黑体" w:hAnsi="黑体" w:eastAsia="黑体" w:cs="黑体"/>
          <w:szCs w:val="22"/>
        </w:rPr>
      </w:pPr>
      <w:bookmarkStart w:id="187" w:name="_Toc2644"/>
      <w:bookmarkStart w:id="188" w:name="_Toc26127"/>
      <w:bookmarkStart w:id="189" w:name="_Toc28249_WPSOffice_Level2"/>
      <w:bookmarkStart w:id="190" w:name="_Toc26965_WPSOffice_Level2"/>
      <w:bookmarkStart w:id="191" w:name="_Toc26536"/>
      <w:bookmarkStart w:id="192" w:name="_Toc21240"/>
      <w:bookmarkStart w:id="193" w:name="_Toc32735_WPSOffice_Level2"/>
      <w:bookmarkStart w:id="194" w:name="_Toc30151_WPSOffice_Level2"/>
      <w:bookmarkStart w:id="195" w:name="_Toc21259"/>
      <w:bookmarkStart w:id="196" w:name="_Toc29750"/>
      <w:bookmarkStart w:id="197" w:name="_Toc22268"/>
      <w:r>
        <w:rPr>
          <w:rFonts w:hint="eastAsia" w:ascii="黑体" w:hAnsi="黑体" w:eastAsia="黑体" w:cs="黑体"/>
          <w:szCs w:val="22"/>
        </w:rPr>
        <w:t>6.2器械、工具及材料</w:t>
      </w:r>
      <w:bookmarkEnd w:id="187"/>
      <w:bookmarkEnd w:id="188"/>
      <w:bookmarkEnd w:id="189"/>
      <w:bookmarkEnd w:id="190"/>
      <w:bookmarkEnd w:id="191"/>
      <w:bookmarkEnd w:id="192"/>
      <w:bookmarkEnd w:id="193"/>
      <w:bookmarkEnd w:id="194"/>
      <w:bookmarkEnd w:id="195"/>
      <w:bookmarkEnd w:id="196"/>
      <w:bookmarkEnd w:id="197"/>
      <w:bookmarkStart w:id="198" w:name="_Toc23411"/>
      <w:bookmarkStart w:id="199" w:name="_Toc24555"/>
      <w:bookmarkStart w:id="200" w:name="_Toc24205"/>
      <w:bookmarkStart w:id="201" w:name="_Toc3557"/>
    </w:p>
    <w:p>
      <w:p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6.2.1通用部分</w:t>
      </w:r>
      <w:bookmarkEnd w:id="198"/>
      <w:bookmarkEnd w:id="199"/>
      <w:bookmarkEnd w:id="200"/>
      <w:bookmarkEnd w:id="201"/>
    </w:p>
    <w:p>
      <w:pPr>
        <w:numPr>
          <w:ilvl w:val="0"/>
          <w:numId w:val="6"/>
        </w:numPr>
        <w:adjustRightInd w:val="0"/>
        <w:snapToGrid w:val="0"/>
        <w:spacing w:line="360" w:lineRule="auto"/>
        <w:ind w:firstLine="560" w:firstLineChars="200"/>
        <w:rPr>
          <w:rFonts w:hint="eastAsia" w:ascii="宋体" w:hAnsi="宋体" w:eastAsia="宋体" w:cs="宋体"/>
          <w:szCs w:val="22"/>
        </w:rPr>
      </w:pPr>
      <w:r>
        <w:rPr>
          <w:rFonts w:hint="eastAsia" w:ascii="宋体" w:hAnsi="宋体" w:eastAsia="宋体" w:cs="宋体"/>
          <w:szCs w:val="22"/>
        </w:rPr>
        <w:t>本项目所涉及的材料、设备、工器具、仪器仪表、安全防护措施等均由报价人负责提供。</w:t>
      </w:r>
    </w:p>
    <w:p>
      <w:pPr>
        <w:numPr>
          <w:ilvl w:val="0"/>
          <w:numId w:val="6"/>
        </w:numPr>
        <w:adjustRightInd w:val="0"/>
        <w:snapToGrid w:val="0"/>
        <w:spacing w:line="360" w:lineRule="auto"/>
        <w:ind w:firstLine="560" w:firstLineChars="200"/>
        <w:rPr>
          <w:rFonts w:hint="eastAsia" w:ascii="宋体" w:hAnsi="宋体" w:eastAsia="宋体" w:cs="宋体"/>
          <w:szCs w:val="22"/>
        </w:rPr>
      </w:pPr>
      <w:r>
        <w:rPr>
          <w:rFonts w:hint="eastAsia" w:ascii="宋体" w:hAnsi="宋体" w:eastAsia="宋体" w:cs="宋体"/>
          <w:szCs w:val="22"/>
        </w:rPr>
        <w:t>报价人所用的工器具、仪器仪表、特种设备等必须符合相关规定，校验合格。</w:t>
      </w:r>
    </w:p>
    <w:p>
      <w:p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6.2.2专用部分</w:t>
      </w:r>
    </w:p>
    <w:p>
      <w:pPr>
        <w:numPr>
          <w:ilvl w:val="0"/>
          <w:numId w:val="7"/>
        </w:numPr>
        <w:adjustRightInd w:val="0"/>
        <w:snapToGrid w:val="0"/>
        <w:spacing w:line="360" w:lineRule="auto"/>
        <w:ind w:firstLine="560"/>
        <w:rPr>
          <w:rFonts w:hint="eastAsia" w:ascii="宋体" w:hAnsi="宋体" w:eastAsia="宋体" w:cs="黑体"/>
          <w:szCs w:val="22"/>
        </w:rPr>
      </w:pPr>
      <w:bookmarkStart w:id="202" w:name="_Toc8966_WPSOffice_Level2"/>
      <w:bookmarkStart w:id="203" w:name="_Toc5720"/>
      <w:bookmarkStart w:id="204" w:name="_Toc32265"/>
      <w:bookmarkStart w:id="205" w:name="_Toc2740"/>
      <w:bookmarkStart w:id="206" w:name="_Toc11992_WPSOffice_Level2"/>
      <w:bookmarkStart w:id="207" w:name="_Toc29075"/>
      <w:bookmarkStart w:id="208" w:name="_Toc31645_WPSOffice_Level2"/>
      <w:r>
        <w:rPr>
          <w:rFonts w:hint="eastAsia" w:ascii="宋体" w:hAnsi="宋体" w:eastAsia="宋体" w:cs="黑体"/>
          <w:szCs w:val="22"/>
        </w:rPr>
        <w:t>检测设备和主要器材应附有产品质量合格证明文件。</w:t>
      </w:r>
    </w:p>
    <w:p>
      <w:pPr>
        <w:numPr>
          <w:ilvl w:val="0"/>
          <w:numId w:val="7"/>
        </w:num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现场</w:t>
      </w:r>
      <w:r>
        <w:rPr>
          <w:rFonts w:hint="eastAsia" w:ascii="宋体" w:hAnsi="宋体" w:eastAsia="宋体" w:cs="黑体"/>
          <w:szCs w:val="22"/>
          <w:lang w:val="en-US" w:eastAsia="zh-CN"/>
        </w:rPr>
        <w:t>检</w:t>
      </w:r>
      <w:r>
        <w:rPr>
          <w:rFonts w:hint="eastAsia" w:ascii="宋体" w:hAnsi="宋体" w:eastAsia="宋体" w:cs="黑体"/>
          <w:szCs w:val="22"/>
        </w:rPr>
        <w:t>测设备和实验室分析所需仪器设备，属于国家强制检定目录内的工作计量器具，必须按期送计量部门检定，检定合格，取得检定证书后方可用于检测工作。检测前应进行校准和气密性检验，使其处于良好的工作状态。</w:t>
      </w:r>
    </w:p>
    <w:p>
      <w:pPr>
        <w:adjustRightInd w:val="0"/>
        <w:snapToGrid w:val="0"/>
        <w:spacing w:line="360" w:lineRule="auto"/>
        <w:ind w:firstLine="560"/>
        <w:rPr>
          <w:rFonts w:hint="eastAsia" w:ascii="黑体" w:hAnsi="黑体" w:eastAsia="黑体" w:cs="黑体"/>
          <w:szCs w:val="22"/>
        </w:rPr>
      </w:pPr>
      <w:bookmarkStart w:id="209" w:name="_Toc8431"/>
      <w:bookmarkStart w:id="210" w:name="_Toc1929"/>
      <w:bookmarkStart w:id="211" w:name="_Toc21117_WPSOffice_Level2"/>
      <w:bookmarkStart w:id="212" w:name="_Toc27379"/>
      <w:r>
        <w:rPr>
          <w:rFonts w:hint="eastAsia" w:ascii="黑体" w:hAnsi="黑体" w:eastAsia="黑体" w:cs="黑体"/>
          <w:szCs w:val="22"/>
        </w:rPr>
        <w:t>6.3安全文明管理</w:t>
      </w:r>
      <w:bookmarkEnd w:id="202"/>
      <w:bookmarkEnd w:id="203"/>
      <w:bookmarkEnd w:id="204"/>
      <w:bookmarkEnd w:id="205"/>
      <w:bookmarkEnd w:id="206"/>
      <w:bookmarkEnd w:id="207"/>
      <w:bookmarkEnd w:id="208"/>
      <w:bookmarkEnd w:id="209"/>
      <w:bookmarkEnd w:id="210"/>
      <w:bookmarkEnd w:id="211"/>
      <w:bookmarkEnd w:id="212"/>
    </w:p>
    <w:p>
      <w:pPr>
        <w:adjustRightInd w:val="0"/>
        <w:snapToGrid w:val="0"/>
        <w:spacing w:line="360" w:lineRule="auto"/>
        <w:ind w:firstLine="560"/>
        <w:rPr>
          <w:rFonts w:hint="eastAsia"/>
        </w:rPr>
      </w:pPr>
      <w:r>
        <w:rPr>
          <w:rFonts w:hint="eastAsia" w:ascii="宋体" w:hAnsi="宋体" w:eastAsia="宋体" w:cs="黑体"/>
          <w:szCs w:val="22"/>
        </w:rPr>
        <w:t>6.3.1通用部分</w:t>
      </w:r>
    </w:p>
    <w:p>
      <w:pPr>
        <w:numPr>
          <w:ilvl w:val="0"/>
          <w:numId w:val="8"/>
        </w:num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报价人应当贯彻执行“安全第一、预防为主、综合治理”的方针，严格执行国家、行业相关安全规定及采购人相关安全管理制度，全面负责本项目范围内实施过程中的安全文明、环境保护、工业卫生等的管理工作，确保不发生人身及设备事故。</w:t>
      </w:r>
    </w:p>
    <w:p>
      <w:pPr>
        <w:numPr>
          <w:ilvl w:val="0"/>
          <w:numId w:val="8"/>
        </w:num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报价人应明确各级安全职责和安全控制重点，建立完整的安全保证体系和监督体系，建立安全机构，按规定配备安全管理人员；制定完善的安全文明施工管理制度，并严格执行；配备符合国家规定的合格劳动防护用品和工器具；做好安全技术交底，加强内部安全培训。</w:t>
      </w:r>
    </w:p>
    <w:p>
      <w:pPr>
        <w:numPr>
          <w:ilvl w:val="0"/>
          <w:numId w:val="8"/>
        </w:num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报价人在项目实施过程中，不得擅动、破坏运行设备及周围环境设施。</w:t>
      </w:r>
    </w:p>
    <w:p>
      <w:pPr>
        <w:numPr>
          <w:ilvl w:val="0"/>
          <w:numId w:val="8"/>
        </w:num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项目实施过程中，采购人有权对安全文明工作进行检查，有权对不规范的作业提出改进意见和考核，报价人应遵照执行。</w:t>
      </w:r>
    </w:p>
    <w:p>
      <w:pPr>
        <w:pStyle w:val="12"/>
        <w:adjustRightInd w:val="0"/>
        <w:snapToGrid w:val="0"/>
        <w:ind w:firstLine="560"/>
        <w:rPr>
          <w:rFonts w:hint="eastAsia" w:ascii="宋体" w:cs="黑体"/>
          <w:sz w:val="28"/>
          <w:szCs w:val="22"/>
        </w:rPr>
      </w:pPr>
      <w:bookmarkStart w:id="213" w:name="_Toc10777"/>
      <w:bookmarkStart w:id="214" w:name="_Toc9859"/>
      <w:bookmarkStart w:id="215" w:name="_Toc13594"/>
      <w:bookmarkStart w:id="216" w:name="_Toc14740_WPSOffice_Level2"/>
      <w:bookmarkStart w:id="217" w:name="_Toc18235_WPSOffice_Level2"/>
      <w:bookmarkStart w:id="218" w:name="_Toc22854"/>
      <w:bookmarkStart w:id="219" w:name="_Toc2725_WPSOffice_Level2"/>
      <w:bookmarkStart w:id="220" w:name="_Toc19650_WPSOffice_Level2"/>
      <w:r>
        <w:rPr>
          <w:rFonts w:hint="eastAsia" w:ascii="宋体" w:cs="黑体"/>
          <w:sz w:val="28"/>
          <w:szCs w:val="22"/>
        </w:rPr>
        <w:t>6.3.2专用部分</w:t>
      </w:r>
    </w:p>
    <w:p>
      <w:pPr>
        <w:pStyle w:val="12"/>
        <w:adjustRightInd w:val="0"/>
        <w:snapToGrid w:val="0"/>
        <w:ind w:firstLine="560"/>
        <w:rPr>
          <w:rFonts w:hint="eastAsia" w:ascii="宋体" w:cs="黑体"/>
          <w:sz w:val="28"/>
          <w:szCs w:val="22"/>
        </w:rPr>
      </w:pPr>
      <w:r>
        <w:rPr>
          <w:rFonts w:hint="eastAsia" w:ascii="宋体" w:cs="黑体"/>
          <w:sz w:val="28"/>
          <w:szCs w:val="22"/>
        </w:rPr>
        <w:t>（1）报价人在项目实施过程中，不得</w:t>
      </w:r>
      <w:r>
        <w:rPr>
          <w:rFonts w:hint="eastAsia" w:ascii="宋体" w:cs="黑体"/>
          <w:sz w:val="28"/>
          <w:szCs w:val="22"/>
          <w:lang w:val="en-US" w:eastAsia="zh-CN"/>
        </w:rPr>
        <w:t>擅自</w:t>
      </w:r>
      <w:r>
        <w:rPr>
          <w:rFonts w:hint="eastAsia" w:ascii="宋体" w:cs="黑体"/>
          <w:sz w:val="28"/>
          <w:szCs w:val="22"/>
        </w:rPr>
        <w:t>破坏运行设备及周围环境设施。</w:t>
      </w:r>
    </w:p>
    <w:bookmarkEnd w:id="213"/>
    <w:bookmarkEnd w:id="214"/>
    <w:bookmarkEnd w:id="215"/>
    <w:bookmarkEnd w:id="216"/>
    <w:bookmarkEnd w:id="217"/>
    <w:bookmarkEnd w:id="218"/>
    <w:bookmarkEnd w:id="219"/>
    <w:bookmarkEnd w:id="220"/>
    <w:p>
      <w:pPr>
        <w:adjustRightInd w:val="0"/>
        <w:snapToGrid w:val="0"/>
        <w:spacing w:line="360" w:lineRule="auto"/>
        <w:ind w:firstLine="560"/>
        <w:rPr>
          <w:rFonts w:hint="eastAsia" w:ascii="黑体" w:hAnsi="黑体" w:eastAsia="黑体" w:cs="黑体"/>
          <w:szCs w:val="22"/>
        </w:rPr>
      </w:pPr>
      <w:bookmarkStart w:id="221" w:name="_Toc12286"/>
      <w:bookmarkStart w:id="222" w:name="_Toc32261"/>
      <w:bookmarkStart w:id="223" w:name="_Toc10823"/>
      <w:bookmarkStart w:id="224" w:name="_Toc21165"/>
      <w:r>
        <w:rPr>
          <w:rFonts w:hint="eastAsia" w:ascii="黑体" w:hAnsi="黑体" w:eastAsia="黑体" w:cs="黑体"/>
          <w:szCs w:val="22"/>
        </w:rPr>
        <w:t>6.4 其他</w:t>
      </w:r>
      <w:bookmarkEnd w:id="221"/>
      <w:bookmarkEnd w:id="222"/>
      <w:bookmarkEnd w:id="223"/>
      <w:bookmarkEnd w:id="224"/>
    </w:p>
    <w:p>
      <w:pPr>
        <w:pStyle w:val="12"/>
        <w:adjustRightInd w:val="0"/>
        <w:snapToGrid w:val="0"/>
        <w:ind w:firstLine="560"/>
        <w:rPr>
          <w:rFonts w:hint="eastAsia" w:ascii="宋体" w:cs="黑体"/>
          <w:sz w:val="28"/>
          <w:szCs w:val="22"/>
        </w:rPr>
      </w:pPr>
      <w:r>
        <w:rPr>
          <w:rFonts w:hint="eastAsia" w:ascii="宋体" w:cs="黑体"/>
          <w:sz w:val="28"/>
          <w:szCs w:val="22"/>
        </w:rPr>
        <w:t>（1）报价人应免费向采购人相关人员提供技术培训或技术问题解答、提供相关技术资料。</w:t>
      </w:r>
    </w:p>
    <w:p>
      <w:pPr>
        <w:adjustRightInd w:val="0"/>
        <w:snapToGrid w:val="0"/>
        <w:spacing w:line="360" w:lineRule="auto"/>
        <w:ind w:firstLine="560"/>
        <w:rPr>
          <w:rFonts w:hint="eastAsia" w:ascii="宋体" w:hAnsi="宋体" w:eastAsia="宋体" w:cs="黑体"/>
          <w:szCs w:val="22"/>
        </w:rPr>
      </w:pPr>
      <w:r>
        <w:rPr>
          <w:rFonts w:hint="eastAsia" w:ascii="宋体" w:hAnsi="宋体" w:eastAsia="宋体" w:cs="黑体"/>
          <w:szCs w:val="22"/>
        </w:rPr>
        <w:t>（2）在项目实施过程中，如遇到高空作业，必须采取符合安规中要求的安全措施，相关措施由报价人自行解决，严禁造成人员和设备的伤害。</w:t>
      </w:r>
    </w:p>
    <w:p>
      <w:pPr>
        <w:pStyle w:val="3"/>
        <w:numPr>
          <w:ilvl w:val="0"/>
          <w:numId w:val="0"/>
        </w:numPr>
        <w:adjustRightInd w:val="0"/>
        <w:snapToGrid w:val="0"/>
        <w:spacing w:before="0" w:after="0" w:line="360" w:lineRule="auto"/>
        <w:ind w:leftChars="200"/>
        <w:jc w:val="center"/>
        <w:rPr>
          <w:rFonts w:hint="eastAsia" w:ascii="黑体" w:hAnsi="黑体" w:eastAsia="黑体" w:cs="黑体"/>
          <w:b w:val="0"/>
          <w:bCs w:val="0"/>
          <w:sz w:val="28"/>
          <w:szCs w:val="28"/>
        </w:rPr>
      </w:pPr>
      <w:bookmarkStart w:id="225" w:name="_Toc25742"/>
      <w:bookmarkStart w:id="226" w:name="_Toc10216690"/>
      <w:bookmarkStart w:id="227" w:name="_Toc31325"/>
      <w:bookmarkStart w:id="228" w:name="_Toc25480"/>
      <w:bookmarkStart w:id="229" w:name="_Toc5654_WPSOffice_Level1"/>
      <w:bookmarkStart w:id="230" w:name="_Toc493"/>
      <w:bookmarkStart w:id="231" w:name="_Toc14815"/>
      <w:bookmarkStart w:id="232" w:name="_Toc8620"/>
      <w:bookmarkStart w:id="233" w:name="_Toc24625_WPSOffice_Level1"/>
      <w:bookmarkStart w:id="234" w:name="_Toc13191_WPSOffice_Level1"/>
      <w:bookmarkStart w:id="235" w:name="_Toc27912"/>
      <w:bookmarkStart w:id="236" w:name="_Toc6665_WPSOffice_Level1"/>
      <w:bookmarkStart w:id="237" w:name="_Toc28827"/>
      <w:r>
        <w:rPr>
          <w:rFonts w:hint="eastAsia" w:ascii="黑体" w:hAnsi="黑体" w:eastAsia="黑体" w:cs="黑体"/>
          <w:b w:val="0"/>
          <w:bCs w:val="0"/>
          <w:sz w:val="28"/>
          <w:szCs w:val="28"/>
          <w:lang w:val="en-US" w:eastAsia="zh-CN"/>
        </w:rPr>
        <w:t xml:space="preserve">第七章 </w:t>
      </w:r>
      <w:r>
        <w:rPr>
          <w:rFonts w:hint="eastAsia" w:ascii="黑体" w:hAnsi="黑体" w:eastAsia="黑体" w:cs="黑体"/>
          <w:b w:val="0"/>
          <w:bCs w:val="0"/>
          <w:sz w:val="28"/>
          <w:szCs w:val="28"/>
        </w:rPr>
        <w:t>成果及考评</w:t>
      </w:r>
      <w:bookmarkEnd w:id="225"/>
      <w:bookmarkEnd w:id="226"/>
      <w:bookmarkEnd w:id="227"/>
      <w:bookmarkEnd w:id="228"/>
      <w:bookmarkEnd w:id="229"/>
      <w:bookmarkEnd w:id="230"/>
      <w:bookmarkEnd w:id="231"/>
      <w:bookmarkEnd w:id="232"/>
      <w:bookmarkEnd w:id="233"/>
      <w:bookmarkEnd w:id="234"/>
      <w:bookmarkEnd w:id="235"/>
      <w:bookmarkEnd w:id="236"/>
      <w:bookmarkEnd w:id="237"/>
    </w:p>
    <w:p>
      <w:pPr>
        <w:adjustRightInd w:val="0"/>
        <w:snapToGrid w:val="0"/>
        <w:spacing w:line="360" w:lineRule="auto"/>
        <w:ind w:firstLine="560"/>
        <w:rPr>
          <w:rFonts w:hint="eastAsia" w:ascii="黑体" w:hAnsi="黑体" w:eastAsia="黑体" w:cs="黑体"/>
          <w:szCs w:val="22"/>
        </w:rPr>
      </w:pPr>
      <w:bookmarkStart w:id="238" w:name="_Toc30932"/>
      <w:bookmarkStart w:id="239" w:name="_Toc5592_WPSOffice_Level2"/>
      <w:bookmarkStart w:id="240" w:name="_Toc24530_WPSOffice_Level2"/>
      <w:bookmarkStart w:id="241" w:name="_Toc23190"/>
      <w:bookmarkStart w:id="242" w:name="_Toc11569"/>
      <w:bookmarkStart w:id="243" w:name="_Toc9820"/>
      <w:bookmarkStart w:id="244" w:name="_Toc14743"/>
      <w:bookmarkStart w:id="245" w:name="_Toc11222"/>
      <w:bookmarkStart w:id="246" w:name="_Toc12886_WPSOffice_Level2"/>
      <w:bookmarkStart w:id="247" w:name="_Toc10549_WPSOffice_Level2"/>
      <w:bookmarkStart w:id="248" w:name="_Toc20163"/>
      <w:r>
        <w:rPr>
          <w:rFonts w:hint="eastAsia" w:ascii="黑体" w:hAnsi="黑体" w:eastAsia="黑体" w:cs="黑体"/>
          <w:szCs w:val="22"/>
        </w:rPr>
        <w:t>7.1成果</w:t>
      </w:r>
      <w:bookmarkEnd w:id="238"/>
      <w:bookmarkEnd w:id="239"/>
      <w:bookmarkEnd w:id="240"/>
      <w:bookmarkEnd w:id="241"/>
      <w:bookmarkEnd w:id="242"/>
      <w:bookmarkEnd w:id="243"/>
      <w:bookmarkEnd w:id="244"/>
      <w:bookmarkEnd w:id="245"/>
      <w:bookmarkEnd w:id="246"/>
      <w:bookmarkEnd w:id="247"/>
      <w:bookmarkEnd w:id="248"/>
    </w:p>
    <w:p>
      <w:pPr>
        <w:adjustRightInd w:val="0"/>
        <w:snapToGrid w:val="0"/>
        <w:spacing w:line="360" w:lineRule="auto"/>
        <w:ind w:firstLine="560"/>
        <w:jc w:val="left"/>
        <w:rPr>
          <w:rFonts w:hint="eastAsia" w:ascii="宋体" w:hAnsi="宋体" w:eastAsia="宋体"/>
          <w:szCs w:val="24"/>
        </w:rPr>
      </w:pPr>
      <w:r>
        <w:rPr>
          <w:rFonts w:hint="eastAsia" w:ascii="宋体" w:hAnsi="宋体" w:eastAsia="宋体"/>
          <w:szCs w:val="24"/>
        </w:rPr>
        <w:t>7.1.1通用部分</w:t>
      </w:r>
    </w:p>
    <w:p>
      <w:pPr>
        <w:numPr>
          <w:ilvl w:val="0"/>
          <w:numId w:val="9"/>
        </w:numPr>
        <w:adjustRightInd w:val="0"/>
        <w:snapToGrid w:val="0"/>
        <w:spacing w:line="360" w:lineRule="auto"/>
        <w:ind w:firstLine="560"/>
        <w:jc w:val="left"/>
        <w:rPr>
          <w:rFonts w:hint="eastAsia" w:ascii="宋体" w:hAnsi="宋体" w:eastAsia="宋体" w:cs="宋体"/>
          <w:szCs w:val="28"/>
        </w:rPr>
      </w:pPr>
      <w:r>
        <w:rPr>
          <w:rFonts w:hint="eastAsia" w:ascii="宋体" w:hAnsi="宋体" w:eastAsia="宋体" w:cs="宋体"/>
          <w:szCs w:val="28"/>
        </w:rPr>
        <w:t>报价人应按相关的国家标准和行业规范要求，采用先进的技术措施和手段，采用合格的工具和材料，完成项目内容，保证项目质量。</w:t>
      </w:r>
    </w:p>
    <w:p>
      <w:pPr>
        <w:numPr>
          <w:ilvl w:val="0"/>
          <w:numId w:val="9"/>
        </w:numPr>
        <w:adjustRightInd w:val="0"/>
        <w:snapToGrid w:val="0"/>
        <w:spacing w:line="360" w:lineRule="auto"/>
        <w:ind w:firstLine="560"/>
        <w:jc w:val="left"/>
        <w:rPr>
          <w:rFonts w:hint="eastAsia" w:ascii="宋体" w:hAnsi="宋体" w:eastAsia="宋体"/>
          <w:szCs w:val="24"/>
        </w:rPr>
      </w:pPr>
      <w:r>
        <w:rPr>
          <w:rFonts w:hint="eastAsia" w:ascii="宋体" w:hAnsi="宋体" w:eastAsia="宋体" w:cs="宋体"/>
          <w:szCs w:val="28"/>
        </w:rPr>
        <w:t>报价人所提供的项目过程资料应完整、真实、可靠，成果报告文字简洁、表达准确，图像清晰无误，附件齐全。</w:t>
      </w:r>
    </w:p>
    <w:p>
      <w:pPr>
        <w:numPr>
          <w:ilvl w:val="0"/>
          <w:numId w:val="9"/>
        </w:numPr>
        <w:adjustRightInd w:val="0"/>
        <w:snapToGrid w:val="0"/>
        <w:spacing w:line="360" w:lineRule="auto"/>
        <w:ind w:firstLine="560"/>
        <w:jc w:val="left"/>
        <w:rPr>
          <w:rFonts w:hint="eastAsia" w:ascii="宋体" w:hAnsi="宋体" w:eastAsia="宋体"/>
          <w:szCs w:val="24"/>
        </w:rPr>
      </w:pPr>
      <w:r>
        <w:rPr>
          <w:rFonts w:hint="eastAsia" w:ascii="宋体" w:hAnsi="宋体" w:eastAsia="宋体"/>
          <w:szCs w:val="24"/>
        </w:rPr>
        <w:t>本项目所有技术成果属于采购人所有。</w:t>
      </w:r>
      <w:r>
        <w:rPr>
          <w:rFonts w:hint="eastAsia" w:ascii="宋体" w:hAnsi="宋体" w:eastAsia="宋体" w:cs="宋体"/>
          <w:szCs w:val="28"/>
        </w:rPr>
        <w:t>项目完成后，报价人应按要求将</w:t>
      </w:r>
      <w:r>
        <w:rPr>
          <w:rFonts w:hint="eastAsia" w:ascii="宋体" w:hAnsi="宋体" w:eastAsia="宋体"/>
          <w:color w:val="000000"/>
          <w:szCs w:val="28"/>
        </w:rPr>
        <w:t>形成的过程资料、相关文件全部移交采购人，协助采购人进行资料归档，</w:t>
      </w:r>
      <w:r>
        <w:rPr>
          <w:rFonts w:hint="eastAsia" w:ascii="宋体" w:hAnsi="宋体" w:eastAsia="宋体"/>
          <w:szCs w:val="24"/>
        </w:rPr>
        <w:t>并对采购人负有技术培训责任。</w:t>
      </w:r>
    </w:p>
    <w:p>
      <w:pPr>
        <w:adjustRightInd w:val="0"/>
        <w:snapToGrid w:val="0"/>
        <w:spacing w:line="360" w:lineRule="auto"/>
        <w:ind w:firstLine="560"/>
        <w:rPr>
          <w:rFonts w:hint="eastAsia" w:ascii="宋体" w:hAnsi="宋体" w:eastAsia="宋体"/>
          <w:szCs w:val="24"/>
        </w:rPr>
      </w:pPr>
      <w:r>
        <w:rPr>
          <w:rFonts w:hint="eastAsia" w:ascii="宋体" w:hAnsi="宋体" w:eastAsia="宋体"/>
          <w:szCs w:val="24"/>
        </w:rPr>
        <w:t>7.1.2专用部分</w:t>
      </w:r>
    </w:p>
    <w:p>
      <w:pPr>
        <w:numPr>
          <w:ilvl w:val="0"/>
          <w:numId w:val="10"/>
        </w:numPr>
        <w:adjustRightInd w:val="0"/>
        <w:snapToGrid w:val="0"/>
        <w:spacing w:line="360" w:lineRule="auto"/>
        <w:ind w:firstLine="560"/>
        <w:rPr>
          <w:rFonts w:hint="eastAsia" w:ascii="宋体" w:hAnsi="宋体" w:eastAsia="宋体"/>
          <w:szCs w:val="24"/>
        </w:rPr>
      </w:pPr>
      <w:r>
        <w:rPr>
          <w:rFonts w:hint="eastAsia" w:ascii="宋体" w:hAnsi="宋体" w:eastAsia="宋体" w:cs="宋体"/>
          <w:szCs w:val="22"/>
        </w:rPr>
        <w:t>环境检测报告符合相关规定要求，达到相关部门备案要求。</w:t>
      </w:r>
    </w:p>
    <w:p>
      <w:pPr>
        <w:numPr>
          <w:ilvl w:val="0"/>
          <w:numId w:val="10"/>
        </w:numPr>
        <w:adjustRightInd w:val="0"/>
        <w:snapToGrid w:val="0"/>
        <w:spacing w:line="360" w:lineRule="auto"/>
        <w:ind w:firstLine="560"/>
        <w:rPr>
          <w:rFonts w:hint="eastAsia" w:ascii="宋体" w:hAnsi="宋体" w:eastAsia="宋体"/>
          <w:szCs w:val="24"/>
        </w:rPr>
      </w:pPr>
      <w:r>
        <w:rPr>
          <w:rFonts w:hint="eastAsia" w:ascii="宋体" w:hAnsi="宋体" w:eastAsia="宋体"/>
          <w:szCs w:val="24"/>
        </w:rPr>
        <w:t>在检测完成后</w:t>
      </w:r>
      <w:r>
        <w:rPr>
          <w:rFonts w:hint="eastAsia" w:ascii="宋体" w:hAnsi="宋体" w:eastAsia="宋体"/>
          <w:szCs w:val="24"/>
          <w:lang w:val="en-US" w:eastAsia="zh-CN"/>
        </w:rPr>
        <w:t>7</w:t>
      </w:r>
      <w:r>
        <w:rPr>
          <w:rFonts w:hint="eastAsia" w:ascii="宋体" w:hAnsi="宋体" w:eastAsia="宋体"/>
          <w:szCs w:val="24"/>
        </w:rPr>
        <w:t>个工作日内，报价人应向采购人提供检测报告</w:t>
      </w:r>
      <w:r>
        <w:rPr>
          <w:rFonts w:hint="eastAsia" w:ascii="宋体" w:hAnsi="宋体" w:eastAsia="宋体"/>
          <w:szCs w:val="24"/>
          <w:lang w:val="en-US" w:eastAsia="zh-CN"/>
        </w:rPr>
        <w:t>2</w:t>
      </w:r>
      <w:r>
        <w:rPr>
          <w:rFonts w:hint="eastAsia" w:ascii="宋体" w:hAnsi="宋体" w:eastAsia="宋体"/>
          <w:szCs w:val="24"/>
        </w:rPr>
        <w:t>份，并提供符合采购人存档要求的记录</w:t>
      </w:r>
      <w:r>
        <w:rPr>
          <w:rFonts w:hint="eastAsia" w:ascii="宋体" w:hAnsi="宋体" w:eastAsia="宋体"/>
          <w:szCs w:val="24"/>
          <w:lang w:val="en-US" w:eastAsia="zh-CN"/>
        </w:rPr>
        <w:t>2</w:t>
      </w:r>
      <w:r>
        <w:rPr>
          <w:rFonts w:hint="eastAsia" w:ascii="宋体" w:hAnsi="宋体" w:eastAsia="宋体"/>
          <w:szCs w:val="24"/>
        </w:rPr>
        <w:t>套。</w:t>
      </w:r>
    </w:p>
    <w:p>
      <w:pPr>
        <w:numPr>
          <w:ilvl w:val="0"/>
          <w:numId w:val="10"/>
        </w:numPr>
        <w:adjustRightInd w:val="0"/>
        <w:snapToGrid w:val="0"/>
        <w:spacing w:line="360" w:lineRule="auto"/>
        <w:ind w:firstLine="560" w:firstLineChars="0"/>
        <w:jc w:val="left"/>
        <w:rPr>
          <w:rFonts w:ascii="宋体" w:hAnsi="宋体" w:eastAsia="宋体"/>
          <w:szCs w:val="24"/>
        </w:rPr>
      </w:pPr>
      <w:r>
        <w:rPr>
          <w:rFonts w:hint="eastAsia" w:ascii="宋体" w:hAnsi="宋体" w:eastAsia="宋体"/>
          <w:szCs w:val="24"/>
        </w:rPr>
        <w:t>本次工作提交的文件为环境质量现状监测报告，包括基础资料的整理、监测数据的汇总，并附上监测布点图。</w:t>
      </w:r>
    </w:p>
    <w:p>
      <w:pPr>
        <w:numPr>
          <w:ilvl w:val="0"/>
          <w:numId w:val="10"/>
        </w:numPr>
        <w:adjustRightInd w:val="0"/>
        <w:snapToGrid w:val="0"/>
        <w:spacing w:line="360" w:lineRule="auto"/>
        <w:ind w:left="0" w:leftChars="0" w:firstLine="560" w:firstLineChars="0"/>
        <w:rPr>
          <w:rFonts w:hint="eastAsia" w:ascii="宋体" w:hAnsi="宋体" w:eastAsia="宋体" w:cs="宋体"/>
          <w:szCs w:val="22"/>
        </w:rPr>
      </w:pPr>
      <w:r>
        <w:rPr>
          <w:rFonts w:hint="eastAsia" w:ascii="宋体" w:hAnsi="宋体" w:eastAsia="宋体" w:cs="宋体"/>
          <w:szCs w:val="22"/>
        </w:rPr>
        <w:t>如环境检测出现问题，报价人应提出相应的改进建议。</w:t>
      </w:r>
    </w:p>
    <w:p>
      <w:pPr>
        <w:numPr>
          <w:ilvl w:val="0"/>
          <w:numId w:val="10"/>
        </w:numPr>
        <w:adjustRightInd w:val="0"/>
        <w:snapToGrid w:val="0"/>
        <w:spacing w:line="360" w:lineRule="auto"/>
        <w:ind w:left="0" w:leftChars="0" w:firstLine="560" w:firstLineChars="0"/>
        <w:rPr>
          <w:rFonts w:hint="eastAsia" w:ascii="宋体" w:hAnsi="宋体" w:eastAsia="宋体" w:cs="宋体"/>
          <w:szCs w:val="22"/>
        </w:rPr>
      </w:pPr>
      <w:r>
        <w:rPr>
          <w:rFonts w:hint="eastAsia" w:ascii="宋体" w:hAnsi="宋体" w:eastAsia="宋体" w:cs="宋体"/>
          <w:szCs w:val="22"/>
          <w:lang w:val="en-US" w:eastAsia="zh-CN"/>
        </w:rPr>
        <w:t>检测工作全部完成后，经采购人验收合格后，报价人开具符合采购人要求的6%服务类增值税专用发票和收据，采购人办理结算和付款，每季度结算和付款1次。</w:t>
      </w:r>
    </w:p>
    <w:p>
      <w:pPr>
        <w:adjustRightInd w:val="0"/>
        <w:snapToGrid w:val="0"/>
        <w:spacing w:line="360" w:lineRule="auto"/>
        <w:ind w:firstLine="560"/>
        <w:rPr>
          <w:rFonts w:hint="eastAsia" w:ascii="黑体" w:hAnsi="黑体" w:eastAsia="黑体" w:cs="黑体"/>
          <w:szCs w:val="22"/>
        </w:rPr>
      </w:pPr>
      <w:bookmarkStart w:id="249" w:name="_Toc8587"/>
      <w:bookmarkStart w:id="250" w:name="_Toc6051_WPSOffice_Level2"/>
      <w:bookmarkStart w:id="251" w:name="_Toc16181_WPSOffice_Level2"/>
      <w:bookmarkStart w:id="252" w:name="_Toc14077"/>
      <w:bookmarkStart w:id="253" w:name="_Toc4394_WPSOffice_Level2"/>
      <w:bookmarkStart w:id="254" w:name="_Toc4184"/>
      <w:bookmarkStart w:id="255" w:name="_Toc25493"/>
      <w:bookmarkStart w:id="256" w:name="_Toc31384_WPSOffice_Level1"/>
      <w:bookmarkStart w:id="257" w:name="_Toc20766"/>
      <w:bookmarkStart w:id="258" w:name="_Toc23320_WPSOffice_Level1"/>
      <w:r>
        <w:rPr>
          <w:rFonts w:hint="eastAsia" w:ascii="黑体" w:hAnsi="黑体" w:eastAsia="黑体" w:cs="黑体"/>
          <w:szCs w:val="22"/>
        </w:rPr>
        <w:t>7.2考评</w:t>
      </w:r>
      <w:bookmarkEnd w:id="249"/>
      <w:bookmarkEnd w:id="250"/>
      <w:bookmarkEnd w:id="251"/>
      <w:bookmarkEnd w:id="252"/>
      <w:bookmarkEnd w:id="253"/>
      <w:bookmarkEnd w:id="254"/>
      <w:bookmarkEnd w:id="255"/>
    </w:p>
    <w:p>
      <w:pPr>
        <w:adjustRightInd w:val="0"/>
        <w:snapToGrid w:val="0"/>
        <w:spacing w:line="360" w:lineRule="auto"/>
        <w:ind w:firstLine="560"/>
        <w:rPr>
          <w:rFonts w:hint="eastAsia" w:ascii="宋体" w:hAnsi="宋体" w:eastAsia="宋体"/>
          <w:szCs w:val="28"/>
        </w:rPr>
      </w:pPr>
      <w:r>
        <w:rPr>
          <w:rFonts w:hint="eastAsia" w:ascii="宋体" w:hAnsi="宋体" w:eastAsia="宋体"/>
          <w:szCs w:val="28"/>
        </w:rPr>
        <w:t>7.2.1通用部分</w:t>
      </w:r>
    </w:p>
    <w:p>
      <w:pPr>
        <w:numPr>
          <w:ilvl w:val="0"/>
          <w:numId w:val="11"/>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在本服务工作期间，采购人有权对报价人进行考评。</w:t>
      </w:r>
    </w:p>
    <w:p>
      <w:pPr>
        <w:numPr>
          <w:ilvl w:val="0"/>
          <w:numId w:val="11"/>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因本服务工作失误造成采购人损失的，采购人除追究报价人违约责任外，有权根据责任划分对报价人进行考核。</w:t>
      </w:r>
    </w:p>
    <w:p>
      <w:pPr>
        <w:adjustRightInd w:val="0"/>
        <w:snapToGrid w:val="0"/>
        <w:spacing w:line="360" w:lineRule="auto"/>
        <w:ind w:firstLine="560"/>
        <w:jc w:val="left"/>
        <w:rPr>
          <w:rFonts w:hint="eastAsia" w:ascii="宋体" w:hAnsi="宋体" w:eastAsia="宋体"/>
          <w:szCs w:val="28"/>
        </w:rPr>
      </w:pPr>
      <w:r>
        <w:rPr>
          <w:rFonts w:hint="eastAsia" w:ascii="宋体" w:hAnsi="宋体" w:eastAsia="宋体"/>
          <w:szCs w:val="28"/>
        </w:rPr>
        <w:t>7.2.2专用部分</w:t>
      </w:r>
    </w:p>
    <w:bookmarkEnd w:id="256"/>
    <w:bookmarkEnd w:id="257"/>
    <w:bookmarkEnd w:id="258"/>
    <w:p>
      <w:pPr>
        <w:adjustRightInd w:val="0"/>
        <w:snapToGrid w:val="0"/>
        <w:spacing w:line="360" w:lineRule="auto"/>
        <w:ind w:left="0" w:leftChars="0" w:firstLine="0" w:firstLineChars="0"/>
        <w:rPr>
          <w:rFonts w:hint="default"/>
          <w:lang w:val="en-US" w:eastAsia="zh-CN"/>
        </w:rPr>
      </w:pPr>
      <w:r>
        <w:rPr>
          <w:rFonts w:hint="eastAsia"/>
          <w:lang w:val="en-US" w:eastAsia="zh-CN"/>
        </w:rPr>
        <w:t xml:space="preserve">  </w:t>
      </w:r>
      <w:r>
        <w:rPr>
          <w:rFonts w:hint="eastAsia" w:ascii="宋体" w:hAnsi="宋体" w:eastAsia="宋体" w:cs="宋体"/>
          <w:szCs w:val="22"/>
          <w:lang w:val="en-US" w:eastAsia="zh-CN"/>
        </w:rPr>
        <w:t xml:space="preserve">  无。 </w:t>
      </w:r>
    </w:p>
    <w:p>
      <w:pPr>
        <w:pStyle w:val="3"/>
        <w:numPr>
          <w:ilvl w:val="0"/>
          <w:numId w:val="0"/>
        </w:numPr>
        <w:adjustRightInd w:val="0"/>
        <w:snapToGrid w:val="0"/>
        <w:spacing w:before="0" w:after="0" w:line="360" w:lineRule="auto"/>
        <w:ind w:leftChars="200"/>
        <w:jc w:val="center"/>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第八章 其它</w:t>
      </w:r>
    </w:p>
    <w:p>
      <w:pPr>
        <w:adjustRightInd w:val="0"/>
        <w:snapToGrid w:val="0"/>
        <w:spacing w:line="360" w:lineRule="auto"/>
        <w:ind w:left="0" w:leftChars="0" w:firstLine="560" w:firstLineChars="200"/>
        <w:rPr>
          <w:rFonts w:hint="eastAsia" w:ascii="宋体" w:hAnsi="宋体" w:eastAsia="宋体" w:cs="宋体"/>
          <w:szCs w:val="22"/>
          <w:lang w:val="en-US" w:eastAsia="zh-CN"/>
        </w:rPr>
      </w:pPr>
      <w:r>
        <w:rPr>
          <w:rFonts w:hint="eastAsia" w:ascii="宋体" w:hAnsi="宋体" w:eastAsia="宋体" w:cs="宋体"/>
          <w:szCs w:val="22"/>
          <w:lang w:val="en-US" w:eastAsia="zh-CN"/>
        </w:rPr>
        <w:t>无。</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BBC441"/>
    <w:multiLevelType w:val="singleLevel"/>
    <w:tmpl w:val="A3BBC441"/>
    <w:lvl w:ilvl="0" w:tentative="0">
      <w:start w:val="1"/>
      <w:numFmt w:val="decimal"/>
      <w:suff w:val="nothing"/>
      <w:lvlText w:val="（%1）"/>
      <w:lvlJc w:val="left"/>
    </w:lvl>
  </w:abstractNum>
  <w:abstractNum w:abstractNumId="1">
    <w:nsid w:val="C0654C1B"/>
    <w:multiLevelType w:val="singleLevel"/>
    <w:tmpl w:val="C0654C1B"/>
    <w:lvl w:ilvl="0" w:tentative="0">
      <w:start w:val="1"/>
      <w:numFmt w:val="decimal"/>
      <w:suff w:val="nothing"/>
      <w:lvlText w:val="（%1）"/>
      <w:lvlJc w:val="left"/>
    </w:lvl>
  </w:abstractNum>
  <w:abstractNum w:abstractNumId="2">
    <w:nsid w:val="FF8D04B5"/>
    <w:multiLevelType w:val="singleLevel"/>
    <w:tmpl w:val="FF8D04B5"/>
    <w:lvl w:ilvl="0" w:tentative="0">
      <w:start w:val="1"/>
      <w:numFmt w:val="decimal"/>
      <w:suff w:val="nothing"/>
      <w:lvlText w:val="（%1）"/>
      <w:lvlJc w:val="left"/>
    </w:lvl>
  </w:abstractNum>
  <w:abstractNum w:abstractNumId="3">
    <w:nsid w:val="18F05EF7"/>
    <w:multiLevelType w:val="singleLevel"/>
    <w:tmpl w:val="18F05EF7"/>
    <w:lvl w:ilvl="0" w:tentative="0">
      <w:start w:val="1"/>
      <w:numFmt w:val="decimal"/>
      <w:suff w:val="nothing"/>
      <w:lvlText w:val="（%1）"/>
      <w:lvlJc w:val="left"/>
    </w:lvl>
  </w:abstractNum>
  <w:abstractNum w:abstractNumId="4">
    <w:nsid w:val="2753B25C"/>
    <w:multiLevelType w:val="singleLevel"/>
    <w:tmpl w:val="2753B25C"/>
    <w:lvl w:ilvl="0" w:tentative="0">
      <w:start w:val="1"/>
      <w:numFmt w:val="decimal"/>
      <w:suff w:val="nothing"/>
      <w:lvlText w:val="（%1）"/>
      <w:lvlJc w:val="left"/>
      <w:pPr>
        <w:ind w:left="280"/>
      </w:pPr>
    </w:lvl>
  </w:abstractNum>
  <w:abstractNum w:abstractNumId="5">
    <w:nsid w:val="2BF95E95"/>
    <w:multiLevelType w:val="singleLevel"/>
    <w:tmpl w:val="2BF95E95"/>
    <w:lvl w:ilvl="0" w:tentative="0">
      <w:start w:val="1"/>
      <w:numFmt w:val="decimal"/>
      <w:suff w:val="nothing"/>
      <w:lvlText w:val="（%1）"/>
      <w:lvlJc w:val="left"/>
    </w:lvl>
  </w:abstractNum>
  <w:abstractNum w:abstractNumId="6">
    <w:nsid w:val="3D33CD2A"/>
    <w:multiLevelType w:val="singleLevel"/>
    <w:tmpl w:val="3D33CD2A"/>
    <w:lvl w:ilvl="0" w:tentative="0">
      <w:start w:val="1"/>
      <w:numFmt w:val="decimal"/>
      <w:suff w:val="nothing"/>
      <w:lvlText w:val="（%1）"/>
      <w:lvlJc w:val="left"/>
    </w:lvl>
  </w:abstractNum>
  <w:abstractNum w:abstractNumId="7">
    <w:nsid w:val="476D7576"/>
    <w:multiLevelType w:val="multilevel"/>
    <w:tmpl w:val="476D7576"/>
    <w:lvl w:ilvl="0" w:tentative="0">
      <w:start w:val="1"/>
      <w:numFmt w:val="japaneseCounting"/>
      <w:lvlText w:val="第%1章"/>
      <w:lvlJc w:val="left"/>
      <w:pPr>
        <w:ind w:left="2323" w:hanging="1440"/>
      </w:pPr>
      <w:rPr>
        <w:rFonts w:hint="default"/>
      </w:rPr>
    </w:lvl>
    <w:lvl w:ilvl="1" w:tentative="0">
      <w:start w:val="1"/>
      <w:numFmt w:val="lowerLetter"/>
      <w:lvlText w:val="%2)"/>
      <w:lvlJc w:val="left"/>
      <w:pPr>
        <w:ind w:left="1723" w:hanging="420"/>
      </w:pPr>
    </w:lvl>
    <w:lvl w:ilvl="2" w:tentative="0">
      <w:start w:val="1"/>
      <w:numFmt w:val="lowerRoman"/>
      <w:lvlText w:val="%3."/>
      <w:lvlJc w:val="right"/>
      <w:pPr>
        <w:ind w:left="2143" w:hanging="420"/>
      </w:pPr>
    </w:lvl>
    <w:lvl w:ilvl="3" w:tentative="0">
      <w:start w:val="1"/>
      <w:numFmt w:val="decimal"/>
      <w:lvlText w:val="%4."/>
      <w:lvlJc w:val="left"/>
      <w:pPr>
        <w:ind w:left="2563" w:hanging="420"/>
      </w:pPr>
    </w:lvl>
    <w:lvl w:ilvl="4" w:tentative="0">
      <w:start w:val="1"/>
      <w:numFmt w:val="lowerLetter"/>
      <w:lvlText w:val="%5)"/>
      <w:lvlJc w:val="left"/>
      <w:pPr>
        <w:ind w:left="2983" w:hanging="420"/>
      </w:pPr>
    </w:lvl>
    <w:lvl w:ilvl="5" w:tentative="0">
      <w:start w:val="1"/>
      <w:numFmt w:val="lowerRoman"/>
      <w:lvlText w:val="%6."/>
      <w:lvlJc w:val="right"/>
      <w:pPr>
        <w:ind w:left="3403" w:hanging="420"/>
      </w:pPr>
    </w:lvl>
    <w:lvl w:ilvl="6" w:tentative="0">
      <w:start w:val="1"/>
      <w:numFmt w:val="decimal"/>
      <w:lvlText w:val="%7."/>
      <w:lvlJc w:val="left"/>
      <w:pPr>
        <w:ind w:left="3823" w:hanging="420"/>
      </w:pPr>
    </w:lvl>
    <w:lvl w:ilvl="7" w:tentative="0">
      <w:start w:val="1"/>
      <w:numFmt w:val="lowerLetter"/>
      <w:lvlText w:val="%8)"/>
      <w:lvlJc w:val="left"/>
      <w:pPr>
        <w:ind w:left="4243" w:hanging="420"/>
      </w:pPr>
    </w:lvl>
    <w:lvl w:ilvl="8" w:tentative="0">
      <w:start w:val="1"/>
      <w:numFmt w:val="lowerRoman"/>
      <w:lvlText w:val="%9."/>
      <w:lvlJc w:val="right"/>
      <w:pPr>
        <w:ind w:left="4663" w:hanging="420"/>
      </w:pPr>
    </w:lvl>
  </w:abstractNum>
  <w:abstractNum w:abstractNumId="8">
    <w:nsid w:val="6C91D416"/>
    <w:multiLevelType w:val="singleLevel"/>
    <w:tmpl w:val="6C91D416"/>
    <w:lvl w:ilvl="0" w:tentative="0">
      <w:start w:val="1"/>
      <w:numFmt w:val="decimal"/>
      <w:suff w:val="nothing"/>
      <w:lvlText w:val="（%1）"/>
      <w:lvlJc w:val="left"/>
    </w:lvl>
  </w:abstractNum>
  <w:abstractNum w:abstractNumId="9">
    <w:nsid w:val="74847903"/>
    <w:multiLevelType w:val="singleLevel"/>
    <w:tmpl w:val="74847903"/>
    <w:lvl w:ilvl="0" w:tentative="0">
      <w:start w:val="1"/>
      <w:numFmt w:val="decimal"/>
      <w:suff w:val="nothing"/>
      <w:lvlText w:val="（%1）"/>
      <w:lvlJc w:val="left"/>
    </w:lvl>
  </w:abstractNum>
  <w:abstractNum w:abstractNumId="10">
    <w:nsid w:val="7B815A2B"/>
    <w:multiLevelType w:val="singleLevel"/>
    <w:tmpl w:val="7B815A2B"/>
    <w:lvl w:ilvl="0" w:tentative="0">
      <w:start w:val="1"/>
      <w:numFmt w:val="decimal"/>
      <w:suff w:val="nothing"/>
      <w:lvlText w:val="（%1）"/>
      <w:lvlJc w:val="left"/>
    </w:lvl>
  </w:abstractNum>
  <w:num w:numId="1">
    <w:abstractNumId w:val="7"/>
  </w:num>
  <w:num w:numId="2">
    <w:abstractNumId w:val="3"/>
  </w:num>
  <w:num w:numId="3">
    <w:abstractNumId w:val="5"/>
  </w:num>
  <w:num w:numId="4">
    <w:abstractNumId w:val="4"/>
  </w:num>
  <w:num w:numId="5">
    <w:abstractNumId w:val="9"/>
  </w:num>
  <w:num w:numId="6">
    <w:abstractNumId w:val="10"/>
  </w:num>
  <w:num w:numId="7">
    <w:abstractNumId w:val="6"/>
  </w:num>
  <w:num w:numId="8">
    <w:abstractNumId w:val="2"/>
  </w:num>
  <w:num w:numId="9">
    <w:abstractNumId w:val="8"/>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37ECF"/>
    <w:rsid w:val="02590227"/>
    <w:rsid w:val="03DE3866"/>
    <w:rsid w:val="13552F40"/>
    <w:rsid w:val="14846AB8"/>
    <w:rsid w:val="1BF24FD1"/>
    <w:rsid w:val="21CB38AB"/>
    <w:rsid w:val="2F8D4D4A"/>
    <w:rsid w:val="30C007FB"/>
    <w:rsid w:val="37B619FD"/>
    <w:rsid w:val="3863255D"/>
    <w:rsid w:val="3D4260E8"/>
    <w:rsid w:val="6AAC038F"/>
    <w:rsid w:val="78746F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28"/>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pPr>
    <w:rPr>
      <w:rFonts w:ascii="Calibri" w:hAnsi="Calibri" w:eastAsia="宋体" w:cs="Times New Roman"/>
      <w:color w:val="000000"/>
      <w:sz w:val="24"/>
      <w:szCs w:val="2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paragraph" w:customStyle="1" w:styleId="10">
    <w:name w:val="WPSOffice手动目录 1"/>
    <w:qFormat/>
    <w:uiPriority w:val="0"/>
    <w:rPr>
      <w:rFonts w:ascii="Times New Roman" w:hAnsi="Times New Roman" w:eastAsia="宋体" w:cs="Times New Roman"/>
      <w:lang w:val="en-US" w:eastAsia="zh-CN" w:bidi="ar-SA"/>
    </w:rPr>
  </w:style>
  <w:style w:type="paragraph" w:customStyle="1" w:styleId="11">
    <w:name w:val="WPSOffice手动目录 2"/>
    <w:qFormat/>
    <w:uiPriority w:val="0"/>
    <w:pPr>
      <w:ind w:leftChars="200"/>
    </w:pPr>
    <w:rPr>
      <w:rFonts w:ascii="Times New Roman" w:hAnsi="Times New Roman" w:eastAsia="宋体" w:cs="Times New Roman"/>
      <w:lang w:val="en-US" w:eastAsia="zh-CN" w:bidi="ar-SA"/>
    </w:rPr>
  </w:style>
  <w:style w:type="paragraph" w:customStyle="1" w:styleId="12">
    <w:name w:val="文章正文"/>
    <w:basedOn w:val="1"/>
    <w:next w:val="1"/>
    <w:qFormat/>
    <w:uiPriority w:val="0"/>
    <w:pPr>
      <w:spacing w:line="360" w:lineRule="auto"/>
      <w:ind w:firstLine="480"/>
    </w:pPr>
    <w:rPr>
      <w:rFonts w:hAnsi="宋体"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刘超</cp:lastModifiedBy>
  <dcterms:modified xsi:type="dcterms:W3CDTF">2024-09-18T01:55:48Z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2E1C10AD8B4C4830BFF80A6711B81453</vt:lpwstr>
  </property>
</Properties>
</file>